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26" w:rsidRPr="00EB4126" w:rsidRDefault="00EB4126" w:rsidP="00EB4126">
      <w:pPr>
        <w:jc w:val="left"/>
        <w:rPr>
          <w:rFonts w:ascii="楷体" w:eastAsia="楷体" w:hAnsi="楷体"/>
          <w:kern w:val="0"/>
          <w:sz w:val="32"/>
          <w:szCs w:val="32"/>
        </w:rPr>
      </w:pPr>
      <w:r w:rsidRPr="00EB4126">
        <w:rPr>
          <w:rFonts w:ascii="楷体" w:eastAsia="楷体" w:hAnsi="楷体" w:hint="eastAsia"/>
          <w:kern w:val="0"/>
          <w:sz w:val="32"/>
          <w:szCs w:val="32"/>
        </w:rPr>
        <w:t>附件4-1</w:t>
      </w:r>
    </w:p>
    <w:p w:rsidR="00681A15" w:rsidRPr="00EB4126" w:rsidRDefault="008E48DB" w:rsidP="00681A15">
      <w:pPr>
        <w:jc w:val="center"/>
        <w:rPr>
          <w:rFonts w:ascii="宋体" w:hAnsi="宋体"/>
          <w:b/>
          <w:sz w:val="44"/>
          <w:szCs w:val="44"/>
        </w:rPr>
      </w:pPr>
      <w:r w:rsidRPr="00EB4126">
        <w:rPr>
          <w:rFonts w:ascii="宋体" w:hAnsi="宋体" w:hint="eastAsia"/>
          <w:b/>
          <w:sz w:val="44"/>
          <w:szCs w:val="44"/>
        </w:rPr>
        <w:t>《深圳市</w:t>
      </w:r>
      <w:r w:rsidRPr="00EB4126">
        <w:rPr>
          <w:rFonts w:ascii="宋体" w:hAnsi="宋体"/>
          <w:b/>
          <w:sz w:val="44"/>
          <w:szCs w:val="44"/>
        </w:rPr>
        <w:t>扶持实体经济发展促进产业用地节约集约利用的</w:t>
      </w:r>
      <w:r w:rsidR="00EB4126" w:rsidRPr="00EB4126">
        <w:rPr>
          <w:rFonts w:ascii="宋体" w:hAnsi="宋体" w:hint="eastAsia"/>
          <w:b/>
          <w:sz w:val="44"/>
          <w:szCs w:val="44"/>
        </w:rPr>
        <w:t>暂行</w:t>
      </w:r>
      <w:r w:rsidRPr="00EB4126">
        <w:rPr>
          <w:rFonts w:ascii="宋体" w:hAnsi="宋体"/>
          <w:b/>
          <w:sz w:val="44"/>
          <w:szCs w:val="44"/>
        </w:rPr>
        <w:t>规定</w:t>
      </w:r>
      <w:r w:rsidR="00681A15" w:rsidRPr="00EB4126">
        <w:rPr>
          <w:rFonts w:ascii="宋体" w:hAnsi="宋体" w:hint="eastAsia"/>
          <w:b/>
          <w:sz w:val="44"/>
          <w:szCs w:val="44"/>
        </w:rPr>
        <w:t>》</w:t>
      </w:r>
      <w:r w:rsidR="00EB4126" w:rsidRPr="00EB4126">
        <w:rPr>
          <w:rFonts w:ascii="宋体" w:hAnsi="宋体" w:hint="eastAsia"/>
          <w:b/>
          <w:sz w:val="44"/>
          <w:szCs w:val="44"/>
        </w:rPr>
        <w:t>征求意见及采纳情况</w:t>
      </w:r>
      <w:r w:rsidR="00681A15" w:rsidRPr="00EB4126">
        <w:rPr>
          <w:rFonts w:ascii="宋体" w:hAnsi="宋体" w:hint="eastAsia"/>
          <w:b/>
          <w:sz w:val="44"/>
          <w:szCs w:val="44"/>
        </w:rPr>
        <w:t>汇总</w:t>
      </w:r>
      <w:r w:rsidR="00EB4126" w:rsidRPr="00EB4126">
        <w:rPr>
          <w:rFonts w:ascii="宋体" w:hAnsi="宋体" w:hint="eastAsia"/>
          <w:b/>
          <w:sz w:val="44"/>
          <w:szCs w:val="44"/>
        </w:rPr>
        <w:t>表（社会公众意见）</w:t>
      </w:r>
    </w:p>
    <w:tbl>
      <w:tblPr>
        <w:tblStyle w:val="a3"/>
        <w:tblW w:w="5000" w:type="pct"/>
        <w:tblLook w:val="04A0" w:firstRow="1" w:lastRow="0" w:firstColumn="1" w:lastColumn="0" w:noHBand="0" w:noVBand="1"/>
      </w:tblPr>
      <w:tblGrid>
        <w:gridCol w:w="828"/>
        <w:gridCol w:w="1712"/>
        <w:gridCol w:w="1364"/>
        <w:gridCol w:w="12790"/>
        <w:gridCol w:w="1274"/>
        <w:gridCol w:w="4622"/>
      </w:tblGrid>
      <w:tr w:rsidR="00922788" w:rsidRPr="00F87667" w:rsidTr="00795F6F">
        <w:trPr>
          <w:trHeight w:val="637"/>
        </w:trPr>
        <w:tc>
          <w:tcPr>
            <w:tcW w:w="183" w:type="pct"/>
            <w:vAlign w:val="center"/>
          </w:tcPr>
          <w:p w:rsidR="00227422" w:rsidRPr="00F87667" w:rsidRDefault="00227422" w:rsidP="00860321">
            <w:pPr>
              <w:jc w:val="center"/>
              <w:rPr>
                <w:b/>
                <w:sz w:val="24"/>
                <w:szCs w:val="24"/>
              </w:rPr>
            </w:pPr>
            <w:r w:rsidRPr="00F87667">
              <w:rPr>
                <w:rFonts w:hint="eastAsia"/>
                <w:b/>
                <w:sz w:val="24"/>
                <w:szCs w:val="24"/>
              </w:rPr>
              <w:t>序号</w:t>
            </w:r>
          </w:p>
        </w:tc>
        <w:tc>
          <w:tcPr>
            <w:tcW w:w="379" w:type="pct"/>
            <w:vAlign w:val="center"/>
          </w:tcPr>
          <w:p w:rsidR="00227422" w:rsidRPr="00F87667" w:rsidRDefault="00227422" w:rsidP="00227422">
            <w:pPr>
              <w:jc w:val="center"/>
              <w:rPr>
                <w:b/>
                <w:sz w:val="24"/>
                <w:szCs w:val="24"/>
              </w:rPr>
            </w:pPr>
            <w:r w:rsidRPr="00F87667">
              <w:rPr>
                <w:rFonts w:hint="eastAsia"/>
                <w:b/>
                <w:sz w:val="24"/>
                <w:szCs w:val="24"/>
              </w:rPr>
              <w:t>关键字</w:t>
            </w:r>
          </w:p>
        </w:tc>
        <w:tc>
          <w:tcPr>
            <w:tcW w:w="302" w:type="pct"/>
            <w:vAlign w:val="center"/>
          </w:tcPr>
          <w:p w:rsidR="00227422" w:rsidRPr="00F87667" w:rsidRDefault="00227422" w:rsidP="004B1606">
            <w:pPr>
              <w:jc w:val="center"/>
              <w:rPr>
                <w:b/>
                <w:sz w:val="24"/>
                <w:szCs w:val="24"/>
              </w:rPr>
            </w:pPr>
            <w:r w:rsidRPr="00F87667">
              <w:rPr>
                <w:rFonts w:hint="eastAsia"/>
                <w:b/>
                <w:sz w:val="24"/>
                <w:szCs w:val="24"/>
              </w:rPr>
              <w:t>对应条文</w:t>
            </w:r>
          </w:p>
        </w:tc>
        <w:tc>
          <w:tcPr>
            <w:tcW w:w="2831" w:type="pct"/>
            <w:vAlign w:val="center"/>
          </w:tcPr>
          <w:p w:rsidR="00227422" w:rsidRPr="00F87667" w:rsidRDefault="00227422" w:rsidP="00860321">
            <w:pPr>
              <w:jc w:val="center"/>
              <w:rPr>
                <w:rFonts w:ascii="宋体" w:eastAsia="宋体" w:hAnsi="宋体"/>
                <w:b/>
                <w:szCs w:val="21"/>
              </w:rPr>
            </w:pPr>
            <w:r w:rsidRPr="00F87667">
              <w:rPr>
                <w:rFonts w:ascii="宋体" w:eastAsia="宋体" w:hAnsi="宋体" w:hint="eastAsia"/>
                <w:b/>
                <w:sz w:val="24"/>
                <w:szCs w:val="21"/>
              </w:rPr>
              <w:t>反馈意见及建议</w:t>
            </w:r>
          </w:p>
        </w:tc>
        <w:tc>
          <w:tcPr>
            <w:tcW w:w="282" w:type="pct"/>
            <w:vAlign w:val="center"/>
          </w:tcPr>
          <w:p w:rsidR="00227422" w:rsidRPr="00F87667" w:rsidRDefault="00227422" w:rsidP="00860321">
            <w:pPr>
              <w:jc w:val="center"/>
              <w:rPr>
                <w:b/>
                <w:sz w:val="24"/>
                <w:szCs w:val="24"/>
              </w:rPr>
            </w:pPr>
            <w:r w:rsidRPr="00F87667">
              <w:rPr>
                <w:rFonts w:hint="eastAsia"/>
                <w:b/>
                <w:sz w:val="24"/>
                <w:szCs w:val="24"/>
              </w:rPr>
              <w:t>采纳情况</w:t>
            </w:r>
          </w:p>
        </w:tc>
        <w:tc>
          <w:tcPr>
            <w:tcW w:w="1023" w:type="pct"/>
            <w:vAlign w:val="center"/>
          </w:tcPr>
          <w:p w:rsidR="00227422" w:rsidRPr="00F87667" w:rsidRDefault="00227422" w:rsidP="00860321">
            <w:pPr>
              <w:jc w:val="center"/>
              <w:rPr>
                <w:b/>
                <w:sz w:val="24"/>
                <w:szCs w:val="24"/>
              </w:rPr>
            </w:pPr>
            <w:r w:rsidRPr="00F87667">
              <w:rPr>
                <w:rFonts w:hint="eastAsia"/>
                <w:b/>
                <w:sz w:val="24"/>
                <w:szCs w:val="24"/>
              </w:rPr>
              <w:t>备注</w:t>
            </w:r>
          </w:p>
        </w:tc>
      </w:tr>
      <w:tr w:rsidR="00F04AAA" w:rsidRPr="00F87667" w:rsidTr="00795F6F">
        <w:trPr>
          <w:trHeight w:val="553"/>
        </w:trPr>
        <w:tc>
          <w:tcPr>
            <w:tcW w:w="183" w:type="pct"/>
            <w:vMerge w:val="restart"/>
            <w:vAlign w:val="center"/>
          </w:tcPr>
          <w:p w:rsidR="00F04AAA" w:rsidRPr="00F87667" w:rsidRDefault="00F04AAA" w:rsidP="009C4938">
            <w:pPr>
              <w:jc w:val="center"/>
              <w:rPr>
                <w:rFonts w:ascii="仿宋_GB2312" w:hAnsi="仿宋_GB2312"/>
                <w:szCs w:val="21"/>
              </w:rPr>
            </w:pPr>
            <w:r w:rsidRPr="00F87667">
              <w:rPr>
                <w:rFonts w:ascii="仿宋_GB2312" w:hAnsi="仿宋_GB2312"/>
                <w:szCs w:val="21"/>
              </w:rPr>
              <w:t>1</w:t>
            </w:r>
          </w:p>
        </w:tc>
        <w:tc>
          <w:tcPr>
            <w:tcW w:w="379" w:type="pct"/>
            <w:vMerge w:val="restart"/>
          </w:tcPr>
          <w:p w:rsidR="00F04AAA" w:rsidRPr="00F87667" w:rsidRDefault="00F04AAA" w:rsidP="00366CA0">
            <w:pPr>
              <w:jc w:val="center"/>
              <w:rPr>
                <w:rFonts w:ascii="仿宋_GB2312" w:hAnsi="仿宋_GB2312"/>
                <w:szCs w:val="21"/>
              </w:rPr>
            </w:pPr>
            <w:r w:rsidRPr="00F87667">
              <w:rPr>
                <w:rFonts w:ascii="仿宋_GB2312" w:hAnsi="仿宋_GB2312" w:hint="eastAsia"/>
                <w:szCs w:val="21"/>
              </w:rPr>
              <w:t>适用范围</w:t>
            </w:r>
          </w:p>
        </w:tc>
        <w:tc>
          <w:tcPr>
            <w:tcW w:w="302" w:type="pct"/>
            <w:vMerge w:val="restart"/>
          </w:tcPr>
          <w:p w:rsidR="00F04AAA" w:rsidRPr="00F87667" w:rsidRDefault="00F04AAA" w:rsidP="00366CA0">
            <w:pPr>
              <w:jc w:val="center"/>
              <w:rPr>
                <w:rFonts w:ascii="仿宋_GB2312" w:hAnsi="仿宋_GB2312"/>
                <w:szCs w:val="21"/>
              </w:rPr>
            </w:pPr>
            <w:r w:rsidRPr="00F87667">
              <w:rPr>
                <w:rFonts w:ascii="仿宋_GB2312" w:hAnsi="仿宋_GB2312" w:hint="eastAsia"/>
                <w:szCs w:val="21"/>
              </w:rPr>
              <w:t>第三条</w:t>
            </w:r>
          </w:p>
        </w:tc>
        <w:tc>
          <w:tcPr>
            <w:tcW w:w="2831" w:type="pct"/>
            <w:vAlign w:val="center"/>
          </w:tcPr>
          <w:p w:rsidR="00F04AAA" w:rsidRPr="00F87667" w:rsidRDefault="00F04AAA" w:rsidP="00EB4126">
            <w:pPr>
              <w:rPr>
                <w:rFonts w:ascii="宋体" w:eastAsia="宋体" w:hAnsi="宋体"/>
                <w:color w:val="000000"/>
                <w:szCs w:val="21"/>
              </w:rPr>
            </w:pPr>
            <w:r w:rsidRPr="00F87667">
              <w:rPr>
                <w:rFonts w:ascii="宋体" w:eastAsia="宋体" w:hAnsi="宋体"/>
                <w:color w:val="000000"/>
                <w:szCs w:val="21"/>
              </w:rPr>
              <w:t>1、</w:t>
            </w:r>
            <w:r w:rsidRPr="00F87667">
              <w:rPr>
                <w:rFonts w:ascii="宋体" w:eastAsia="宋体" w:hAnsi="宋体" w:hint="eastAsia"/>
                <w:color w:val="000000"/>
                <w:szCs w:val="21"/>
              </w:rPr>
              <w:t>政策未规定适用的用地面积，请问是否小地块产业用地调容也适用该政策。</w:t>
            </w:r>
            <w:r w:rsidRPr="00F87667">
              <w:rPr>
                <w:rFonts w:ascii="宋体" w:eastAsia="宋体" w:hAnsi="宋体" w:hint="eastAsia"/>
                <w:b/>
                <w:color w:val="000000"/>
                <w:szCs w:val="21"/>
              </w:rPr>
              <w:t>（万科</w:t>
            </w:r>
            <w:r w:rsidR="00EB4126">
              <w:rPr>
                <w:rFonts w:ascii="宋体" w:eastAsia="宋体" w:hAnsi="宋体" w:hint="eastAsia"/>
                <w:b/>
                <w:color w:val="000000"/>
                <w:szCs w:val="21"/>
              </w:rPr>
              <w:t>公司</w:t>
            </w:r>
            <w:r w:rsidRPr="00F87667">
              <w:rPr>
                <w:rFonts w:ascii="宋体" w:eastAsia="宋体" w:hAnsi="宋体" w:hint="eastAsia"/>
                <w:b/>
                <w:color w:val="000000"/>
                <w:szCs w:val="21"/>
              </w:rPr>
              <w:t>）</w:t>
            </w:r>
          </w:p>
        </w:tc>
        <w:tc>
          <w:tcPr>
            <w:tcW w:w="282" w:type="pct"/>
            <w:vAlign w:val="center"/>
          </w:tcPr>
          <w:p w:rsidR="00F04AAA" w:rsidRPr="00F87667" w:rsidRDefault="00BD11EC" w:rsidP="00F43158">
            <w:pPr>
              <w:jc w:val="center"/>
              <w:rPr>
                <w:rFonts w:ascii="仿宋_GB2312" w:hAnsi="仿宋_GB2312"/>
                <w:szCs w:val="21"/>
              </w:rPr>
            </w:pPr>
            <w:r>
              <w:rPr>
                <w:rFonts w:ascii="宋体" w:eastAsia="宋体" w:hAnsi="宋体" w:hint="eastAsia"/>
                <w:szCs w:val="21"/>
              </w:rPr>
              <w:t>采纳</w:t>
            </w:r>
          </w:p>
        </w:tc>
        <w:tc>
          <w:tcPr>
            <w:tcW w:w="1023" w:type="pct"/>
          </w:tcPr>
          <w:p w:rsidR="00F04AAA" w:rsidRPr="00F87667" w:rsidRDefault="00F04AAA" w:rsidP="00BD11EC">
            <w:pPr>
              <w:jc w:val="left"/>
              <w:rPr>
                <w:rFonts w:ascii="仿宋_GB2312" w:hAnsi="仿宋_GB2312"/>
                <w:szCs w:val="21"/>
              </w:rPr>
            </w:pPr>
            <w:r w:rsidRPr="00F87667">
              <w:rPr>
                <w:rFonts w:ascii="仿宋_GB2312" w:hAnsi="仿宋_GB2312" w:hint="eastAsia"/>
                <w:szCs w:val="21"/>
              </w:rPr>
              <w:t>本政策</w:t>
            </w:r>
            <w:r w:rsidR="00BD11EC">
              <w:rPr>
                <w:rFonts w:ascii="仿宋_GB2312" w:hAnsi="仿宋_GB2312" w:hint="eastAsia"/>
                <w:szCs w:val="21"/>
              </w:rPr>
              <w:t>适用对象</w:t>
            </w:r>
            <w:r w:rsidRPr="00F87667">
              <w:rPr>
                <w:rFonts w:ascii="仿宋_GB2312" w:hAnsi="仿宋_GB2312" w:hint="eastAsia"/>
                <w:szCs w:val="21"/>
              </w:rPr>
              <w:t>不受用地面积规模影响。</w:t>
            </w:r>
          </w:p>
        </w:tc>
      </w:tr>
      <w:tr w:rsidR="00F04AAA" w:rsidRPr="00F87667" w:rsidTr="00F04AAA">
        <w:trPr>
          <w:trHeight w:val="636"/>
        </w:trPr>
        <w:tc>
          <w:tcPr>
            <w:tcW w:w="183" w:type="pct"/>
            <w:vMerge/>
            <w:vAlign w:val="center"/>
          </w:tcPr>
          <w:p w:rsidR="00F04AAA" w:rsidRPr="00F87667" w:rsidRDefault="00F04AAA" w:rsidP="009C4938">
            <w:pPr>
              <w:jc w:val="center"/>
              <w:rPr>
                <w:rFonts w:ascii="仿宋_GB2312" w:hAnsi="仿宋_GB2312"/>
                <w:szCs w:val="21"/>
              </w:rPr>
            </w:pPr>
          </w:p>
        </w:tc>
        <w:tc>
          <w:tcPr>
            <w:tcW w:w="379" w:type="pct"/>
            <w:vMerge/>
          </w:tcPr>
          <w:p w:rsidR="00F04AAA" w:rsidRPr="00F87667" w:rsidRDefault="00F04AAA" w:rsidP="00366CA0">
            <w:pPr>
              <w:jc w:val="center"/>
              <w:rPr>
                <w:rFonts w:ascii="仿宋_GB2312" w:hAnsi="仿宋_GB2312"/>
                <w:szCs w:val="21"/>
              </w:rPr>
            </w:pPr>
          </w:p>
        </w:tc>
        <w:tc>
          <w:tcPr>
            <w:tcW w:w="302" w:type="pct"/>
            <w:vMerge/>
          </w:tcPr>
          <w:p w:rsidR="00F04AAA" w:rsidRPr="00F87667" w:rsidRDefault="00F04AAA" w:rsidP="00366CA0">
            <w:pPr>
              <w:jc w:val="center"/>
              <w:rPr>
                <w:rFonts w:ascii="仿宋_GB2312" w:hAnsi="仿宋_GB2312"/>
                <w:szCs w:val="21"/>
              </w:rPr>
            </w:pPr>
          </w:p>
        </w:tc>
        <w:tc>
          <w:tcPr>
            <w:tcW w:w="2831" w:type="pct"/>
            <w:vAlign w:val="center"/>
          </w:tcPr>
          <w:p w:rsidR="00F04AAA" w:rsidRPr="00F04AAA" w:rsidRDefault="00F04AAA" w:rsidP="002873DC">
            <w:pPr>
              <w:rPr>
                <w:rFonts w:ascii="宋体" w:eastAsia="宋体" w:hAnsi="宋体"/>
                <w:b/>
                <w:color w:val="000000"/>
                <w:szCs w:val="21"/>
              </w:rPr>
            </w:pPr>
            <w:r w:rsidRPr="00F87667">
              <w:rPr>
                <w:rFonts w:ascii="宋体" w:eastAsia="宋体" w:hAnsi="宋体"/>
                <w:color w:val="000000"/>
                <w:szCs w:val="21"/>
              </w:rPr>
              <w:t>2</w:t>
            </w:r>
            <w:r w:rsidRPr="00F87667">
              <w:rPr>
                <w:rFonts w:ascii="宋体" w:eastAsia="宋体" w:hAnsi="宋体" w:hint="eastAsia"/>
                <w:color w:val="000000"/>
                <w:szCs w:val="21"/>
              </w:rPr>
              <w:t>、建议将普通工业用地、新型产业用地、仓储用地及物流用地之间的相互转化纳入《规定》适用范围，即明确处置后的利益分配和贡献方式适用《规定》，但可约定对该类用地之间转化的审批权限不下放至管理局，仍按原程序进行审批。</w:t>
            </w:r>
            <w:r w:rsidRPr="00F87667">
              <w:rPr>
                <w:rFonts w:ascii="宋体" w:eastAsia="宋体" w:hAnsi="宋体" w:hint="eastAsia"/>
                <w:b/>
                <w:color w:val="000000"/>
                <w:szCs w:val="21"/>
              </w:rPr>
              <w:t>（深圳玮城置业有限公司）</w:t>
            </w:r>
          </w:p>
        </w:tc>
        <w:tc>
          <w:tcPr>
            <w:tcW w:w="282" w:type="pct"/>
            <w:vAlign w:val="center"/>
          </w:tcPr>
          <w:p w:rsidR="00F04AAA" w:rsidRPr="00F87667" w:rsidRDefault="00F04AAA" w:rsidP="00795F6F">
            <w:pPr>
              <w:jc w:val="center"/>
              <w:rPr>
                <w:rFonts w:ascii="宋体" w:eastAsia="宋体" w:hAnsi="宋体"/>
                <w:szCs w:val="21"/>
              </w:rPr>
            </w:pPr>
            <w:r w:rsidRPr="00F87667">
              <w:rPr>
                <w:rFonts w:ascii="宋体" w:eastAsia="宋体" w:hAnsi="宋体" w:hint="eastAsia"/>
                <w:szCs w:val="21"/>
              </w:rPr>
              <w:t>解释</w:t>
            </w:r>
          </w:p>
        </w:tc>
        <w:tc>
          <w:tcPr>
            <w:tcW w:w="1023" w:type="pct"/>
          </w:tcPr>
          <w:p w:rsidR="00F04AAA" w:rsidRPr="00F87667" w:rsidRDefault="00F04AAA" w:rsidP="002F049B">
            <w:pPr>
              <w:jc w:val="left"/>
              <w:rPr>
                <w:rFonts w:ascii="仿宋_GB2312" w:hAnsi="仿宋_GB2312"/>
                <w:szCs w:val="21"/>
              </w:rPr>
            </w:pPr>
            <w:r w:rsidRPr="00F87667">
              <w:rPr>
                <w:rFonts w:ascii="宋体" w:eastAsia="宋体" w:hAnsi="宋体" w:hint="eastAsia"/>
                <w:szCs w:val="21"/>
              </w:rPr>
              <w:t>普通工业用地、新型产业用地、仓储用地及物流用地之间的相互转化不适用于本规定，按其他相</w:t>
            </w:r>
            <w:r w:rsidRPr="00F04AAA">
              <w:rPr>
                <w:rFonts w:ascii="宋体" w:eastAsia="宋体" w:hAnsi="宋体" w:hint="eastAsia"/>
                <w:szCs w:val="21"/>
              </w:rPr>
              <w:t>关规定执行。</w:t>
            </w:r>
          </w:p>
        </w:tc>
      </w:tr>
      <w:tr w:rsidR="00F04AAA" w:rsidRPr="00F87667" w:rsidTr="00795F6F">
        <w:trPr>
          <w:trHeight w:val="748"/>
        </w:trPr>
        <w:tc>
          <w:tcPr>
            <w:tcW w:w="183" w:type="pct"/>
            <w:vMerge/>
            <w:vAlign w:val="center"/>
          </w:tcPr>
          <w:p w:rsidR="00F04AAA" w:rsidRPr="00F87667" w:rsidRDefault="00F04AAA" w:rsidP="009C4938">
            <w:pPr>
              <w:jc w:val="center"/>
              <w:rPr>
                <w:rFonts w:ascii="仿宋_GB2312" w:hAnsi="仿宋_GB2312"/>
                <w:szCs w:val="21"/>
              </w:rPr>
            </w:pPr>
          </w:p>
        </w:tc>
        <w:tc>
          <w:tcPr>
            <w:tcW w:w="379" w:type="pct"/>
            <w:vMerge/>
          </w:tcPr>
          <w:p w:rsidR="00F04AAA" w:rsidRPr="00F87667" w:rsidRDefault="00F04AAA" w:rsidP="00366CA0">
            <w:pPr>
              <w:jc w:val="center"/>
              <w:rPr>
                <w:rFonts w:ascii="仿宋_GB2312" w:hAnsi="仿宋_GB2312"/>
                <w:szCs w:val="21"/>
              </w:rPr>
            </w:pPr>
          </w:p>
        </w:tc>
        <w:tc>
          <w:tcPr>
            <w:tcW w:w="302" w:type="pct"/>
            <w:vMerge/>
          </w:tcPr>
          <w:p w:rsidR="00F04AAA" w:rsidRPr="00F87667" w:rsidRDefault="00F04AAA" w:rsidP="00366CA0">
            <w:pPr>
              <w:jc w:val="center"/>
              <w:rPr>
                <w:rFonts w:ascii="仿宋_GB2312" w:hAnsi="仿宋_GB2312"/>
                <w:szCs w:val="21"/>
              </w:rPr>
            </w:pPr>
          </w:p>
        </w:tc>
        <w:tc>
          <w:tcPr>
            <w:tcW w:w="2831" w:type="pct"/>
            <w:vAlign w:val="center"/>
          </w:tcPr>
          <w:p w:rsidR="00F04AAA" w:rsidRPr="00F87667" w:rsidRDefault="00F04AAA" w:rsidP="00F04AAA">
            <w:pPr>
              <w:rPr>
                <w:rFonts w:ascii="宋体" w:eastAsia="宋体" w:hAnsi="宋体"/>
                <w:color w:val="000000"/>
                <w:szCs w:val="21"/>
              </w:rPr>
            </w:pPr>
            <w:r w:rsidRPr="00F04AAA">
              <w:rPr>
                <w:rFonts w:ascii="宋体" w:eastAsia="宋体" w:hAnsi="宋体"/>
                <w:color w:val="000000"/>
                <w:szCs w:val="21"/>
              </w:rPr>
              <w:t>3</w:t>
            </w:r>
            <w:r w:rsidRPr="00F04AAA">
              <w:rPr>
                <w:rFonts w:ascii="宋体" w:eastAsia="宋体" w:hAnsi="宋体" w:hint="eastAsia"/>
                <w:color w:val="000000"/>
                <w:szCs w:val="21"/>
              </w:rPr>
              <w:t>、第三条第一款后半句“其中，招标、拍卖、挂牌出让用地和城市更新项目用地、土地整备等价值置换用地须已全部建成并完成规划验收</w:t>
            </w:r>
            <w:r>
              <w:rPr>
                <w:rFonts w:ascii="宋体" w:eastAsia="宋体" w:hAnsi="宋体" w:hint="eastAsia"/>
                <w:color w:val="000000"/>
                <w:szCs w:val="21"/>
              </w:rPr>
              <w:t>。</w:t>
            </w:r>
            <w:r w:rsidRPr="00F04AAA">
              <w:rPr>
                <w:rFonts w:ascii="宋体" w:eastAsia="宋体" w:hAnsi="宋体" w:hint="eastAsia"/>
                <w:color w:val="000000"/>
                <w:szCs w:val="21"/>
              </w:rPr>
              <w:t xml:space="preserve"> ”该部分用地是已经全部建成且完成规划验收的，也可以调整容积？建议调整表述，以明确。</w:t>
            </w:r>
            <w:r w:rsidRPr="00F04AAA">
              <w:rPr>
                <w:rFonts w:ascii="宋体" w:eastAsia="宋体" w:hAnsi="宋体" w:hint="eastAsia"/>
                <w:b/>
                <w:color w:val="000000"/>
                <w:szCs w:val="21"/>
              </w:rPr>
              <w:t>（市民</w:t>
            </w:r>
            <w:r w:rsidRPr="00F04AAA">
              <w:rPr>
                <w:rFonts w:ascii="宋体" w:eastAsia="宋体" w:hAnsi="宋体"/>
                <w:b/>
                <w:color w:val="000000"/>
                <w:szCs w:val="21"/>
              </w:rPr>
              <w:t>18665822425</w:t>
            </w:r>
            <w:r w:rsidRPr="00F04AAA">
              <w:rPr>
                <w:rFonts w:ascii="宋体" w:eastAsia="宋体" w:hAnsi="宋体" w:hint="eastAsia"/>
                <w:b/>
                <w:color w:val="000000"/>
                <w:szCs w:val="21"/>
              </w:rPr>
              <w:t>）</w:t>
            </w:r>
          </w:p>
        </w:tc>
        <w:tc>
          <w:tcPr>
            <w:tcW w:w="282" w:type="pct"/>
            <w:vAlign w:val="center"/>
          </w:tcPr>
          <w:p w:rsidR="00F04AAA" w:rsidRPr="00F87667" w:rsidRDefault="00BD11EC" w:rsidP="00795F6F">
            <w:pPr>
              <w:jc w:val="center"/>
              <w:rPr>
                <w:rFonts w:ascii="宋体" w:eastAsia="宋体" w:hAnsi="宋体"/>
                <w:szCs w:val="21"/>
              </w:rPr>
            </w:pPr>
            <w:r>
              <w:rPr>
                <w:rFonts w:ascii="宋体" w:eastAsia="宋体" w:hAnsi="宋体" w:hint="eastAsia"/>
                <w:szCs w:val="21"/>
              </w:rPr>
              <w:t>采纳</w:t>
            </w:r>
          </w:p>
        </w:tc>
        <w:tc>
          <w:tcPr>
            <w:tcW w:w="1023" w:type="pct"/>
          </w:tcPr>
          <w:p w:rsidR="00F04AAA" w:rsidRPr="00F87667" w:rsidRDefault="00F04AAA" w:rsidP="000B1677">
            <w:pPr>
              <w:jc w:val="left"/>
              <w:rPr>
                <w:rFonts w:ascii="宋体" w:eastAsia="宋体" w:hAnsi="宋体"/>
                <w:szCs w:val="21"/>
              </w:rPr>
            </w:pPr>
            <w:r>
              <w:rPr>
                <w:rFonts w:ascii="宋体" w:eastAsia="宋体" w:hAnsi="宋体" w:hint="eastAsia"/>
                <w:szCs w:val="21"/>
              </w:rPr>
              <w:t>表述</w:t>
            </w:r>
            <w:r>
              <w:rPr>
                <w:rFonts w:ascii="宋体" w:eastAsia="宋体" w:hAnsi="宋体"/>
                <w:szCs w:val="21"/>
              </w:rPr>
              <w:t>已明确，凡是属于</w:t>
            </w:r>
            <w:proofErr w:type="gramStart"/>
            <w:r>
              <w:rPr>
                <w:rFonts w:ascii="宋体" w:eastAsia="宋体" w:hAnsi="宋体"/>
                <w:szCs w:val="21"/>
              </w:rPr>
              <w:t>招拍挂</w:t>
            </w:r>
            <w:proofErr w:type="gramEnd"/>
            <w:r>
              <w:rPr>
                <w:rFonts w:ascii="宋体" w:eastAsia="宋体" w:hAnsi="宋体"/>
                <w:szCs w:val="21"/>
              </w:rPr>
              <w:t>的、</w:t>
            </w:r>
            <w:r>
              <w:rPr>
                <w:rFonts w:ascii="宋体" w:eastAsia="宋体" w:hAnsi="宋体" w:hint="eastAsia"/>
                <w:szCs w:val="21"/>
              </w:rPr>
              <w:t>城市</w:t>
            </w:r>
            <w:r>
              <w:rPr>
                <w:rFonts w:ascii="宋体" w:eastAsia="宋体" w:hAnsi="宋体"/>
                <w:szCs w:val="21"/>
              </w:rPr>
              <w:t>更新项目以及土地整备置换的用地都须全部建成</w:t>
            </w:r>
            <w:r>
              <w:rPr>
                <w:rFonts w:ascii="宋体" w:eastAsia="宋体" w:hAnsi="宋体" w:hint="eastAsia"/>
                <w:szCs w:val="21"/>
              </w:rPr>
              <w:t>并且</w:t>
            </w:r>
            <w:r>
              <w:rPr>
                <w:rFonts w:ascii="宋体" w:eastAsia="宋体" w:hAnsi="宋体"/>
                <w:szCs w:val="21"/>
              </w:rPr>
              <w:t>完成规划验收。</w:t>
            </w:r>
          </w:p>
        </w:tc>
      </w:tr>
      <w:tr w:rsidR="00F04AAA" w:rsidRPr="00F87667" w:rsidTr="00795F6F">
        <w:trPr>
          <w:trHeight w:val="1255"/>
        </w:trPr>
        <w:tc>
          <w:tcPr>
            <w:tcW w:w="183" w:type="pct"/>
            <w:vAlign w:val="center"/>
          </w:tcPr>
          <w:p w:rsidR="00F04AAA" w:rsidRPr="00F87667" w:rsidRDefault="00FA39CE" w:rsidP="00F04AAA">
            <w:pPr>
              <w:jc w:val="center"/>
              <w:rPr>
                <w:rFonts w:ascii="仿宋_GB2312" w:hAnsi="仿宋_GB2312"/>
                <w:szCs w:val="21"/>
              </w:rPr>
            </w:pPr>
            <w:r>
              <w:rPr>
                <w:rFonts w:ascii="仿宋_GB2312" w:hAnsi="仿宋_GB2312" w:hint="eastAsia"/>
                <w:szCs w:val="21"/>
              </w:rPr>
              <w:t>2</w:t>
            </w:r>
          </w:p>
        </w:tc>
        <w:tc>
          <w:tcPr>
            <w:tcW w:w="379" w:type="pct"/>
          </w:tcPr>
          <w:p w:rsidR="00F04AAA" w:rsidRPr="00F87667" w:rsidRDefault="00F04AAA" w:rsidP="00F04AAA">
            <w:pPr>
              <w:jc w:val="center"/>
              <w:rPr>
                <w:rFonts w:ascii="仿宋_GB2312" w:hAnsi="仿宋_GB2312"/>
                <w:szCs w:val="21"/>
              </w:rPr>
            </w:pPr>
            <w:r>
              <w:rPr>
                <w:rFonts w:ascii="仿宋_GB2312" w:hAnsi="仿宋_GB2312" w:hint="eastAsia"/>
                <w:szCs w:val="21"/>
              </w:rPr>
              <w:t>实施路径</w:t>
            </w:r>
          </w:p>
        </w:tc>
        <w:tc>
          <w:tcPr>
            <w:tcW w:w="302" w:type="pct"/>
          </w:tcPr>
          <w:p w:rsidR="00F04AAA" w:rsidRPr="00F87667" w:rsidRDefault="00F04AAA" w:rsidP="00F04AAA">
            <w:pPr>
              <w:jc w:val="center"/>
              <w:rPr>
                <w:rFonts w:ascii="仿宋_GB2312" w:hAnsi="仿宋_GB2312"/>
                <w:szCs w:val="21"/>
              </w:rPr>
            </w:pPr>
            <w:r>
              <w:rPr>
                <w:rFonts w:ascii="仿宋_GB2312" w:hAnsi="仿宋_GB2312" w:hint="eastAsia"/>
                <w:szCs w:val="21"/>
              </w:rPr>
              <w:t>第四条</w:t>
            </w:r>
          </w:p>
        </w:tc>
        <w:tc>
          <w:tcPr>
            <w:tcW w:w="2831" w:type="pct"/>
            <w:vAlign w:val="center"/>
          </w:tcPr>
          <w:p w:rsidR="00F04AAA" w:rsidRPr="00F87667" w:rsidRDefault="00FA39CE" w:rsidP="00F04AAA">
            <w:pPr>
              <w:rPr>
                <w:rFonts w:ascii="宋体" w:eastAsia="宋体" w:hAnsi="宋体"/>
                <w:color w:val="000000"/>
                <w:szCs w:val="21"/>
              </w:rPr>
            </w:pPr>
            <w:r>
              <w:rPr>
                <w:rFonts w:ascii="宋体" w:eastAsia="宋体" w:hAnsi="宋体" w:hint="eastAsia"/>
                <w:color w:val="000000"/>
                <w:szCs w:val="21"/>
              </w:rPr>
              <w:t>4、</w:t>
            </w:r>
            <w:r w:rsidR="00F04AAA" w:rsidRPr="00F04AAA">
              <w:rPr>
                <w:rFonts w:ascii="宋体" w:eastAsia="宋体" w:hAnsi="宋体" w:hint="eastAsia"/>
                <w:color w:val="000000"/>
                <w:szCs w:val="21"/>
              </w:rPr>
              <w:t>第五条基本原则中的第（二）项、第（三）项及第（四）项，存在冲突，符合产业发展导向的，在</w:t>
            </w:r>
            <w:proofErr w:type="gramStart"/>
            <w:r w:rsidR="00F04AAA" w:rsidRPr="00F04AAA">
              <w:rPr>
                <w:rFonts w:ascii="宋体" w:eastAsia="宋体" w:hAnsi="宋体" w:hint="eastAsia"/>
                <w:color w:val="000000"/>
                <w:szCs w:val="21"/>
              </w:rPr>
              <w:t>现行产业</w:t>
            </w:r>
            <w:proofErr w:type="gramEnd"/>
            <w:r w:rsidR="00F04AAA" w:rsidRPr="00F04AAA">
              <w:rPr>
                <w:rFonts w:ascii="宋体" w:eastAsia="宋体" w:hAnsi="宋体" w:hint="eastAsia"/>
                <w:color w:val="000000"/>
                <w:szCs w:val="21"/>
              </w:rPr>
              <w:t>集中发展的趋势下，上下游企业集合式发展，产业项目的开发，若以自用为主为原则，则可能导致不利于产业集中式发展，普遍形成产业土地资源未能得到高效充分利用的情况。建议调整，删除第（四）项以自用为主的原则。</w:t>
            </w:r>
            <w:r w:rsidR="00F04AAA" w:rsidRPr="00F04AAA">
              <w:rPr>
                <w:rFonts w:ascii="宋体" w:eastAsia="宋体" w:hAnsi="宋体" w:hint="eastAsia"/>
                <w:b/>
                <w:color w:val="000000"/>
                <w:szCs w:val="21"/>
              </w:rPr>
              <w:t>（市民</w:t>
            </w:r>
            <w:r w:rsidR="00F04AAA" w:rsidRPr="00F04AAA">
              <w:rPr>
                <w:rFonts w:ascii="宋体" w:eastAsia="宋体" w:hAnsi="宋体"/>
                <w:b/>
                <w:color w:val="000000"/>
                <w:szCs w:val="21"/>
              </w:rPr>
              <w:t>18665822425</w:t>
            </w:r>
            <w:r w:rsidR="00F04AAA" w:rsidRPr="00F04AAA">
              <w:rPr>
                <w:rFonts w:ascii="宋体" w:eastAsia="宋体" w:hAnsi="宋体" w:hint="eastAsia"/>
                <w:b/>
                <w:color w:val="000000"/>
                <w:szCs w:val="21"/>
              </w:rPr>
              <w:t>）</w:t>
            </w:r>
          </w:p>
        </w:tc>
        <w:tc>
          <w:tcPr>
            <w:tcW w:w="282" w:type="pct"/>
            <w:vAlign w:val="center"/>
          </w:tcPr>
          <w:p w:rsidR="00F04AAA" w:rsidRPr="00F87667" w:rsidRDefault="00F04AAA" w:rsidP="00F04AAA">
            <w:pPr>
              <w:jc w:val="center"/>
              <w:rPr>
                <w:rFonts w:ascii="宋体" w:eastAsia="宋体" w:hAnsi="宋体"/>
                <w:szCs w:val="21"/>
              </w:rPr>
            </w:pPr>
            <w:r>
              <w:rPr>
                <w:rFonts w:ascii="宋体" w:eastAsia="宋体" w:hAnsi="宋体" w:hint="eastAsia"/>
                <w:szCs w:val="21"/>
              </w:rPr>
              <w:t>解释</w:t>
            </w:r>
          </w:p>
        </w:tc>
        <w:tc>
          <w:tcPr>
            <w:tcW w:w="1023" w:type="pct"/>
          </w:tcPr>
          <w:p w:rsidR="00F04AAA" w:rsidRPr="00F87667" w:rsidRDefault="00F04AAA" w:rsidP="00F04AAA">
            <w:pPr>
              <w:jc w:val="left"/>
              <w:rPr>
                <w:rFonts w:ascii="仿宋_GB2312" w:hAnsi="仿宋_GB2312"/>
                <w:szCs w:val="21"/>
              </w:rPr>
            </w:pPr>
            <w:r w:rsidRPr="00F87667">
              <w:rPr>
                <w:rFonts w:ascii="仿宋_GB2312" w:hAnsi="仿宋_GB2312" w:hint="eastAsia"/>
                <w:szCs w:val="21"/>
              </w:rPr>
              <w:t>本次政策制定导向在于保障产业发展空间，防止产业空心化及房地产化，严格要求新增建筑不得转让。</w:t>
            </w:r>
          </w:p>
        </w:tc>
      </w:tr>
      <w:tr w:rsidR="00F04AAA" w:rsidRPr="00F87667" w:rsidTr="00795F6F">
        <w:trPr>
          <w:trHeight w:val="1255"/>
        </w:trPr>
        <w:tc>
          <w:tcPr>
            <w:tcW w:w="183" w:type="pct"/>
            <w:vAlign w:val="center"/>
          </w:tcPr>
          <w:p w:rsidR="00F04AAA" w:rsidRPr="00F87667" w:rsidRDefault="00FA39CE" w:rsidP="00F04AAA">
            <w:pPr>
              <w:jc w:val="center"/>
              <w:rPr>
                <w:rFonts w:ascii="仿宋_GB2312" w:hAnsi="仿宋_GB2312"/>
                <w:szCs w:val="21"/>
              </w:rPr>
            </w:pPr>
            <w:r>
              <w:rPr>
                <w:rFonts w:ascii="仿宋_GB2312" w:hAnsi="仿宋_GB2312"/>
                <w:szCs w:val="21"/>
              </w:rPr>
              <w:t>3</w:t>
            </w:r>
          </w:p>
        </w:tc>
        <w:tc>
          <w:tcPr>
            <w:tcW w:w="379"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容积确定</w:t>
            </w:r>
          </w:p>
        </w:tc>
        <w:tc>
          <w:tcPr>
            <w:tcW w:w="302"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第七条</w:t>
            </w:r>
          </w:p>
        </w:tc>
        <w:tc>
          <w:tcPr>
            <w:tcW w:w="2831" w:type="pct"/>
            <w:vAlign w:val="center"/>
          </w:tcPr>
          <w:p w:rsidR="00F04AAA" w:rsidRPr="00F87667" w:rsidRDefault="00FA39CE" w:rsidP="00F04AAA">
            <w:pPr>
              <w:rPr>
                <w:rFonts w:ascii="宋体" w:eastAsia="宋体" w:hAnsi="宋体"/>
                <w:color w:val="000000"/>
                <w:szCs w:val="21"/>
              </w:rPr>
            </w:pPr>
            <w:r>
              <w:rPr>
                <w:rFonts w:ascii="宋体" w:eastAsia="宋体" w:hAnsi="宋体"/>
                <w:color w:val="000000"/>
                <w:szCs w:val="21"/>
              </w:rPr>
              <w:t>5</w:t>
            </w:r>
            <w:r w:rsidR="00F04AAA" w:rsidRPr="00F87667">
              <w:rPr>
                <w:rFonts w:ascii="宋体" w:eastAsia="宋体" w:hAnsi="宋体"/>
                <w:color w:val="000000"/>
                <w:szCs w:val="21"/>
              </w:rPr>
              <w:t>、</w:t>
            </w:r>
            <w:r w:rsidR="00F04AAA" w:rsidRPr="00F87667">
              <w:rPr>
                <w:rFonts w:ascii="宋体" w:eastAsia="宋体" w:hAnsi="宋体" w:hint="eastAsia"/>
                <w:color w:val="000000"/>
                <w:szCs w:val="21"/>
              </w:rPr>
              <w:t>“基础容积按生效法定规划确定”</w:t>
            </w:r>
          </w:p>
          <w:p w:rsidR="00F04AAA" w:rsidRPr="00F87667" w:rsidRDefault="00F04AAA" w:rsidP="00F04AAA">
            <w:pPr>
              <w:ind w:left="420"/>
              <w:rPr>
                <w:rFonts w:ascii="宋体" w:eastAsia="宋体" w:hAnsi="宋体"/>
                <w:color w:val="000000"/>
                <w:szCs w:val="21"/>
              </w:rPr>
            </w:pPr>
            <w:r w:rsidRPr="00797B2D">
              <w:rPr>
                <w:rFonts w:ascii="宋体" w:eastAsia="宋体" w:hAnsi="宋体"/>
                <w:noProof/>
                <w:color w:val="000000"/>
                <w:szCs w:val="21"/>
              </w:rPr>
              <w:drawing>
                <wp:inline distT="0" distB="0" distL="0" distR="0" wp14:anchorId="5BC903AA" wp14:editId="499E8AD1">
                  <wp:extent cx="2647950" cy="809625"/>
                  <wp:effectExtent l="0" t="0" r="0" b="9525"/>
                  <wp:docPr id="3" name="图片 3" descr="https://mail.sz.gov.cn/RmWeb/view.do?func=attach:getAttach&amp;sid=7Vb7LMST0Coa6g3iQBcRjO2R0RrAp35e000001&amp;tempId=01429918145229qy0m9433p0&amp;fileNam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sz.gov.cn/RmWeb/view.do?func=attach:getAttach&amp;sid=7Vb7LMST0Coa6g3iQBcRjO2R0RrAp35e000001&amp;tempId=01429918145229qy0m9433p0&amp;fileName=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809625"/>
                          </a:xfrm>
                          <a:prstGeom prst="rect">
                            <a:avLst/>
                          </a:prstGeom>
                          <a:noFill/>
                          <a:ln>
                            <a:noFill/>
                          </a:ln>
                        </pic:spPr>
                      </pic:pic>
                    </a:graphicData>
                  </a:graphic>
                </wp:inline>
              </w:drawing>
            </w:r>
          </w:p>
          <w:p w:rsidR="00F04AAA" w:rsidRPr="00F87667" w:rsidRDefault="00F04AAA" w:rsidP="00F04AAA">
            <w:pPr>
              <w:ind w:left="420"/>
              <w:rPr>
                <w:rFonts w:ascii="宋体" w:eastAsia="宋体" w:hAnsi="宋体"/>
                <w:color w:val="000000"/>
                <w:szCs w:val="21"/>
              </w:rPr>
            </w:pPr>
            <w:r w:rsidRPr="00F87667">
              <w:rPr>
                <w:rFonts w:ascii="宋体" w:eastAsia="宋体" w:hAnsi="宋体" w:hint="eastAsia"/>
                <w:color w:val="000000"/>
                <w:szCs w:val="21"/>
              </w:rPr>
              <w:t>请问如图</w:t>
            </w:r>
            <w:r w:rsidRPr="00F87667">
              <w:rPr>
                <w:rFonts w:ascii="宋体" w:eastAsia="宋体" w:hAnsi="宋体"/>
                <w:color w:val="000000"/>
                <w:szCs w:val="21"/>
              </w:rPr>
              <w:t xml:space="preserve">04-08，基础容积计算是否为55309x3？如果该部分实际开发建设用地为40000㎡，其余为贡献用地，基础容积是否还是为55309x3？ </w:t>
            </w:r>
            <w:r w:rsidRPr="00F87667">
              <w:rPr>
                <w:rFonts w:ascii="宋体" w:eastAsia="宋体" w:hAnsi="宋体" w:hint="eastAsia"/>
                <w:color w:val="000000"/>
                <w:szCs w:val="21"/>
              </w:rPr>
              <w:t>“如需对已生效法定规划容积进行调整按《深标》等相关规定研究确定”请问什么情况可按深标确定？若法定图则为近两年颁布的可否按深标计算？若不可以，请问是几年内颁布的可以突破？基础容积</w:t>
            </w:r>
            <w:r w:rsidRPr="00F87667">
              <w:rPr>
                <w:rFonts w:ascii="宋体" w:eastAsia="宋体" w:hAnsi="宋体"/>
                <w:color w:val="000000"/>
                <w:szCs w:val="21"/>
              </w:rPr>
              <w:t>=开发建设用地面积x基准容积率x修正系数请问项目为一宗地（如下图红框），是否按照规划方案，两块开发建设用地分开计算，得出各自基础容积后加总？</w:t>
            </w:r>
          </w:p>
          <w:p w:rsidR="00F04AAA" w:rsidRPr="00F87667" w:rsidRDefault="00F04AAA" w:rsidP="00F04AAA">
            <w:pPr>
              <w:ind w:left="420"/>
              <w:rPr>
                <w:rFonts w:ascii="宋体" w:eastAsia="宋体" w:hAnsi="宋体"/>
                <w:color w:val="000000"/>
                <w:szCs w:val="21"/>
              </w:rPr>
            </w:pPr>
            <w:r w:rsidRPr="00797B2D">
              <w:rPr>
                <w:rFonts w:ascii="宋体" w:eastAsia="宋体" w:hAnsi="宋体"/>
                <w:noProof/>
                <w:color w:val="000000"/>
                <w:szCs w:val="21"/>
              </w:rPr>
              <w:drawing>
                <wp:inline distT="0" distB="0" distL="0" distR="0" wp14:anchorId="624049A4" wp14:editId="575610FD">
                  <wp:extent cx="1162050" cy="1304925"/>
                  <wp:effectExtent l="0" t="0" r="0" b="9525"/>
                  <wp:docPr id="2" name="图片 2" descr="https://mail.sz.gov.cn/RmWeb/view.do?func=attach:getAttach&amp;sid=7Vb7LMST0Coa6g3iQBcRjO2R0RrAp35e000001&amp;tempId=014299181452i239ls7lh5qh&amp;fileNam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sz.gov.cn/RmWeb/view.do?func=attach:getAttach&amp;sid=7Vb7LMST0Coa6g3iQBcRjO2R0RrAp35e000001&amp;tempId=014299181452i239ls7lh5qh&amp;fileName=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p>
          <w:p w:rsidR="00F04AAA" w:rsidRPr="00F87667" w:rsidRDefault="00F04AAA" w:rsidP="00F04AAA">
            <w:pPr>
              <w:rPr>
                <w:rFonts w:ascii="宋体" w:eastAsia="宋体" w:hAnsi="宋体"/>
                <w:b/>
                <w:szCs w:val="21"/>
              </w:rPr>
            </w:pPr>
            <w:r w:rsidRPr="00F87667">
              <w:rPr>
                <w:rFonts w:ascii="宋体" w:eastAsia="宋体" w:hAnsi="宋体" w:hint="eastAsia"/>
                <w:b/>
                <w:color w:val="000000"/>
                <w:szCs w:val="21"/>
              </w:rPr>
              <w:t>（</w:t>
            </w:r>
            <w:r w:rsidR="00EB4126" w:rsidRPr="00F87667">
              <w:rPr>
                <w:rFonts w:ascii="宋体" w:eastAsia="宋体" w:hAnsi="宋体" w:hint="eastAsia"/>
                <w:b/>
                <w:color w:val="000000"/>
                <w:szCs w:val="21"/>
              </w:rPr>
              <w:t>万科</w:t>
            </w:r>
            <w:r w:rsidR="00EB4126">
              <w:rPr>
                <w:rFonts w:ascii="宋体" w:eastAsia="宋体" w:hAnsi="宋体" w:hint="eastAsia"/>
                <w:b/>
                <w:color w:val="000000"/>
                <w:szCs w:val="21"/>
              </w:rPr>
              <w:t>公司</w:t>
            </w:r>
            <w:r w:rsidR="00EB4126" w:rsidRPr="00F87667">
              <w:rPr>
                <w:rFonts w:ascii="宋体" w:eastAsia="宋体" w:hAnsi="宋体" w:hint="eastAsia"/>
                <w:b/>
                <w:color w:val="000000"/>
                <w:szCs w:val="21"/>
              </w:rPr>
              <w:t>）</w:t>
            </w:r>
          </w:p>
        </w:tc>
        <w:tc>
          <w:tcPr>
            <w:tcW w:w="282" w:type="pct"/>
            <w:vAlign w:val="center"/>
          </w:tcPr>
          <w:p w:rsidR="00F04AAA" w:rsidRPr="00F87667" w:rsidRDefault="00BD11EC" w:rsidP="00F04AAA">
            <w:pPr>
              <w:jc w:val="center"/>
              <w:rPr>
                <w:rFonts w:ascii="宋体" w:eastAsia="宋体" w:hAnsi="宋体"/>
                <w:szCs w:val="21"/>
              </w:rPr>
            </w:pPr>
            <w:r>
              <w:rPr>
                <w:rFonts w:ascii="宋体" w:eastAsia="宋体" w:hAnsi="宋体" w:hint="eastAsia"/>
                <w:szCs w:val="21"/>
              </w:rPr>
              <w:t>采纳</w:t>
            </w:r>
          </w:p>
          <w:p w:rsidR="00F04AAA" w:rsidRPr="00F87667" w:rsidRDefault="00F04AAA" w:rsidP="00F04AAA">
            <w:pPr>
              <w:jc w:val="left"/>
              <w:rPr>
                <w:rFonts w:ascii="宋体" w:eastAsia="宋体" w:hAnsi="宋体"/>
                <w:szCs w:val="21"/>
              </w:rPr>
            </w:pPr>
          </w:p>
        </w:tc>
        <w:tc>
          <w:tcPr>
            <w:tcW w:w="1023" w:type="pct"/>
          </w:tcPr>
          <w:p w:rsidR="00F04AAA" w:rsidRPr="00F87667" w:rsidRDefault="00F04AAA" w:rsidP="000B1677">
            <w:pPr>
              <w:jc w:val="left"/>
              <w:rPr>
                <w:rFonts w:ascii="仿宋_GB2312" w:hAnsi="仿宋_GB2312"/>
                <w:szCs w:val="21"/>
              </w:rPr>
            </w:pPr>
            <w:r w:rsidRPr="00F87667">
              <w:rPr>
                <w:rFonts w:ascii="仿宋_GB2312" w:hAnsi="仿宋_GB2312" w:hint="eastAsia"/>
                <w:szCs w:val="21"/>
              </w:rPr>
              <w:t>已修改</w:t>
            </w:r>
            <w:r w:rsidR="000B1677">
              <w:rPr>
                <w:rFonts w:ascii="仿宋_GB2312" w:hAnsi="仿宋_GB2312" w:hint="eastAsia"/>
                <w:szCs w:val="21"/>
              </w:rPr>
              <w:t>相关表述</w:t>
            </w:r>
            <w:r w:rsidRPr="00F87667">
              <w:rPr>
                <w:rFonts w:ascii="仿宋_GB2312" w:hAnsi="仿宋_GB2312" w:hint="eastAsia"/>
                <w:szCs w:val="21"/>
              </w:rPr>
              <w:t>。</w:t>
            </w:r>
          </w:p>
        </w:tc>
      </w:tr>
      <w:tr w:rsidR="00F04AAA" w:rsidRPr="00F87667" w:rsidTr="00795F6F">
        <w:trPr>
          <w:trHeight w:val="1245"/>
        </w:trPr>
        <w:tc>
          <w:tcPr>
            <w:tcW w:w="183" w:type="pct"/>
            <w:vMerge w:val="restart"/>
            <w:vAlign w:val="center"/>
          </w:tcPr>
          <w:p w:rsidR="00F04AAA" w:rsidRPr="00F87667" w:rsidRDefault="00FA39CE" w:rsidP="00F04AAA">
            <w:pPr>
              <w:jc w:val="center"/>
              <w:rPr>
                <w:rFonts w:ascii="仿宋_GB2312" w:hAnsi="仿宋_GB2312"/>
                <w:szCs w:val="21"/>
              </w:rPr>
            </w:pPr>
            <w:r>
              <w:rPr>
                <w:rFonts w:ascii="仿宋_GB2312" w:hAnsi="仿宋_GB2312"/>
                <w:szCs w:val="21"/>
              </w:rPr>
              <w:t>4</w:t>
            </w:r>
          </w:p>
        </w:tc>
        <w:tc>
          <w:tcPr>
            <w:tcW w:w="379" w:type="pct"/>
            <w:vMerge w:val="restar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土地、建筑物贡献</w:t>
            </w:r>
          </w:p>
        </w:tc>
        <w:tc>
          <w:tcPr>
            <w:tcW w:w="302" w:type="pct"/>
            <w:vMerge w:val="restar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第八条</w:t>
            </w:r>
          </w:p>
        </w:tc>
        <w:tc>
          <w:tcPr>
            <w:tcW w:w="2831" w:type="pct"/>
            <w:vAlign w:val="center"/>
          </w:tcPr>
          <w:p w:rsidR="00F04AAA" w:rsidRPr="00F87667" w:rsidRDefault="00FA39CE" w:rsidP="00F04AAA">
            <w:pPr>
              <w:widowControl/>
              <w:spacing w:before="100" w:beforeAutospacing="1" w:after="100" w:afterAutospacing="1"/>
              <w:jc w:val="left"/>
              <w:rPr>
                <w:rFonts w:ascii="宋体" w:eastAsia="宋体" w:hAnsi="宋体" w:cs="Arial"/>
                <w:color w:val="000000"/>
                <w:kern w:val="0"/>
                <w:szCs w:val="21"/>
              </w:rPr>
            </w:pPr>
            <w:r>
              <w:rPr>
                <w:rFonts w:ascii="宋体" w:eastAsia="宋体" w:hAnsi="宋体" w:cs="Arial"/>
                <w:color w:val="000000"/>
                <w:kern w:val="0"/>
                <w:szCs w:val="21"/>
              </w:rPr>
              <w:t>6</w:t>
            </w:r>
            <w:r w:rsidR="00F04AAA" w:rsidRPr="00F87667">
              <w:rPr>
                <w:rFonts w:ascii="宋体" w:eastAsia="宋体" w:hAnsi="宋体" w:cs="Arial"/>
                <w:color w:val="000000"/>
                <w:kern w:val="0"/>
                <w:szCs w:val="21"/>
              </w:rPr>
              <w:t>、第八条 产业用地容积调整以新增建筑面积的15%为贡献基准。已建成的产业用地，新增建筑面积为基础容积与规划验收建筑面积的差值；未建成的产业用地，新增建筑面积为基础容积与出让合同约定的建筑面积的差值。理由：为避免给各区太大自由裁量权，建议直接</w:t>
            </w:r>
            <w:proofErr w:type="gramStart"/>
            <w:r w:rsidR="00F04AAA" w:rsidRPr="00F87667">
              <w:rPr>
                <w:rFonts w:ascii="宋体" w:eastAsia="宋体" w:hAnsi="宋体" w:cs="Arial"/>
                <w:color w:val="000000"/>
                <w:kern w:val="0"/>
                <w:szCs w:val="21"/>
              </w:rPr>
              <w:t>明确须</w:t>
            </w:r>
            <w:proofErr w:type="gramEnd"/>
            <w:r w:rsidR="00F04AAA" w:rsidRPr="00F87667">
              <w:rPr>
                <w:rFonts w:ascii="宋体" w:eastAsia="宋体" w:hAnsi="宋体" w:cs="Arial"/>
                <w:color w:val="000000"/>
                <w:kern w:val="0"/>
                <w:szCs w:val="21"/>
              </w:rPr>
              <w:t>贡献新增建筑面积的15%的物业，且不得低于3000平方米。建议修改为：产业用地容积调整须无偿贡献新增建筑面积的15%的物业，且不得低于3000平方米。已建成的产业用地，新增建筑面积为基础容积与规划验收建筑面积的差值；未建成的产业用地，新增建筑面积为基础容积与出让合同约定的建筑面积的差值。</w:t>
            </w:r>
            <w:r w:rsidR="00F04AAA" w:rsidRPr="00F87667">
              <w:rPr>
                <w:rFonts w:ascii="宋体" w:eastAsia="宋体" w:hAnsi="宋体" w:cs="Arial" w:hint="eastAsia"/>
                <w:b/>
                <w:color w:val="000000"/>
                <w:kern w:val="0"/>
                <w:szCs w:val="21"/>
              </w:rPr>
              <w:t>（市民卢先生）</w:t>
            </w:r>
          </w:p>
        </w:tc>
        <w:tc>
          <w:tcPr>
            <w:tcW w:w="282" w:type="pct"/>
            <w:vAlign w:val="center"/>
          </w:tcPr>
          <w:p w:rsidR="00F04AAA" w:rsidRPr="00F87667" w:rsidRDefault="00F04AAA" w:rsidP="00F04AAA">
            <w:pPr>
              <w:jc w:val="center"/>
              <w:rPr>
                <w:rFonts w:ascii="宋体" w:eastAsia="宋体" w:hAnsi="宋体"/>
                <w:szCs w:val="21"/>
              </w:rPr>
            </w:pPr>
            <w:r w:rsidRPr="00F87667">
              <w:rPr>
                <w:rFonts w:ascii="宋体" w:eastAsia="宋体" w:hAnsi="宋体" w:hint="eastAsia"/>
                <w:szCs w:val="21"/>
              </w:rPr>
              <w:t>解释</w:t>
            </w:r>
          </w:p>
          <w:p w:rsidR="00F04AAA" w:rsidRPr="00F87667" w:rsidRDefault="00F04AAA" w:rsidP="00F04AAA">
            <w:pPr>
              <w:jc w:val="left"/>
              <w:rPr>
                <w:rFonts w:ascii="宋体" w:eastAsia="宋体" w:hAnsi="宋体"/>
                <w:szCs w:val="21"/>
              </w:rPr>
            </w:pPr>
          </w:p>
        </w:tc>
        <w:tc>
          <w:tcPr>
            <w:tcW w:w="1023" w:type="pct"/>
          </w:tcPr>
          <w:p w:rsidR="00F04AAA" w:rsidRPr="00F87667" w:rsidRDefault="00BD11EC" w:rsidP="00F04AAA">
            <w:pPr>
              <w:jc w:val="left"/>
              <w:rPr>
                <w:rFonts w:ascii="宋体" w:eastAsia="宋体" w:hAnsi="宋体"/>
                <w:szCs w:val="21"/>
              </w:rPr>
            </w:pPr>
            <w:r>
              <w:rPr>
                <w:rFonts w:ascii="宋体" w:eastAsia="宋体" w:hAnsi="宋体" w:hint="eastAsia"/>
                <w:szCs w:val="21"/>
              </w:rPr>
              <w:t>考虑资源需充分利用等因素，对于</w:t>
            </w:r>
            <w:proofErr w:type="gramStart"/>
            <w:r>
              <w:rPr>
                <w:rFonts w:ascii="宋体" w:eastAsia="宋体" w:hAnsi="宋体" w:hint="eastAsia"/>
                <w:szCs w:val="21"/>
              </w:rPr>
              <w:t>应贡献</w:t>
            </w:r>
            <w:proofErr w:type="gramEnd"/>
            <w:r>
              <w:rPr>
                <w:rFonts w:ascii="宋体" w:eastAsia="宋体" w:hAnsi="宋体" w:hint="eastAsia"/>
                <w:szCs w:val="21"/>
              </w:rPr>
              <w:t>建筑面积小于等于3000平方米的，土地权利人可缴纳</w:t>
            </w:r>
            <w:r w:rsidR="000B1677">
              <w:rPr>
                <w:rFonts w:ascii="宋体" w:eastAsia="宋体" w:hAnsi="宋体" w:hint="eastAsia"/>
                <w:szCs w:val="21"/>
              </w:rPr>
              <w:t>不得转让的</w:t>
            </w:r>
            <w:r>
              <w:rPr>
                <w:rFonts w:ascii="宋体" w:eastAsia="宋体" w:hAnsi="宋体" w:hint="eastAsia"/>
                <w:szCs w:val="21"/>
              </w:rPr>
              <w:t>市场地价后持有。</w:t>
            </w:r>
          </w:p>
        </w:tc>
      </w:tr>
      <w:tr w:rsidR="00F04AAA" w:rsidRPr="00F87667" w:rsidTr="005B2FB7">
        <w:trPr>
          <w:trHeight w:val="3940"/>
        </w:trPr>
        <w:tc>
          <w:tcPr>
            <w:tcW w:w="183" w:type="pct"/>
            <w:vMerge/>
            <w:vAlign w:val="center"/>
          </w:tcPr>
          <w:p w:rsidR="00F04AAA" w:rsidRPr="00F87667" w:rsidRDefault="00F04AAA" w:rsidP="00F04AAA">
            <w:pPr>
              <w:jc w:val="center"/>
              <w:rPr>
                <w:rFonts w:ascii="仿宋_GB2312" w:hAnsi="仿宋_GB2312"/>
                <w:szCs w:val="21"/>
              </w:rPr>
            </w:pPr>
          </w:p>
        </w:tc>
        <w:tc>
          <w:tcPr>
            <w:tcW w:w="379" w:type="pct"/>
            <w:vMerge/>
          </w:tcPr>
          <w:p w:rsidR="00F04AAA" w:rsidRPr="00F87667" w:rsidRDefault="00F04AAA" w:rsidP="00F04AAA">
            <w:pPr>
              <w:jc w:val="center"/>
              <w:rPr>
                <w:rFonts w:ascii="仿宋_GB2312" w:hAnsi="仿宋_GB2312"/>
                <w:szCs w:val="21"/>
              </w:rPr>
            </w:pPr>
          </w:p>
        </w:tc>
        <w:tc>
          <w:tcPr>
            <w:tcW w:w="302" w:type="pct"/>
            <w:vMerge/>
          </w:tcPr>
          <w:p w:rsidR="00F04AAA" w:rsidRPr="00F87667" w:rsidRDefault="00F04AAA" w:rsidP="00F04AAA">
            <w:pPr>
              <w:jc w:val="center"/>
              <w:rPr>
                <w:rFonts w:ascii="仿宋_GB2312" w:hAnsi="仿宋_GB2312"/>
                <w:szCs w:val="21"/>
              </w:rPr>
            </w:pPr>
          </w:p>
        </w:tc>
        <w:tc>
          <w:tcPr>
            <w:tcW w:w="2831" w:type="pct"/>
            <w:vAlign w:val="center"/>
          </w:tcPr>
          <w:p w:rsidR="00F04AAA" w:rsidRPr="00F87667" w:rsidRDefault="00FA39CE" w:rsidP="00F04AAA">
            <w:pPr>
              <w:rPr>
                <w:rFonts w:ascii="宋体" w:eastAsia="宋体" w:hAnsi="宋体"/>
                <w:color w:val="000000"/>
                <w:szCs w:val="21"/>
              </w:rPr>
            </w:pPr>
            <w:r>
              <w:rPr>
                <w:rFonts w:ascii="宋体" w:eastAsia="宋体" w:hAnsi="宋体"/>
                <w:color w:val="000000"/>
                <w:szCs w:val="21"/>
              </w:rPr>
              <w:t>7</w:t>
            </w:r>
            <w:r w:rsidR="00F04AAA" w:rsidRPr="00F87667">
              <w:rPr>
                <w:rFonts w:ascii="宋体" w:eastAsia="宋体" w:hAnsi="宋体"/>
                <w:color w:val="000000"/>
                <w:szCs w:val="21"/>
              </w:rPr>
              <w:t>、“已建成的产业用地，新增建筑面积为基础容积与</w:t>
            </w:r>
            <w:r w:rsidR="00F04AAA" w:rsidRPr="00F87667">
              <w:rPr>
                <w:rFonts w:ascii="宋体" w:eastAsia="宋体" w:hAnsi="宋体" w:hint="eastAsia"/>
                <w:color w:val="000000"/>
                <w:szCs w:val="21"/>
                <w:u w:val="single"/>
              </w:rPr>
              <w:t>规划验收</w:t>
            </w:r>
            <w:r w:rsidR="00F04AAA" w:rsidRPr="00F87667">
              <w:rPr>
                <w:rFonts w:ascii="宋体" w:eastAsia="宋体" w:hAnsi="宋体" w:hint="eastAsia"/>
                <w:color w:val="000000"/>
                <w:szCs w:val="21"/>
              </w:rPr>
              <w:t>建筑面积的差值；未建成的产业用地，新增建筑面积为基础容积与</w:t>
            </w:r>
            <w:r w:rsidR="00F04AAA" w:rsidRPr="00F87667">
              <w:rPr>
                <w:rFonts w:ascii="宋体" w:eastAsia="宋体" w:hAnsi="宋体" w:hint="eastAsia"/>
                <w:color w:val="000000"/>
                <w:szCs w:val="21"/>
                <w:u w:val="single"/>
              </w:rPr>
              <w:t>出让合同</w:t>
            </w:r>
            <w:r w:rsidR="00F04AAA" w:rsidRPr="00F87667">
              <w:rPr>
                <w:rFonts w:ascii="宋体" w:eastAsia="宋体" w:hAnsi="宋体" w:hint="eastAsia"/>
                <w:color w:val="000000"/>
                <w:szCs w:val="21"/>
              </w:rPr>
              <w:t>约定的建筑面积的差值。”</w:t>
            </w:r>
            <w:proofErr w:type="gramStart"/>
            <w:r w:rsidR="00F04AAA" w:rsidRPr="00F87667">
              <w:rPr>
                <w:rFonts w:ascii="宋体" w:eastAsia="宋体" w:hAnsi="宋体" w:hint="eastAsia"/>
                <w:color w:val="000000"/>
                <w:szCs w:val="21"/>
              </w:rPr>
              <w:t>若项目</w:t>
            </w:r>
            <w:proofErr w:type="gramEnd"/>
            <w:r w:rsidR="00F04AAA" w:rsidRPr="00F87667">
              <w:rPr>
                <w:rFonts w:ascii="宋体" w:eastAsia="宋体" w:hAnsi="宋体" w:hint="eastAsia"/>
                <w:color w:val="000000"/>
                <w:szCs w:val="21"/>
              </w:rPr>
              <w:t>出让合同约定建筑面积为</w:t>
            </w:r>
            <w:r w:rsidR="00F04AAA" w:rsidRPr="00F87667">
              <w:rPr>
                <w:rFonts w:ascii="宋体" w:eastAsia="宋体" w:hAnsi="宋体"/>
                <w:color w:val="000000"/>
                <w:szCs w:val="21"/>
              </w:rPr>
              <w:t>10万平，而竣工验收面积为1万平，有9万</w:t>
            </w:r>
            <w:proofErr w:type="gramStart"/>
            <w:r w:rsidR="00F04AAA" w:rsidRPr="00F87667">
              <w:rPr>
                <w:rFonts w:ascii="宋体" w:eastAsia="宋体" w:hAnsi="宋体"/>
                <w:color w:val="000000"/>
                <w:szCs w:val="21"/>
              </w:rPr>
              <w:t>平面积</w:t>
            </w:r>
            <w:proofErr w:type="gramEnd"/>
            <w:r w:rsidR="00F04AAA" w:rsidRPr="00F87667">
              <w:rPr>
                <w:rFonts w:ascii="宋体" w:eastAsia="宋体" w:hAnsi="宋体"/>
                <w:color w:val="000000"/>
                <w:szCs w:val="21"/>
              </w:rPr>
              <w:t>已批未建属于宗地未满建。（如图蓝色部分为建成区，大部分用地尚未建设），计算时应该减去合同约定面积（10万平）还是验收面积（1万平）？</w:t>
            </w:r>
            <w:r w:rsidR="00EB4126" w:rsidRPr="00F87667">
              <w:rPr>
                <w:rFonts w:ascii="宋体" w:eastAsia="宋体" w:hAnsi="宋体" w:hint="eastAsia"/>
                <w:b/>
                <w:color w:val="000000"/>
                <w:szCs w:val="21"/>
              </w:rPr>
              <w:t>（万科</w:t>
            </w:r>
            <w:r w:rsidR="00EB4126">
              <w:rPr>
                <w:rFonts w:ascii="宋体" w:eastAsia="宋体" w:hAnsi="宋体" w:hint="eastAsia"/>
                <w:b/>
                <w:color w:val="000000"/>
                <w:szCs w:val="21"/>
              </w:rPr>
              <w:t>公司</w:t>
            </w:r>
            <w:r w:rsidR="00EB4126" w:rsidRPr="00F87667">
              <w:rPr>
                <w:rFonts w:ascii="宋体" w:eastAsia="宋体" w:hAnsi="宋体" w:hint="eastAsia"/>
                <w:b/>
                <w:color w:val="000000"/>
                <w:szCs w:val="21"/>
              </w:rPr>
              <w:t>）</w:t>
            </w:r>
          </w:p>
          <w:p w:rsidR="00F04AAA" w:rsidRPr="00F87667" w:rsidRDefault="00F04AAA" w:rsidP="00F04AAA">
            <w:pPr>
              <w:ind w:firstLine="420"/>
              <w:rPr>
                <w:rFonts w:ascii="宋体" w:eastAsia="宋体" w:hAnsi="宋体"/>
                <w:color w:val="000000"/>
                <w:szCs w:val="21"/>
              </w:rPr>
            </w:pPr>
            <w:r w:rsidRPr="00797B2D">
              <w:rPr>
                <w:rFonts w:ascii="宋体" w:eastAsia="宋体" w:hAnsi="宋体"/>
                <w:noProof/>
                <w:color w:val="000000"/>
                <w:szCs w:val="21"/>
              </w:rPr>
              <w:drawing>
                <wp:inline distT="0" distB="0" distL="0" distR="0" wp14:anchorId="1BD68FC8" wp14:editId="1156A547">
                  <wp:extent cx="1095375" cy="1895475"/>
                  <wp:effectExtent l="0" t="0" r="9525" b="9525"/>
                  <wp:docPr id="1" name="图片 1" descr="https://mail.sz.gov.cn/RmWeb/view.do?func=attach:getAttach&amp;sid=7Vb7LMST0Coa6g3iQBcRjO2R0RrAp35e000001&amp;tempId=01429918145285un4m7p5078&amp;fileName=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sz.gov.cn/RmWeb/view.do?func=attach:getAttach&amp;sid=7Vb7LMST0Coa6g3iQBcRjO2R0RrAp35e000001&amp;tempId=01429918145285un4m7p5078&amp;fileName=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895475"/>
                          </a:xfrm>
                          <a:prstGeom prst="rect">
                            <a:avLst/>
                          </a:prstGeom>
                          <a:noFill/>
                          <a:ln>
                            <a:noFill/>
                          </a:ln>
                        </pic:spPr>
                      </pic:pic>
                    </a:graphicData>
                  </a:graphic>
                </wp:inline>
              </w:drawing>
            </w:r>
          </w:p>
        </w:tc>
        <w:tc>
          <w:tcPr>
            <w:tcW w:w="282" w:type="pct"/>
            <w:vAlign w:val="center"/>
          </w:tcPr>
          <w:p w:rsidR="00F04AAA" w:rsidRPr="00F87667" w:rsidRDefault="00BD11EC" w:rsidP="00F04AAA">
            <w:pPr>
              <w:jc w:val="center"/>
              <w:rPr>
                <w:rFonts w:ascii="宋体" w:eastAsia="宋体" w:hAnsi="宋体"/>
                <w:szCs w:val="21"/>
              </w:rPr>
            </w:pPr>
            <w:r>
              <w:rPr>
                <w:rFonts w:ascii="宋体" w:eastAsia="宋体" w:hAnsi="宋体" w:hint="eastAsia"/>
                <w:szCs w:val="21"/>
              </w:rPr>
              <w:t>采纳</w:t>
            </w:r>
          </w:p>
          <w:p w:rsidR="00F04AAA" w:rsidRPr="00F87667" w:rsidRDefault="00F04AAA" w:rsidP="00F04AAA">
            <w:pPr>
              <w:jc w:val="left"/>
              <w:rPr>
                <w:rFonts w:ascii="仿宋_GB2312" w:hAnsi="仿宋_GB2312"/>
                <w:szCs w:val="21"/>
              </w:rPr>
            </w:pPr>
          </w:p>
        </w:tc>
        <w:tc>
          <w:tcPr>
            <w:tcW w:w="1023" w:type="pct"/>
          </w:tcPr>
          <w:p w:rsidR="00F04AAA" w:rsidRPr="00F87667" w:rsidRDefault="006F6185" w:rsidP="006F6185">
            <w:pPr>
              <w:jc w:val="left"/>
              <w:rPr>
                <w:rFonts w:ascii="仿宋_GB2312" w:hAnsi="仿宋_GB2312"/>
                <w:szCs w:val="21"/>
              </w:rPr>
            </w:pPr>
            <w:r>
              <w:rPr>
                <w:rFonts w:ascii="仿宋_GB2312" w:hAnsi="仿宋_GB2312" w:hint="eastAsia"/>
                <w:szCs w:val="21"/>
              </w:rPr>
              <w:t>修改条文表述，明确“未全部建成的，</w:t>
            </w:r>
            <w:r w:rsidRPr="006F6185">
              <w:rPr>
                <w:rFonts w:ascii="仿宋_GB2312" w:hAnsi="仿宋_GB2312"/>
                <w:szCs w:val="21"/>
              </w:rPr>
              <w:t>新增建筑面积为</w:t>
            </w:r>
            <w:r w:rsidRPr="006F6185">
              <w:rPr>
                <w:rFonts w:ascii="仿宋_GB2312" w:hAnsi="仿宋_GB2312" w:hint="eastAsia"/>
                <w:szCs w:val="21"/>
              </w:rPr>
              <w:t>规划确定</w:t>
            </w:r>
            <w:r w:rsidRPr="006F6185">
              <w:rPr>
                <w:rFonts w:ascii="仿宋_GB2312" w:hAnsi="仿宋_GB2312"/>
                <w:szCs w:val="21"/>
              </w:rPr>
              <w:t>的建筑面积与</w:t>
            </w:r>
            <w:r w:rsidRPr="006F6185">
              <w:rPr>
                <w:rFonts w:ascii="仿宋_GB2312" w:hAnsi="仿宋_GB2312" w:hint="eastAsia"/>
                <w:szCs w:val="21"/>
              </w:rPr>
              <w:t>出让</w:t>
            </w:r>
            <w:r w:rsidRPr="006F6185">
              <w:rPr>
                <w:rFonts w:ascii="仿宋_GB2312" w:hAnsi="仿宋_GB2312"/>
                <w:szCs w:val="21"/>
              </w:rPr>
              <w:t>合同约定的建筑面积的差值</w:t>
            </w:r>
            <w:r w:rsidRPr="00F87667">
              <w:rPr>
                <w:rFonts w:ascii="仿宋_GB2312" w:hAnsi="仿宋_GB2312" w:hint="eastAsia"/>
                <w:szCs w:val="21"/>
              </w:rPr>
              <w:t>。</w:t>
            </w:r>
            <w:r>
              <w:rPr>
                <w:rFonts w:ascii="仿宋_GB2312" w:hAnsi="仿宋_GB2312" w:hint="eastAsia"/>
                <w:szCs w:val="21"/>
              </w:rPr>
              <w:t>”</w:t>
            </w:r>
            <w:r w:rsidRPr="00F87667">
              <w:rPr>
                <w:rFonts w:ascii="仿宋_GB2312" w:hAnsi="仿宋_GB2312"/>
                <w:szCs w:val="21"/>
              </w:rPr>
              <w:t xml:space="preserve"> </w:t>
            </w:r>
          </w:p>
        </w:tc>
      </w:tr>
      <w:tr w:rsidR="00F04AAA" w:rsidRPr="00F87667" w:rsidTr="00795F6F">
        <w:trPr>
          <w:trHeight w:val="2284"/>
        </w:trPr>
        <w:tc>
          <w:tcPr>
            <w:tcW w:w="183" w:type="pct"/>
            <w:vMerge/>
            <w:vAlign w:val="center"/>
          </w:tcPr>
          <w:p w:rsidR="00F04AAA" w:rsidRPr="00F87667" w:rsidRDefault="00F04AAA" w:rsidP="00F04AAA">
            <w:pPr>
              <w:jc w:val="center"/>
              <w:rPr>
                <w:rFonts w:ascii="仿宋_GB2312" w:hAnsi="仿宋_GB2312"/>
                <w:szCs w:val="21"/>
              </w:rPr>
            </w:pPr>
          </w:p>
        </w:tc>
        <w:tc>
          <w:tcPr>
            <w:tcW w:w="379" w:type="pct"/>
            <w:vMerge/>
          </w:tcPr>
          <w:p w:rsidR="00F04AAA" w:rsidRPr="00F87667" w:rsidRDefault="00F04AAA" w:rsidP="00F04AAA">
            <w:pPr>
              <w:jc w:val="center"/>
              <w:rPr>
                <w:rFonts w:ascii="仿宋_GB2312" w:hAnsi="仿宋_GB2312"/>
                <w:szCs w:val="21"/>
              </w:rPr>
            </w:pPr>
          </w:p>
        </w:tc>
        <w:tc>
          <w:tcPr>
            <w:tcW w:w="302" w:type="pct"/>
            <w:vMerge/>
          </w:tcPr>
          <w:p w:rsidR="00F04AAA" w:rsidRPr="00F87667" w:rsidRDefault="00F04AAA" w:rsidP="00F04AAA">
            <w:pPr>
              <w:jc w:val="center"/>
              <w:rPr>
                <w:rFonts w:ascii="仿宋_GB2312" w:hAnsi="仿宋_GB2312"/>
                <w:szCs w:val="21"/>
              </w:rPr>
            </w:pPr>
          </w:p>
        </w:tc>
        <w:tc>
          <w:tcPr>
            <w:tcW w:w="2831" w:type="pct"/>
            <w:vAlign w:val="center"/>
          </w:tcPr>
          <w:p w:rsidR="00F04AAA" w:rsidRPr="00F87667" w:rsidRDefault="00FA39CE" w:rsidP="00EB4126">
            <w:pPr>
              <w:rPr>
                <w:rFonts w:ascii="宋体" w:eastAsia="宋体" w:hAnsi="宋体"/>
                <w:color w:val="000000"/>
                <w:szCs w:val="21"/>
              </w:rPr>
            </w:pPr>
            <w:r>
              <w:rPr>
                <w:rFonts w:ascii="宋体" w:eastAsia="宋体" w:hAnsi="宋体"/>
                <w:color w:val="000000"/>
                <w:szCs w:val="21"/>
              </w:rPr>
              <w:t>8</w:t>
            </w:r>
            <w:r w:rsidR="00F04AAA" w:rsidRPr="00F87667">
              <w:rPr>
                <w:rFonts w:ascii="宋体" w:eastAsia="宋体" w:hAnsi="宋体"/>
                <w:color w:val="000000"/>
                <w:szCs w:val="21"/>
              </w:rPr>
              <w:t>、</w:t>
            </w:r>
            <w:r w:rsidR="00F04AAA" w:rsidRPr="00F87667">
              <w:rPr>
                <w:rFonts w:ascii="宋体" w:eastAsia="宋体" w:hAnsi="宋体" w:hint="eastAsia"/>
                <w:color w:val="000000"/>
                <w:szCs w:val="21"/>
              </w:rPr>
              <w:t>第八条，产业用地容积调整以新增建筑面积的</w:t>
            </w:r>
            <w:r w:rsidR="00F04AAA" w:rsidRPr="00F87667">
              <w:rPr>
                <w:rFonts w:ascii="宋体" w:eastAsia="宋体" w:hAnsi="宋体"/>
                <w:color w:val="000000"/>
                <w:szCs w:val="21"/>
              </w:rPr>
              <w:t>15%</w:t>
            </w:r>
            <w:r w:rsidR="00F04AAA" w:rsidRPr="00F87667">
              <w:rPr>
                <w:rFonts w:ascii="宋体" w:eastAsia="宋体" w:hAnsi="宋体" w:hint="eastAsia"/>
                <w:color w:val="000000"/>
                <w:szCs w:val="21"/>
              </w:rPr>
              <w:t>作为贡献基准应无偿提供，此项规定将给企业带来时间上和资金上的成本压力。首先是时间上，企业获得设计机构的规划调整方案、四图一书以及相关环境、节能等批复，正常需要半年至一年的时间，时间上企业耗费大。其次从资金上说，今年金融机构的去杠杆化，资金大大收紧，企业借不到钱但还是要发展，只能通过多种方式或渠道去筹集资金，期待着项目投入市场后还本付息，舒缓一口气。再次是现在的深圳人工成本高，原材料价格居高不下，直接导致了建筑成本高。如果还要将其中的</w:t>
            </w:r>
            <w:r w:rsidR="00F04AAA" w:rsidRPr="00F87667">
              <w:rPr>
                <w:rFonts w:ascii="宋体" w:eastAsia="宋体" w:hAnsi="宋体"/>
                <w:color w:val="000000"/>
                <w:szCs w:val="21"/>
              </w:rPr>
              <w:t xml:space="preserve"> 15%</w:t>
            </w:r>
            <w:r w:rsidR="00F04AAA" w:rsidRPr="00F87667">
              <w:rPr>
                <w:rFonts w:ascii="宋体" w:eastAsia="宋体" w:hAnsi="宋体" w:hint="eastAsia"/>
                <w:color w:val="000000"/>
                <w:szCs w:val="21"/>
              </w:rPr>
              <w:t>无偿提供，权衡再三，很多企业可能会放弃建筑容积调整以观后态。因此，建议</w:t>
            </w:r>
            <w:proofErr w:type="gramStart"/>
            <w:r w:rsidR="00F04AAA" w:rsidRPr="00F87667">
              <w:rPr>
                <w:rFonts w:ascii="宋体" w:eastAsia="宋体" w:hAnsi="宋体" w:hint="eastAsia"/>
                <w:color w:val="000000"/>
                <w:szCs w:val="21"/>
              </w:rPr>
              <w:t>贵委取消</w:t>
            </w:r>
            <w:proofErr w:type="gramEnd"/>
            <w:r w:rsidR="00F04AAA" w:rsidRPr="00F87667">
              <w:rPr>
                <w:rFonts w:ascii="宋体" w:eastAsia="宋体" w:hAnsi="宋体" w:hint="eastAsia"/>
                <w:color w:val="000000"/>
                <w:szCs w:val="21"/>
              </w:rPr>
              <w:t>以新增建筑面积的</w:t>
            </w:r>
            <w:r w:rsidR="00F04AAA" w:rsidRPr="00F87667">
              <w:rPr>
                <w:rFonts w:ascii="宋体" w:eastAsia="宋体" w:hAnsi="宋体"/>
                <w:color w:val="000000"/>
                <w:szCs w:val="21"/>
              </w:rPr>
              <w:t>15%</w:t>
            </w:r>
            <w:r w:rsidR="00F04AAA" w:rsidRPr="00F87667">
              <w:rPr>
                <w:rFonts w:ascii="宋体" w:eastAsia="宋体" w:hAnsi="宋体" w:hint="eastAsia"/>
                <w:color w:val="000000"/>
                <w:szCs w:val="21"/>
              </w:rPr>
              <w:t>作为贡献基准无偿提供给政府，或者是建设单位以建筑成本价</w:t>
            </w:r>
            <w:proofErr w:type="gramStart"/>
            <w:r w:rsidR="00F04AAA" w:rsidRPr="00F87667">
              <w:rPr>
                <w:rFonts w:ascii="宋体" w:eastAsia="宋体" w:hAnsi="宋体" w:hint="eastAsia"/>
                <w:color w:val="000000"/>
                <w:szCs w:val="21"/>
              </w:rPr>
              <w:t>将贡献</w:t>
            </w:r>
            <w:proofErr w:type="gramEnd"/>
            <w:r w:rsidR="00F04AAA" w:rsidRPr="00F87667">
              <w:rPr>
                <w:rFonts w:ascii="宋体" w:eastAsia="宋体" w:hAnsi="宋体" w:hint="eastAsia"/>
                <w:color w:val="000000"/>
                <w:szCs w:val="21"/>
              </w:rPr>
              <w:t>基准面积提供给政府。我认为只有这样才能真正起到降低企业经营成本，调动实体经济群体产业空间拓展的积极性，达到扶持实体经济的目的和愿望。</w:t>
            </w:r>
            <w:r w:rsidR="00F04AAA" w:rsidRPr="00F87667">
              <w:rPr>
                <w:rFonts w:ascii="宋体" w:eastAsia="宋体" w:hAnsi="宋体" w:hint="eastAsia"/>
                <w:b/>
                <w:color w:val="000000"/>
                <w:szCs w:val="21"/>
              </w:rPr>
              <w:t>（</w:t>
            </w:r>
            <w:r w:rsidR="00EB4126">
              <w:rPr>
                <w:rFonts w:ascii="宋体" w:eastAsia="宋体" w:hAnsi="宋体" w:hint="eastAsia"/>
                <w:b/>
                <w:color w:val="000000"/>
                <w:szCs w:val="21"/>
              </w:rPr>
              <w:t>市民</w:t>
            </w:r>
            <w:r w:rsidR="00F04AAA" w:rsidRPr="00F87667">
              <w:rPr>
                <w:rFonts w:ascii="宋体" w:eastAsia="宋体" w:hAnsi="宋体" w:hint="eastAsia"/>
                <w:b/>
                <w:color w:val="000000"/>
                <w:szCs w:val="21"/>
              </w:rPr>
              <w:t>谭</w:t>
            </w:r>
            <w:r w:rsidR="00EB4126">
              <w:rPr>
                <w:rFonts w:ascii="宋体" w:eastAsia="宋体" w:hAnsi="宋体" w:hint="eastAsia"/>
                <w:b/>
                <w:color w:val="000000"/>
                <w:szCs w:val="21"/>
              </w:rPr>
              <w:t>先生</w:t>
            </w:r>
            <w:r w:rsidR="00F04AAA" w:rsidRPr="00F87667">
              <w:rPr>
                <w:rFonts w:ascii="宋体" w:eastAsia="宋体" w:hAnsi="宋体" w:hint="eastAsia"/>
                <w:b/>
                <w:color w:val="000000"/>
                <w:szCs w:val="21"/>
              </w:rPr>
              <w:t>）</w:t>
            </w:r>
          </w:p>
        </w:tc>
        <w:tc>
          <w:tcPr>
            <w:tcW w:w="282" w:type="pct"/>
            <w:vAlign w:val="center"/>
          </w:tcPr>
          <w:p w:rsidR="00F04AAA" w:rsidRPr="00F87667" w:rsidRDefault="00F04AAA" w:rsidP="00F04AAA">
            <w:pPr>
              <w:jc w:val="center"/>
              <w:rPr>
                <w:rFonts w:ascii="宋体" w:eastAsia="宋体" w:hAnsi="宋体"/>
                <w:szCs w:val="21"/>
              </w:rPr>
            </w:pPr>
            <w:r w:rsidRPr="00F87667">
              <w:rPr>
                <w:rFonts w:ascii="宋体" w:eastAsia="宋体" w:hAnsi="宋体" w:hint="eastAsia"/>
                <w:szCs w:val="21"/>
              </w:rPr>
              <w:t>解释</w:t>
            </w:r>
          </w:p>
        </w:tc>
        <w:tc>
          <w:tcPr>
            <w:tcW w:w="1023" w:type="pct"/>
          </w:tcPr>
          <w:p w:rsidR="00F04AAA" w:rsidRPr="00F87667" w:rsidRDefault="006F6185" w:rsidP="006F6185">
            <w:pPr>
              <w:jc w:val="left"/>
              <w:rPr>
                <w:rFonts w:ascii="仿宋_GB2312" w:hAnsi="仿宋_GB2312"/>
                <w:szCs w:val="21"/>
              </w:rPr>
            </w:pPr>
            <w:r>
              <w:rPr>
                <w:rFonts w:ascii="仿宋_GB2312" w:hAnsi="仿宋_GB2312" w:hint="eastAsia"/>
                <w:szCs w:val="21"/>
              </w:rPr>
              <w:t>暂行规定在设定贡献基准是已考虑了</w:t>
            </w:r>
            <w:r w:rsidRPr="00F87667">
              <w:rPr>
                <w:rFonts w:ascii="宋体" w:eastAsia="宋体" w:hAnsi="宋体" w:hint="eastAsia"/>
                <w:color w:val="000000"/>
                <w:szCs w:val="21"/>
              </w:rPr>
              <w:t>降低企业经营成本</w:t>
            </w:r>
            <w:r>
              <w:rPr>
                <w:rFonts w:ascii="宋体" w:eastAsia="宋体" w:hAnsi="宋体" w:hint="eastAsia"/>
                <w:color w:val="000000"/>
                <w:szCs w:val="21"/>
              </w:rPr>
              <w:t>的诉求，同时也考虑到解决城市发展急需的公共配套用地问题，因此在</w:t>
            </w:r>
            <w:r w:rsidR="00B7555D">
              <w:rPr>
                <w:rFonts w:ascii="仿宋_GB2312" w:hAnsi="仿宋_GB2312" w:hint="eastAsia"/>
                <w:szCs w:val="21"/>
              </w:rPr>
              <w:t>贡献方式</w:t>
            </w:r>
            <w:r>
              <w:rPr>
                <w:rFonts w:ascii="仿宋_GB2312" w:hAnsi="仿宋_GB2312" w:hint="eastAsia"/>
                <w:szCs w:val="21"/>
              </w:rPr>
              <w:t>更加灵活</w:t>
            </w:r>
            <w:r w:rsidR="00B7555D">
              <w:rPr>
                <w:rFonts w:ascii="仿宋_GB2312" w:hAnsi="仿宋_GB2312" w:hint="eastAsia"/>
                <w:szCs w:val="21"/>
              </w:rPr>
              <w:t>，</w:t>
            </w:r>
            <w:r>
              <w:rPr>
                <w:rFonts w:ascii="仿宋_GB2312" w:hAnsi="仿宋_GB2312" w:hint="eastAsia"/>
                <w:szCs w:val="21"/>
              </w:rPr>
              <w:t>可</w:t>
            </w:r>
            <w:r w:rsidR="00B7555D">
              <w:rPr>
                <w:rFonts w:ascii="仿宋_GB2312" w:hAnsi="仿宋_GB2312" w:hint="eastAsia"/>
                <w:szCs w:val="21"/>
              </w:rPr>
              <w:t>移交土地、移交建筑物或二者组合等多种途径，增加贡献方式的选择性</w:t>
            </w:r>
            <w:r>
              <w:rPr>
                <w:rFonts w:ascii="仿宋_GB2312" w:hAnsi="仿宋_GB2312" w:hint="eastAsia"/>
                <w:szCs w:val="21"/>
              </w:rPr>
              <w:t>。</w:t>
            </w:r>
          </w:p>
        </w:tc>
      </w:tr>
      <w:tr w:rsidR="00F04AAA" w:rsidRPr="00F87667" w:rsidTr="00795F6F">
        <w:trPr>
          <w:trHeight w:val="938"/>
        </w:trPr>
        <w:tc>
          <w:tcPr>
            <w:tcW w:w="183" w:type="pct"/>
            <w:vAlign w:val="center"/>
          </w:tcPr>
          <w:p w:rsidR="00F04AAA" w:rsidRPr="00F87667" w:rsidRDefault="00FA39CE" w:rsidP="00F04AAA">
            <w:pPr>
              <w:jc w:val="center"/>
              <w:rPr>
                <w:rFonts w:ascii="仿宋_GB2312" w:hAnsi="仿宋_GB2312"/>
                <w:szCs w:val="21"/>
              </w:rPr>
            </w:pPr>
            <w:r>
              <w:rPr>
                <w:rFonts w:ascii="仿宋_GB2312" w:hAnsi="仿宋_GB2312"/>
                <w:szCs w:val="21"/>
              </w:rPr>
              <w:t>5</w:t>
            </w:r>
          </w:p>
        </w:tc>
        <w:tc>
          <w:tcPr>
            <w:tcW w:w="379"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贡献方式</w:t>
            </w:r>
          </w:p>
        </w:tc>
        <w:tc>
          <w:tcPr>
            <w:tcW w:w="302"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第九条</w:t>
            </w:r>
          </w:p>
        </w:tc>
        <w:tc>
          <w:tcPr>
            <w:tcW w:w="2831" w:type="pct"/>
            <w:vAlign w:val="center"/>
          </w:tcPr>
          <w:p w:rsidR="00F04AAA" w:rsidRDefault="00FA39CE" w:rsidP="00F04AAA">
            <w:pPr>
              <w:widowControl/>
              <w:jc w:val="left"/>
              <w:rPr>
                <w:rFonts w:ascii="宋体" w:eastAsia="宋体" w:hAnsi="宋体"/>
                <w:b/>
                <w:color w:val="000000"/>
                <w:szCs w:val="21"/>
              </w:rPr>
            </w:pPr>
            <w:r>
              <w:rPr>
                <w:rFonts w:ascii="宋体" w:eastAsia="宋体" w:hAnsi="宋体"/>
                <w:color w:val="000000"/>
                <w:szCs w:val="21"/>
              </w:rPr>
              <w:t>9</w:t>
            </w:r>
            <w:r w:rsidR="00F04AAA" w:rsidRPr="00F87667">
              <w:rPr>
                <w:rFonts w:ascii="宋体" w:eastAsia="宋体" w:hAnsi="宋体" w:hint="eastAsia"/>
                <w:color w:val="000000"/>
                <w:szCs w:val="21"/>
              </w:rPr>
              <w:t>、我们认为既然是扶持实体经济发展促进产业用地节约集约利用，关于本管理规定的第九条贡献的土地或者建筑物，建议修改为如下内容：贡献方如果确实根据自身生产发展需要可以选择补交地价自己使用，建议不设置</w:t>
            </w:r>
            <w:r w:rsidR="00F04AAA" w:rsidRPr="00F87667">
              <w:rPr>
                <w:rFonts w:ascii="宋体" w:eastAsia="宋体" w:hAnsi="宋体"/>
                <w:color w:val="000000"/>
                <w:szCs w:val="21"/>
              </w:rPr>
              <w:t>3000平方米以内的限制，否则对急需发展的实体经济单位亦显失公平。</w:t>
            </w:r>
            <w:r w:rsidR="00F04AAA" w:rsidRPr="00F87667">
              <w:rPr>
                <w:rFonts w:ascii="宋体" w:eastAsia="宋体" w:hAnsi="宋体" w:hint="eastAsia"/>
                <w:b/>
                <w:color w:val="000000"/>
                <w:szCs w:val="21"/>
              </w:rPr>
              <w:t>（</w:t>
            </w:r>
            <w:r w:rsidR="00F04AAA" w:rsidRPr="00F87667">
              <w:rPr>
                <w:rFonts w:ascii="宋体" w:eastAsia="宋体" w:hAnsi="宋体" w:cs="Arial" w:hint="eastAsia"/>
                <w:b/>
                <w:color w:val="000000"/>
                <w:kern w:val="0"/>
                <w:szCs w:val="21"/>
              </w:rPr>
              <w:t>市民：</w:t>
            </w:r>
            <w:r w:rsidR="00F04AAA" w:rsidRPr="00F87667">
              <w:rPr>
                <w:rFonts w:ascii="宋体" w:eastAsia="宋体" w:hAnsi="宋体" w:cs="Arial"/>
                <w:b/>
                <w:color w:val="000000"/>
                <w:kern w:val="0"/>
                <w:szCs w:val="21"/>
              </w:rPr>
              <w:t>13509654209</w:t>
            </w:r>
            <w:r w:rsidR="00F04AAA" w:rsidRPr="00F87667">
              <w:rPr>
                <w:rFonts w:ascii="宋体" w:eastAsia="宋体" w:hAnsi="宋体" w:hint="eastAsia"/>
                <w:b/>
                <w:color w:val="000000"/>
                <w:szCs w:val="21"/>
              </w:rPr>
              <w:t>）</w:t>
            </w:r>
          </w:p>
          <w:p w:rsidR="00F04AAA" w:rsidRPr="00F87667" w:rsidRDefault="00FA39CE" w:rsidP="00F04AAA">
            <w:pPr>
              <w:widowControl/>
              <w:jc w:val="left"/>
              <w:rPr>
                <w:rFonts w:ascii="宋体" w:eastAsia="宋体" w:hAnsi="宋体" w:cs="Arial"/>
                <w:color w:val="000000"/>
                <w:kern w:val="0"/>
                <w:szCs w:val="21"/>
              </w:rPr>
            </w:pPr>
            <w:r>
              <w:rPr>
                <w:rFonts w:ascii="宋体" w:eastAsia="宋体" w:hAnsi="宋体"/>
                <w:color w:val="000000"/>
                <w:szCs w:val="21"/>
              </w:rPr>
              <w:t>10</w:t>
            </w:r>
            <w:r w:rsidR="00F04AAA" w:rsidRPr="00F87667">
              <w:rPr>
                <w:rFonts w:ascii="宋体" w:eastAsia="宋体" w:hAnsi="宋体" w:hint="eastAsia"/>
                <w:color w:val="000000"/>
                <w:szCs w:val="21"/>
              </w:rPr>
              <w:t>、作为企业我们认为既然是扶持实体经济发展促进产业用地节约集约利用，关于本管理规定的第九条贡献的土地或者建筑物，建议修改为：权利人如果确实根据自身生产发展需要可以选择补交地价自己使用，建议不设置</w:t>
            </w:r>
            <w:r w:rsidR="00F04AAA" w:rsidRPr="00F87667">
              <w:rPr>
                <w:rFonts w:ascii="宋体" w:eastAsia="宋体" w:hAnsi="宋体"/>
                <w:color w:val="000000"/>
                <w:szCs w:val="21"/>
              </w:rPr>
              <w:t>3000</w:t>
            </w:r>
            <w:r w:rsidR="00F04AAA" w:rsidRPr="00F87667">
              <w:rPr>
                <w:rFonts w:ascii="宋体" w:eastAsia="宋体" w:hAnsi="宋体" w:hint="eastAsia"/>
                <w:color w:val="000000"/>
                <w:szCs w:val="21"/>
              </w:rPr>
              <w:t>平方米以内的限制。这样的做的好处对政府</w:t>
            </w:r>
            <w:proofErr w:type="gramStart"/>
            <w:r w:rsidR="00F04AAA" w:rsidRPr="00F87667">
              <w:rPr>
                <w:rFonts w:ascii="宋体" w:eastAsia="宋体" w:hAnsi="宋体" w:hint="eastAsia"/>
                <w:color w:val="000000"/>
                <w:szCs w:val="21"/>
              </w:rPr>
              <w:t>而言既</w:t>
            </w:r>
            <w:proofErr w:type="gramEnd"/>
            <w:r w:rsidR="00F04AAA" w:rsidRPr="00F87667">
              <w:rPr>
                <w:rFonts w:ascii="宋体" w:eastAsia="宋体" w:hAnsi="宋体" w:hint="eastAsia"/>
                <w:color w:val="000000"/>
                <w:szCs w:val="21"/>
              </w:rPr>
              <w:t>维护了政策的公平性、原则性，又具有一定的灵活性，更能进一步促进企业的良性发展，又盘活了国有资产。对企业而言便于可以根据企业的实际需要和情况灵活选择，更方便于以后的企业管理。就比如我们企业丰宾电子（深圳）有限公司是</w:t>
            </w:r>
            <w:r w:rsidR="00F04AAA" w:rsidRPr="00F87667">
              <w:rPr>
                <w:rFonts w:ascii="宋体" w:eastAsia="宋体" w:hAnsi="宋体"/>
                <w:color w:val="000000"/>
                <w:szCs w:val="21"/>
              </w:rPr>
              <w:t>1993年在深圳设厂的老企业，由于受到容积率的影响目前限制了进一步发展，2016年我司在东莞市长安镇准备购买200亩地土建40万平方米设厂，总投资20亿元人民币，项目企业名称为：东莞丰宾新能源有限公司，列为广东省重大项目，2018年下半年我们考虑到经济形势以及在深圳20多年的基础，还是决定放弃该项目，在深圳进一步深耕发展。最近我们了解到深圳市相关部门调整工业企业容积率的动向，非常的感动与期待。因此作为企业我们真诚地希望政府能够多从企业角度制定政策并建议不设置3000平方米的限制，把选择权交给企业。</w:t>
            </w:r>
            <w:r w:rsidR="00F04AAA" w:rsidRPr="00F87667">
              <w:rPr>
                <w:rFonts w:ascii="宋体" w:eastAsia="宋体" w:hAnsi="宋体" w:hint="eastAsia"/>
                <w:b/>
                <w:color w:val="000000"/>
                <w:szCs w:val="21"/>
              </w:rPr>
              <w:t>（丰宾电子（深圳）有限公司）</w:t>
            </w:r>
          </w:p>
        </w:tc>
        <w:tc>
          <w:tcPr>
            <w:tcW w:w="282" w:type="pct"/>
            <w:vAlign w:val="center"/>
          </w:tcPr>
          <w:p w:rsidR="00F04AAA" w:rsidRPr="00F87667" w:rsidRDefault="00F04AAA" w:rsidP="00F04AAA">
            <w:pPr>
              <w:jc w:val="center"/>
              <w:rPr>
                <w:rFonts w:ascii="宋体" w:eastAsia="宋体" w:hAnsi="宋体"/>
                <w:szCs w:val="21"/>
              </w:rPr>
            </w:pPr>
            <w:r w:rsidRPr="00F87667">
              <w:rPr>
                <w:rFonts w:ascii="宋体" w:eastAsia="宋体" w:hAnsi="宋体" w:hint="eastAsia"/>
                <w:szCs w:val="21"/>
              </w:rPr>
              <w:t>解释</w:t>
            </w:r>
          </w:p>
          <w:p w:rsidR="00F04AAA" w:rsidRPr="00F87667" w:rsidRDefault="00F04AAA" w:rsidP="00F04AAA">
            <w:pPr>
              <w:jc w:val="left"/>
              <w:rPr>
                <w:rFonts w:ascii="仿宋_GB2312" w:hAnsi="仿宋_GB2312"/>
                <w:szCs w:val="21"/>
              </w:rPr>
            </w:pPr>
          </w:p>
        </w:tc>
        <w:tc>
          <w:tcPr>
            <w:tcW w:w="1023" w:type="pct"/>
          </w:tcPr>
          <w:p w:rsidR="00F04AAA" w:rsidRPr="00F87667" w:rsidRDefault="00B7555D" w:rsidP="00B7555D">
            <w:pPr>
              <w:jc w:val="left"/>
              <w:rPr>
                <w:rFonts w:ascii="仿宋_GB2312" w:hAnsi="仿宋_GB2312"/>
                <w:szCs w:val="21"/>
              </w:rPr>
            </w:pPr>
            <w:r>
              <w:rPr>
                <w:rFonts w:ascii="仿宋_GB2312" w:hAnsi="仿宋_GB2312" w:hint="eastAsia"/>
                <w:szCs w:val="21"/>
              </w:rPr>
              <w:t>考虑城市基础设施、公共服务设施和公园绿地等</w:t>
            </w:r>
            <w:proofErr w:type="gramStart"/>
            <w:r>
              <w:rPr>
                <w:rFonts w:ascii="仿宋_GB2312" w:hAnsi="仿宋_GB2312" w:hint="eastAsia"/>
                <w:szCs w:val="21"/>
              </w:rPr>
              <w:t>公利益</w:t>
            </w:r>
            <w:proofErr w:type="gramEnd"/>
            <w:r>
              <w:rPr>
                <w:rFonts w:ascii="仿宋_GB2312" w:hAnsi="仿宋_GB2312" w:hint="eastAsia"/>
                <w:szCs w:val="21"/>
              </w:rPr>
              <w:t>用地的需求</w:t>
            </w:r>
            <w:r w:rsidR="006F6185">
              <w:rPr>
                <w:rFonts w:ascii="仿宋_GB2312" w:hAnsi="仿宋_GB2312" w:hint="eastAsia"/>
                <w:szCs w:val="21"/>
              </w:rPr>
              <w:t>和我市产业发展空间严重不足的实际，</w:t>
            </w:r>
            <w:r w:rsidR="006F6185">
              <w:rPr>
                <w:rFonts w:ascii="宋体" w:eastAsia="宋体" w:hAnsi="宋体" w:hint="eastAsia"/>
                <w:color w:val="000000"/>
                <w:szCs w:val="21"/>
              </w:rPr>
              <w:t>在</w:t>
            </w:r>
            <w:r w:rsidR="006F6185">
              <w:rPr>
                <w:rFonts w:ascii="仿宋_GB2312" w:hAnsi="仿宋_GB2312" w:hint="eastAsia"/>
                <w:szCs w:val="21"/>
              </w:rPr>
              <w:t>贡献方式更加灵活，可移交土地、移交建筑物或二者组合等多种途径，增加贡献方式的选择性。</w:t>
            </w:r>
          </w:p>
        </w:tc>
      </w:tr>
      <w:tr w:rsidR="00F04AAA" w:rsidRPr="00F87667" w:rsidTr="005B2FB7">
        <w:trPr>
          <w:trHeight w:val="1444"/>
        </w:trPr>
        <w:tc>
          <w:tcPr>
            <w:tcW w:w="183" w:type="pct"/>
            <w:vAlign w:val="center"/>
          </w:tcPr>
          <w:p w:rsidR="00F04AAA" w:rsidRPr="00F87667" w:rsidRDefault="00FA39CE" w:rsidP="00F04AAA">
            <w:pPr>
              <w:jc w:val="center"/>
              <w:rPr>
                <w:rFonts w:ascii="仿宋_GB2312" w:hAnsi="仿宋_GB2312"/>
                <w:szCs w:val="21"/>
              </w:rPr>
            </w:pPr>
            <w:r>
              <w:rPr>
                <w:rFonts w:ascii="仿宋_GB2312" w:hAnsi="仿宋_GB2312"/>
                <w:szCs w:val="21"/>
              </w:rPr>
              <w:t>6</w:t>
            </w:r>
          </w:p>
        </w:tc>
        <w:tc>
          <w:tcPr>
            <w:tcW w:w="379"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建（构）筑物拆除条件</w:t>
            </w:r>
          </w:p>
        </w:tc>
        <w:tc>
          <w:tcPr>
            <w:tcW w:w="302"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第十条</w:t>
            </w:r>
          </w:p>
        </w:tc>
        <w:tc>
          <w:tcPr>
            <w:tcW w:w="2831" w:type="pct"/>
            <w:vAlign w:val="center"/>
          </w:tcPr>
          <w:p w:rsidR="00F04AAA" w:rsidRPr="00F87667" w:rsidRDefault="00FA39CE" w:rsidP="00F04AAA">
            <w:pPr>
              <w:widowControl/>
              <w:spacing w:before="100" w:beforeAutospacing="1" w:after="100" w:afterAutospacing="1"/>
              <w:jc w:val="left"/>
              <w:rPr>
                <w:rFonts w:ascii="宋体" w:eastAsia="宋体" w:hAnsi="宋体" w:cs="Arial"/>
                <w:color w:val="000000"/>
                <w:kern w:val="0"/>
                <w:szCs w:val="21"/>
              </w:rPr>
            </w:pPr>
            <w:r>
              <w:rPr>
                <w:rFonts w:ascii="宋体" w:eastAsia="宋体" w:hAnsi="宋体" w:cs="Arial"/>
                <w:color w:val="000000"/>
                <w:kern w:val="0"/>
                <w:szCs w:val="21"/>
              </w:rPr>
              <w:t>11</w:t>
            </w:r>
            <w:r w:rsidR="00F04AAA" w:rsidRPr="00F87667">
              <w:rPr>
                <w:rFonts w:ascii="宋体" w:eastAsia="宋体" w:hAnsi="宋体" w:cs="Arial" w:hint="eastAsia"/>
                <w:color w:val="000000"/>
                <w:kern w:val="0"/>
                <w:szCs w:val="21"/>
              </w:rPr>
              <w:t>、第十条，规定对建（构）筑物拆除的条件做了时间的界定和方式的确定。意见规定，产业用地容积调整涉及拆除建（构）筑物的，拆除的建（构）筑</w:t>
            </w:r>
            <w:proofErr w:type="gramStart"/>
            <w:r w:rsidR="00F04AAA" w:rsidRPr="00F87667">
              <w:rPr>
                <w:rFonts w:ascii="宋体" w:eastAsia="宋体" w:hAnsi="宋体" w:cs="Arial" w:hint="eastAsia"/>
                <w:color w:val="000000"/>
                <w:kern w:val="0"/>
                <w:szCs w:val="21"/>
              </w:rPr>
              <w:t>物建成</w:t>
            </w:r>
            <w:proofErr w:type="gramEnd"/>
            <w:r w:rsidR="00F04AAA" w:rsidRPr="00F87667">
              <w:rPr>
                <w:rFonts w:ascii="宋体" w:eastAsia="宋体" w:hAnsi="宋体" w:cs="Arial" w:hint="eastAsia"/>
                <w:color w:val="000000"/>
                <w:kern w:val="0"/>
                <w:szCs w:val="21"/>
              </w:rPr>
              <w:t>时间应大于</w:t>
            </w:r>
            <w:r w:rsidR="00F04AAA" w:rsidRPr="00F87667">
              <w:rPr>
                <w:rFonts w:ascii="宋体" w:eastAsia="宋体" w:hAnsi="宋体" w:cs="Arial"/>
                <w:color w:val="000000"/>
                <w:kern w:val="0"/>
                <w:szCs w:val="21"/>
              </w:rPr>
              <w:t xml:space="preserve"> 10 </w:t>
            </w:r>
            <w:r w:rsidR="00F04AAA" w:rsidRPr="00F87667">
              <w:rPr>
                <w:rFonts w:ascii="宋体" w:eastAsia="宋体" w:hAnsi="宋体" w:cs="Arial" w:hint="eastAsia"/>
                <w:color w:val="000000"/>
                <w:kern w:val="0"/>
                <w:szCs w:val="21"/>
              </w:rPr>
              <w:t>年（含</w:t>
            </w:r>
            <w:r w:rsidR="00F04AAA" w:rsidRPr="00F87667">
              <w:rPr>
                <w:rFonts w:ascii="宋体" w:eastAsia="宋体" w:hAnsi="宋体" w:cs="Arial"/>
                <w:color w:val="000000"/>
                <w:kern w:val="0"/>
                <w:szCs w:val="21"/>
              </w:rPr>
              <w:t xml:space="preserve"> 10 </w:t>
            </w:r>
            <w:r w:rsidR="00F04AAA" w:rsidRPr="00F87667">
              <w:rPr>
                <w:rFonts w:ascii="宋体" w:eastAsia="宋体" w:hAnsi="宋体" w:cs="Arial" w:hint="eastAsia"/>
                <w:color w:val="000000"/>
                <w:kern w:val="0"/>
                <w:szCs w:val="21"/>
              </w:rPr>
              <w:t>年）。建成时间以规划验收或竣工验收时间确定；未办理验收的，根据卫星影像图等资料判定。不管是以规划验收时间为准还是竣工验收时间还是卫星影像图为准，我认为这三种都是很好地确定方式。唯一不足的是，我认为不应该以其中某一种方式来限定企业的年限确定时间，让企业踌躇莫展，而应该给企业更灵活的选择。因此，我建议只要企业满足这三种方式中的任一种，就可认定达到建（构）筑物拆除条件。</w:t>
            </w:r>
            <w:r w:rsidR="00EB4126" w:rsidRPr="00F87667">
              <w:rPr>
                <w:rFonts w:ascii="宋体" w:eastAsia="宋体" w:hAnsi="宋体" w:hint="eastAsia"/>
                <w:b/>
                <w:color w:val="000000"/>
                <w:szCs w:val="21"/>
              </w:rPr>
              <w:t>（</w:t>
            </w:r>
            <w:r w:rsidR="00EB4126">
              <w:rPr>
                <w:rFonts w:ascii="宋体" w:eastAsia="宋体" w:hAnsi="宋体" w:hint="eastAsia"/>
                <w:b/>
                <w:color w:val="000000"/>
                <w:szCs w:val="21"/>
              </w:rPr>
              <w:t>市民</w:t>
            </w:r>
            <w:r w:rsidR="00EB4126" w:rsidRPr="00F87667">
              <w:rPr>
                <w:rFonts w:ascii="宋体" w:eastAsia="宋体" w:hAnsi="宋体" w:hint="eastAsia"/>
                <w:b/>
                <w:color w:val="000000"/>
                <w:szCs w:val="21"/>
              </w:rPr>
              <w:t>谭</w:t>
            </w:r>
            <w:r w:rsidR="00EB4126">
              <w:rPr>
                <w:rFonts w:ascii="宋体" w:eastAsia="宋体" w:hAnsi="宋体" w:hint="eastAsia"/>
                <w:b/>
                <w:color w:val="000000"/>
                <w:szCs w:val="21"/>
              </w:rPr>
              <w:t>先生</w:t>
            </w:r>
            <w:r w:rsidR="00EB4126" w:rsidRPr="00F87667">
              <w:rPr>
                <w:rFonts w:ascii="宋体" w:eastAsia="宋体" w:hAnsi="宋体" w:hint="eastAsia"/>
                <w:b/>
                <w:color w:val="000000"/>
                <w:szCs w:val="21"/>
              </w:rPr>
              <w:t>）</w:t>
            </w:r>
          </w:p>
        </w:tc>
        <w:tc>
          <w:tcPr>
            <w:tcW w:w="282" w:type="pct"/>
            <w:vAlign w:val="center"/>
          </w:tcPr>
          <w:p w:rsidR="00F04AAA" w:rsidRPr="00F87667" w:rsidRDefault="00B7555D" w:rsidP="00F04AAA">
            <w:pPr>
              <w:jc w:val="center"/>
              <w:rPr>
                <w:rFonts w:ascii="宋体" w:eastAsia="宋体" w:hAnsi="宋体"/>
                <w:szCs w:val="21"/>
              </w:rPr>
            </w:pPr>
            <w:r>
              <w:rPr>
                <w:rFonts w:ascii="宋体" w:eastAsia="宋体" w:hAnsi="宋体" w:hint="eastAsia"/>
                <w:szCs w:val="21"/>
              </w:rPr>
              <w:t>采纳</w:t>
            </w:r>
          </w:p>
        </w:tc>
        <w:tc>
          <w:tcPr>
            <w:tcW w:w="1023" w:type="pct"/>
          </w:tcPr>
          <w:p w:rsidR="00F04AAA" w:rsidRPr="00F87667" w:rsidRDefault="00172538" w:rsidP="00F04AAA">
            <w:pPr>
              <w:jc w:val="left"/>
              <w:rPr>
                <w:rFonts w:ascii="仿宋_GB2312" w:hAnsi="仿宋_GB2312"/>
                <w:szCs w:val="21"/>
              </w:rPr>
            </w:pPr>
            <w:r>
              <w:rPr>
                <w:rFonts w:ascii="仿宋_GB2312" w:hAnsi="仿宋_GB2312" w:hint="eastAsia"/>
                <w:szCs w:val="21"/>
              </w:rPr>
              <w:t>按照条文规定的顺序，符合其中标准之一即可。</w:t>
            </w:r>
          </w:p>
        </w:tc>
      </w:tr>
      <w:tr w:rsidR="00FA39CE" w:rsidRPr="00F87667" w:rsidTr="00FA39CE">
        <w:trPr>
          <w:trHeight w:val="2524"/>
        </w:trPr>
        <w:tc>
          <w:tcPr>
            <w:tcW w:w="183" w:type="pct"/>
            <w:vMerge w:val="restart"/>
            <w:vAlign w:val="center"/>
          </w:tcPr>
          <w:p w:rsidR="00FA39CE" w:rsidRPr="00F87667" w:rsidRDefault="00FA39CE" w:rsidP="00F04AAA">
            <w:pPr>
              <w:jc w:val="center"/>
              <w:rPr>
                <w:rFonts w:ascii="仿宋_GB2312" w:hAnsi="仿宋_GB2312"/>
                <w:szCs w:val="21"/>
              </w:rPr>
            </w:pPr>
            <w:r>
              <w:rPr>
                <w:rFonts w:ascii="仿宋_GB2312" w:hAnsi="仿宋_GB2312"/>
                <w:szCs w:val="21"/>
              </w:rPr>
              <w:t>7</w:t>
            </w:r>
          </w:p>
        </w:tc>
        <w:tc>
          <w:tcPr>
            <w:tcW w:w="379" w:type="pct"/>
            <w:vMerge w:val="restart"/>
          </w:tcPr>
          <w:p w:rsidR="00FA39CE" w:rsidRPr="00F87667" w:rsidRDefault="00FA39CE" w:rsidP="00F04AAA">
            <w:pPr>
              <w:jc w:val="center"/>
              <w:rPr>
                <w:rFonts w:ascii="仿宋_GB2312" w:hAnsi="仿宋_GB2312"/>
                <w:szCs w:val="21"/>
              </w:rPr>
            </w:pPr>
            <w:r w:rsidRPr="00F87667">
              <w:rPr>
                <w:rFonts w:ascii="仿宋_GB2312" w:hAnsi="仿宋_GB2312" w:hint="eastAsia"/>
                <w:szCs w:val="21"/>
              </w:rPr>
              <w:t>产权限制</w:t>
            </w:r>
          </w:p>
        </w:tc>
        <w:tc>
          <w:tcPr>
            <w:tcW w:w="302" w:type="pct"/>
            <w:vMerge w:val="restart"/>
          </w:tcPr>
          <w:p w:rsidR="00FA39CE" w:rsidRPr="00F87667" w:rsidRDefault="00FA39CE" w:rsidP="00F04AAA">
            <w:pPr>
              <w:jc w:val="center"/>
              <w:rPr>
                <w:rFonts w:ascii="仿宋_GB2312" w:hAnsi="仿宋_GB2312"/>
                <w:szCs w:val="21"/>
              </w:rPr>
            </w:pPr>
            <w:r w:rsidRPr="00F87667">
              <w:rPr>
                <w:rFonts w:ascii="仿宋_GB2312" w:hAnsi="仿宋_GB2312" w:hint="eastAsia"/>
                <w:szCs w:val="21"/>
              </w:rPr>
              <w:t>第十二条</w:t>
            </w:r>
          </w:p>
        </w:tc>
        <w:tc>
          <w:tcPr>
            <w:tcW w:w="2831" w:type="pct"/>
            <w:vAlign w:val="center"/>
          </w:tcPr>
          <w:p w:rsidR="00FA39CE" w:rsidRPr="00F87667" w:rsidRDefault="00FA39CE" w:rsidP="00F04AAA">
            <w:pPr>
              <w:widowControl/>
              <w:jc w:val="left"/>
              <w:rPr>
                <w:rFonts w:ascii="宋体" w:eastAsia="宋体" w:hAnsi="宋体" w:cs="Arial"/>
                <w:b/>
                <w:color w:val="000000"/>
                <w:kern w:val="0"/>
                <w:szCs w:val="21"/>
              </w:rPr>
            </w:pPr>
            <w:r w:rsidRPr="00F87667">
              <w:rPr>
                <w:rFonts w:ascii="宋体" w:eastAsia="宋体" w:hAnsi="宋体" w:cs="Arial"/>
                <w:color w:val="000000"/>
                <w:kern w:val="0"/>
                <w:szCs w:val="21"/>
              </w:rPr>
              <w:t>1</w:t>
            </w:r>
            <w:r>
              <w:rPr>
                <w:rFonts w:ascii="宋体" w:eastAsia="宋体" w:hAnsi="宋体" w:cs="Arial"/>
                <w:color w:val="000000"/>
                <w:kern w:val="0"/>
                <w:szCs w:val="21"/>
              </w:rPr>
              <w:t>2</w:t>
            </w:r>
            <w:r w:rsidRPr="00F87667">
              <w:rPr>
                <w:rFonts w:ascii="宋体" w:eastAsia="宋体" w:hAnsi="宋体" w:cs="Arial" w:hint="eastAsia"/>
                <w:color w:val="000000"/>
                <w:kern w:val="0"/>
                <w:szCs w:val="21"/>
              </w:rPr>
              <w:t>、第十二条</w:t>
            </w:r>
            <w:r w:rsidRPr="00F87667">
              <w:rPr>
                <w:rFonts w:ascii="宋体" w:eastAsia="宋体" w:hAnsi="宋体" w:cs="Arial"/>
                <w:color w:val="000000"/>
                <w:kern w:val="0"/>
                <w:szCs w:val="21"/>
              </w:rPr>
              <w:t xml:space="preserve"> </w:t>
            </w:r>
            <w:r w:rsidRPr="00F87667">
              <w:rPr>
                <w:rFonts w:ascii="宋体" w:eastAsia="宋体" w:hAnsi="宋体" w:cs="Arial" w:hint="eastAsia"/>
                <w:color w:val="000000"/>
                <w:kern w:val="0"/>
                <w:szCs w:val="21"/>
              </w:rPr>
              <w:t>产权限制产业用地容积调整后，新增的建筑面积不得转让。因司法裁定需转移过户的，转移后的产权限制条件维持不变。此条款值得商榷：反对理由：一、限制产权转让不符合当时市场经济要求，早在</w:t>
            </w:r>
            <w:r w:rsidRPr="00F87667">
              <w:rPr>
                <w:rFonts w:ascii="宋体" w:eastAsia="宋体" w:hAnsi="宋体" w:cs="Arial"/>
                <w:color w:val="000000"/>
                <w:kern w:val="0"/>
                <w:szCs w:val="21"/>
              </w:rPr>
              <w:t>2001年市政府</w:t>
            </w:r>
            <w:hyperlink r:id="rId12" w:tgtFrame="_blank" w:history="1">
              <w:r w:rsidRPr="00F87667">
                <w:rPr>
                  <w:rFonts w:ascii="宋体" w:eastAsia="宋体" w:hAnsi="宋体" w:cs="Arial" w:hint="eastAsia"/>
                  <w:color w:val="000000"/>
                  <w:kern w:val="0"/>
                  <w:szCs w:val="21"/>
                </w:rPr>
                <w:t>关于加强土地市场化管理进一步搞活和规范房地产市场的决定</w:t>
              </w:r>
            </w:hyperlink>
            <w:r w:rsidRPr="00F87667">
              <w:rPr>
                <w:rFonts w:ascii="宋体" w:eastAsia="宋体" w:hAnsi="宋体" w:cs="Arial" w:hint="eastAsia"/>
                <w:color w:val="000000"/>
                <w:kern w:val="0"/>
                <w:szCs w:val="21"/>
              </w:rPr>
              <w:t>（深府</w:t>
            </w:r>
            <w:r w:rsidRPr="00F87667">
              <w:rPr>
                <w:rFonts w:ascii="宋体" w:eastAsia="宋体" w:hAnsi="宋体" w:cs="Arial"/>
                <w:color w:val="000000"/>
                <w:kern w:val="0"/>
                <w:szCs w:val="21"/>
              </w:rPr>
              <w:t>[2001]94号文），鼓励土地房地产进入市场，产权限制将使得市场失去活跃，也不符合深圳1+6文件中工业楼宇转让办法规定。二、原来政府土地出让很大一部分属于商品性质，提高容积率部分由约定不得转让，将造成土地性质混乱，不易于管理，从合同法角度，政府涉嫌违约。三、产权一律限制将影响申请单位积极性，不符合本规定扶持实体经济的初心。四、产权转让严格控制将影响企业融资，提高融资成本，试问提高容积率获批后，有那个银行愿意借款给不得转让的项目呢？建议：关于产权限制一条建议以原合同关于产权转让条款和目前有利政策规定作为原则进行分类鼓励或者限制：原合同约定不得转让的，则提高容积率部分不得转让，限制整体转让的，限制整体转让，且受让方须符合补充合同产业受让条件。因司法裁定的，为防止假诉讼，拍卖前应征</w:t>
            </w:r>
            <w:proofErr w:type="gramStart"/>
            <w:r w:rsidRPr="00F87667">
              <w:rPr>
                <w:rFonts w:ascii="宋体" w:eastAsia="宋体" w:hAnsi="宋体" w:cs="Arial"/>
                <w:color w:val="000000"/>
                <w:kern w:val="0"/>
                <w:szCs w:val="21"/>
              </w:rPr>
              <w:t>求土地</w:t>
            </w:r>
            <w:proofErr w:type="gramEnd"/>
            <w:r w:rsidRPr="00F87667">
              <w:rPr>
                <w:rFonts w:ascii="宋体" w:eastAsia="宋体" w:hAnsi="宋体" w:cs="Arial"/>
                <w:color w:val="000000"/>
                <w:kern w:val="0"/>
                <w:szCs w:val="21"/>
              </w:rPr>
              <w:t>主管部门意见，提出审查建议，包括拍卖前购买</w:t>
            </w:r>
            <w:proofErr w:type="gramStart"/>
            <w:r w:rsidRPr="00F87667">
              <w:rPr>
                <w:rFonts w:ascii="宋体" w:eastAsia="宋体" w:hAnsi="宋体" w:cs="Arial"/>
                <w:color w:val="000000"/>
                <w:kern w:val="0"/>
                <w:szCs w:val="21"/>
              </w:rPr>
              <w:t>方主体</w:t>
            </w:r>
            <w:proofErr w:type="gramEnd"/>
            <w:r w:rsidRPr="00F87667">
              <w:rPr>
                <w:rFonts w:ascii="宋体" w:eastAsia="宋体" w:hAnsi="宋体" w:cs="Arial"/>
                <w:color w:val="000000"/>
                <w:kern w:val="0"/>
                <w:szCs w:val="21"/>
              </w:rPr>
              <w:t>资格设定等。</w:t>
            </w:r>
            <w:r w:rsidRPr="00F87667">
              <w:rPr>
                <w:rFonts w:ascii="宋体" w:eastAsia="宋体" w:hAnsi="宋体" w:cs="Arial" w:hint="eastAsia"/>
                <w:b/>
                <w:color w:val="000000"/>
                <w:kern w:val="0"/>
                <w:szCs w:val="21"/>
              </w:rPr>
              <w:t>（市民卢先生）</w:t>
            </w:r>
          </w:p>
          <w:p w:rsidR="00FA39CE" w:rsidRPr="00F87667" w:rsidRDefault="00FA39CE" w:rsidP="00F04AAA">
            <w:pPr>
              <w:widowControl/>
              <w:jc w:val="left"/>
              <w:rPr>
                <w:rFonts w:ascii="宋体" w:eastAsia="宋体" w:hAnsi="宋体" w:cs="Arial"/>
                <w:color w:val="000000"/>
                <w:kern w:val="0"/>
                <w:szCs w:val="21"/>
              </w:rPr>
            </w:pPr>
            <w:r w:rsidRPr="00F87667">
              <w:rPr>
                <w:rFonts w:ascii="宋体" w:eastAsia="宋体" w:hAnsi="宋体" w:cs="Arial"/>
                <w:color w:val="000000"/>
                <w:kern w:val="0"/>
                <w:szCs w:val="21"/>
              </w:rPr>
              <w:t>1</w:t>
            </w:r>
            <w:r>
              <w:rPr>
                <w:rFonts w:ascii="宋体" w:eastAsia="宋体" w:hAnsi="宋体" w:cs="Arial"/>
                <w:color w:val="000000"/>
                <w:kern w:val="0"/>
                <w:szCs w:val="21"/>
              </w:rPr>
              <w:t>3</w:t>
            </w:r>
            <w:r w:rsidRPr="00F87667">
              <w:rPr>
                <w:rFonts w:ascii="宋体" w:eastAsia="宋体" w:hAnsi="宋体" w:cs="Arial" w:hint="eastAsia"/>
                <w:color w:val="000000"/>
                <w:kern w:val="0"/>
                <w:szCs w:val="21"/>
              </w:rPr>
              <w:t>、第十二条，有关产权限制的规定，原文：产业用地容积调整后，新增的建筑面积不得转让。深圳有一句很火的广告语，</w:t>
            </w:r>
            <w:r w:rsidRPr="00F87667">
              <w:rPr>
                <w:rFonts w:ascii="宋体" w:eastAsia="宋体" w:hAnsi="宋体" w:cs="Arial"/>
                <w:color w:val="000000"/>
                <w:kern w:val="0"/>
                <w:szCs w:val="21"/>
              </w:rPr>
              <w:t>“</w:t>
            </w:r>
            <w:r w:rsidRPr="00F87667">
              <w:rPr>
                <w:rFonts w:ascii="宋体" w:eastAsia="宋体" w:hAnsi="宋体" w:cs="Arial" w:hint="eastAsia"/>
                <w:color w:val="000000"/>
                <w:kern w:val="0"/>
                <w:szCs w:val="21"/>
              </w:rPr>
              <w:t>来了就是深圳人</w:t>
            </w:r>
            <w:r w:rsidRPr="00F87667">
              <w:rPr>
                <w:rFonts w:ascii="宋体" w:eastAsia="宋体" w:hAnsi="宋体" w:cs="Arial"/>
                <w:color w:val="000000"/>
                <w:kern w:val="0"/>
                <w:szCs w:val="21"/>
              </w:rPr>
              <w:t>”</w:t>
            </w:r>
            <w:r w:rsidRPr="00F87667">
              <w:rPr>
                <w:rFonts w:ascii="宋体" w:eastAsia="宋体" w:hAnsi="宋体" w:cs="Arial" w:hint="eastAsia"/>
                <w:color w:val="000000"/>
                <w:kern w:val="0"/>
                <w:szCs w:val="21"/>
              </w:rPr>
              <w:t>，初来深圳，看到这句欢迎词特别舒服，特别安定人心。言外之意，深圳政府对每一个人同等对待，我们让你安居乐业。深圳也确</w:t>
            </w:r>
            <w:r w:rsidRPr="00F87667">
              <w:rPr>
                <w:rFonts w:ascii="宋体" w:eastAsia="宋体" w:hAnsi="宋体" w:cs="Arial" w:hint="eastAsia"/>
                <w:color w:val="000000"/>
                <w:kern w:val="0"/>
                <w:szCs w:val="21"/>
              </w:rPr>
              <w:lastRenderedPageBreak/>
              <w:t>实在这方面是</w:t>
            </w:r>
            <w:r w:rsidRPr="00F87667">
              <w:rPr>
                <w:rFonts w:ascii="宋体" w:eastAsia="宋体" w:hAnsi="宋体" w:cs="Arial"/>
                <w:color w:val="000000"/>
                <w:kern w:val="0"/>
                <w:szCs w:val="21"/>
              </w:rPr>
              <w:t xml:space="preserve"> NO 1</w:t>
            </w:r>
            <w:r w:rsidRPr="00F87667">
              <w:rPr>
                <w:rFonts w:ascii="宋体" w:eastAsia="宋体" w:hAnsi="宋体" w:cs="Arial" w:hint="eastAsia"/>
                <w:color w:val="000000"/>
                <w:kern w:val="0"/>
                <w:szCs w:val="21"/>
              </w:rPr>
              <w:t>，无人能比。但时间久了会发现，有房才有家，没房过年回老家。深圳速度名副其实，房价涨得飞快，租金也随着深圳经济的发展步步高升。虽然深圳的利好也吸引了很多大企业进来，养育了一些世界级企业，但有限的土地资源大大满足不了日益增长的企业数量和产业的空间需求。据测算，企业的房租支出占企业受益的</w:t>
            </w:r>
            <w:r w:rsidRPr="00F87667">
              <w:rPr>
                <w:rFonts w:ascii="宋体" w:eastAsia="宋体" w:hAnsi="宋体" w:cs="Arial"/>
                <w:color w:val="000000"/>
                <w:kern w:val="0"/>
                <w:szCs w:val="21"/>
              </w:rPr>
              <w:t xml:space="preserve"> 10%-15%</w:t>
            </w:r>
            <w:r w:rsidRPr="00F87667">
              <w:rPr>
                <w:rFonts w:ascii="宋体" w:eastAsia="宋体" w:hAnsi="宋体" w:cs="Arial" w:hint="eastAsia"/>
                <w:color w:val="000000"/>
                <w:kern w:val="0"/>
                <w:szCs w:val="21"/>
              </w:rPr>
              <w:t>，生产加工类企业能占到</w:t>
            </w:r>
            <w:r w:rsidRPr="00F87667">
              <w:rPr>
                <w:rFonts w:ascii="宋体" w:eastAsia="宋体" w:hAnsi="宋体" w:cs="Arial"/>
                <w:color w:val="000000"/>
                <w:kern w:val="0"/>
                <w:szCs w:val="21"/>
              </w:rPr>
              <w:t xml:space="preserve"> 20-30%</w:t>
            </w:r>
            <w:r w:rsidRPr="00F87667">
              <w:rPr>
                <w:rFonts w:ascii="宋体" w:eastAsia="宋体" w:hAnsi="宋体" w:cs="Arial" w:hint="eastAsia"/>
                <w:color w:val="000000"/>
                <w:kern w:val="0"/>
                <w:szCs w:val="21"/>
              </w:rPr>
              <w:t>，支出相当大。三年搬迁装修，五年升级，投资上百万，刚刚收回成本就面临再次搬迁，几年的辛苦白费。甚至有的企业还将面临债务追讨，破产或者搬离深圳。做企业也是一样，需要有稳定的产业发展空间，那么通过购买等各种方式拥有固定资产，</w:t>
            </w:r>
            <w:proofErr w:type="gramStart"/>
            <w:r w:rsidRPr="00F87667">
              <w:rPr>
                <w:rFonts w:ascii="宋体" w:eastAsia="宋体" w:hAnsi="宋体" w:cs="Arial" w:hint="eastAsia"/>
                <w:color w:val="000000"/>
                <w:kern w:val="0"/>
                <w:szCs w:val="21"/>
              </w:rPr>
              <w:t>自持</w:t>
            </w:r>
            <w:proofErr w:type="gramEnd"/>
            <w:r w:rsidRPr="00F87667">
              <w:rPr>
                <w:rFonts w:ascii="宋体" w:eastAsia="宋体" w:hAnsi="宋体" w:cs="Arial" w:hint="eastAsia"/>
                <w:color w:val="000000"/>
                <w:kern w:val="0"/>
                <w:szCs w:val="21"/>
              </w:rPr>
              <w:t>产业空间，也在一定程度上起到了安民心，</w:t>
            </w:r>
            <w:proofErr w:type="gramStart"/>
            <w:r w:rsidRPr="00F87667">
              <w:rPr>
                <w:rFonts w:ascii="宋体" w:eastAsia="宋体" w:hAnsi="宋体" w:cs="Arial" w:hint="eastAsia"/>
                <w:color w:val="000000"/>
                <w:kern w:val="0"/>
                <w:szCs w:val="21"/>
              </w:rPr>
              <w:t>稳企业</w:t>
            </w:r>
            <w:proofErr w:type="gramEnd"/>
            <w:r w:rsidRPr="00F87667">
              <w:rPr>
                <w:rFonts w:ascii="宋体" w:eastAsia="宋体" w:hAnsi="宋体" w:cs="Arial" w:hint="eastAsia"/>
                <w:color w:val="000000"/>
                <w:kern w:val="0"/>
                <w:szCs w:val="21"/>
              </w:rPr>
              <w:t>的重要作用。因此建议企业的产业用地容积调整后，准予对符合深圳市产业政策发展导向的企业一定比例的新增面积转让。转让面积和转让方式上报上级主管部门审批。以上为我个人的几点建议，</w:t>
            </w:r>
            <w:proofErr w:type="gramStart"/>
            <w:r w:rsidRPr="00F87667">
              <w:rPr>
                <w:rFonts w:ascii="宋体" w:eastAsia="宋体" w:hAnsi="宋体" w:cs="Arial" w:hint="eastAsia"/>
                <w:color w:val="000000"/>
                <w:kern w:val="0"/>
                <w:szCs w:val="21"/>
              </w:rPr>
              <w:t>望贵委进行</w:t>
            </w:r>
            <w:proofErr w:type="gramEnd"/>
            <w:r w:rsidRPr="00F87667">
              <w:rPr>
                <w:rFonts w:ascii="宋体" w:eastAsia="宋体" w:hAnsi="宋体" w:cs="Arial" w:hint="eastAsia"/>
                <w:color w:val="000000"/>
                <w:kern w:val="0"/>
                <w:szCs w:val="21"/>
              </w:rPr>
              <w:t>考虑。</w:t>
            </w:r>
          </w:p>
          <w:p w:rsidR="00FA39CE" w:rsidRPr="00FA39CE" w:rsidRDefault="00FA39CE" w:rsidP="00F04AAA">
            <w:pPr>
              <w:widowControl/>
              <w:jc w:val="left"/>
              <w:rPr>
                <w:rFonts w:ascii="宋体" w:eastAsia="宋体" w:hAnsi="宋体"/>
                <w:b/>
                <w:szCs w:val="21"/>
              </w:rPr>
            </w:pPr>
            <w:r w:rsidRPr="00F87667">
              <w:rPr>
                <w:rFonts w:ascii="宋体" w:eastAsia="宋体" w:hAnsi="宋体"/>
                <w:szCs w:val="21"/>
              </w:rPr>
              <w:t>1</w:t>
            </w:r>
            <w:r>
              <w:rPr>
                <w:rFonts w:ascii="宋体" w:eastAsia="宋体" w:hAnsi="宋体"/>
                <w:szCs w:val="21"/>
              </w:rPr>
              <w:t>4</w:t>
            </w:r>
            <w:r w:rsidRPr="00F87667">
              <w:rPr>
                <w:rFonts w:ascii="宋体" w:eastAsia="宋体" w:hAnsi="宋体" w:hint="eastAsia"/>
                <w:szCs w:val="21"/>
              </w:rPr>
              <w:t>、《规定》限制产权转让的约定，尚需斟酌，具体理由</w:t>
            </w:r>
            <w:proofErr w:type="gramStart"/>
            <w:r w:rsidRPr="00F87667">
              <w:rPr>
                <w:rFonts w:ascii="宋体" w:eastAsia="宋体" w:hAnsi="宋体" w:hint="eastAsia"/>
                <w:szCs w:val="21"/>
              </w:rPr>
              <w:t>见企业</w:t>
            </w:r>
            <w:proofErr w:type="gramEnd"/>
            <w:r w:rsidRPr="00F87667">
              <w:rPr>
                <w:rFonts w:ascii="宋体" w:eastAsia="宋体" w:hAnsi="宋体" w:hint="eastAsia"/>
                <w:szCs w:val="21"/>
              </w:rPr>
              <w:t>意见的原件。</w:t>
            </w:r>
            <w:r w:rsidRPr="00F87667">
              <w:rPr>
                <w:rFonts w:ascii="宋体" w:eastAsia="宋体" w:hAnsi="宋体" w:hint="eastAsia"/>
                <w:b/>
                <w:szCs w:val="21"/>
              </w:rPr>
              <w:t>（深圳玮城置业有限公司）</w:t>
            </w:r>
          </w:p>
        </w:tc>
        <w:tc>
          <w:tcPr>
            <w:tcW w:w="282" w:type="pct"/>
            <w:vAlign w:val="center"/>
          </w:tcPr>
          <w:p w:rsidR="00FA39CE" w:rsidRPr="00F87667" w:rsidRDefault="00FA39CE" w:rsidP="00F04AAA">
            <w:pPr>
              <w:jc w:val="center"/>
              <w:rPr>
                <w:rFonts w:ascii="宋体" w:eastAsia="宋体" w:hAnsi="宋体"/>
                <w:szCs w:val="21"/>
              </w:rPr>
            </w:pPr>
            <w:r w:rsidRPr="00F87667">
              <w:rPr>
                <w:rFonts w:ascii="宋体" w:eastAsia="宋体" w:hAnsi="宋体" w:hint="eastAsia"/>
                <w:szCs w:val="21"/>
              </w:rPr>
              <w:lastRenderedPageBreak/>
              <w:t>解释</w:t>
            </w:r>
          </w:p>
          <w:p w:rsidR="00FA39CE" w:rsidRPr="00F87667" w:rsidRDefault="00FA39CE" w:rsidP="00F04AAA">
            <w:pPr>
              <w:jc w:val="left"/>
              <w:rPr>
                <w:rFonts w:ascii="仿宋_GB2312" w:hAnsi="仿宋_GB2312"/>
                <w:szCs w:val="21"/>
              </w:rPr>
            </w:pPr>
          </w:p>
        </w:tc>
        <w:tc>
          <w:tcPr>
            <w:tcW w:w="1023" w:type="pct"/>
          </w:tcPr>
          <w:p w:rsidR="00FA39CE" w:rsidRPr="00F87667" w:rsidRDefault="00FA39CE" w:rsidP="00F04AAA">
            <w:pPr>
              <w:jc w:val="left"/>
              <w:rPr>
                <w:rFonts w:ascii="仿宋_GB2312" w:hAnsi="仿宋_GB2312"/>
                <w:szCs w:val="21"/>
              </w:rPr>
            </w:pPr>
            <w:r w:rsidRPr="00F87667">
              <w:rPr>
                <w:rFonts w:ascii="仿宋_GB2312" w:hAnsi="仿宋_GB2312" w:hint="eastAsia"/>
                <w:szCs w:val="21"/>
              </w:rPr>
              <w:t>本次政策制定导向在于保障产业发展空间，防止产业空心化及房地产化，严格要求新增建筑不得转让。</w:t>
            </w:r>
          </w:p>
        </w:tc>
      </w:tr>
      <w:tr w:rsidR="00FA39CE" w:rsidRPr="00F87667" w:rsidTr="00FA39CE">
        <w:trPr>
          <w:trHeight w:val="1979"/>
        </w:trPr>
        <w:tc>
          <w:tcPr>
            <w:tcW w:w="183" w:type="pct"/>
            <w:vMerge/>
            <w:vAlign w:val="center"/>
          </w:tcPr>
          <w:p w:rsidR="00FA39CE" w:rsidRPr="00F87667" w:rsidRDefault="00FA39CE" w:rsidP="00F04AAA">
            <w:pPr>
              <w:jc w:val="center"/>
              <w:rPr>
                <w:rFonts w:ascii="仿宋_GB2312" w:hAnsi="仿宋_GB2312"/>
                <w:szCs w:val="21"/>
              </w:rPr>
            </w:pPr>
          </w:p>
        </w:tc>
        <w:tc>
          <w:tcPr>
            <w:tcW w:w="379" w:type="pct"/>
            <w:vMerge/>
          </w:tcPr>
          <w:p w:rsidR="00FA39CE" w:rsidRPr="00F87667" w:rsidRDefault="00FA39CE" w:rsidP="00F04AAA">
            <w:pPr>
              <w:jc w:val="center"/>
              <w:rPr>
                <w:rFonts w:ascii="仿宋_GB2312" w:hAnsi="仿宋_GB2312"/>
                <w:szCs w:val="21"/>
              </w:rPr>
            </w:pPr>
          </w:p>
        </w:tc>
        <w:tc>
          <w:tcPr>
            <w:tcW w:w="302" w:type="pct"/>
            <w:vMerge/>
          </w:tcPr>
          <w:p w:rsidR="00FA39CE" w:rsidRPr="00F87667" w:rsidRDefault="00FA39CE" w:rsidP="00F04AAA">
            <w:pPr>
              <w:jc w:val="center"/>
              <w:rPr>
                <w:rFonts w:ascii="仿宋_GB2312" w:hAnsi="仿宋_GB2312"/>
                <w:szCs w:val="21"/>
              </w:rPr>
            </w:pPr>
          </w:p>
        </w:tc>
        <w:tc>
          <w:tcPr>
            <w:tcW w:w="2831" w:type="pct"/>
            <w:vAlign w:val="center"/>
          </w:tcPr>
          <w:p w:rsidR="00FA39CE" w:rsidRPr="00F87667" w:rsidRDefault="00FA39CE" w:rsidP="00F04AAA">
            <w:pPr>
              <w:widowControl/>
              <w:jc w:val="left"/>
              <w:rPr>
                <w:rFonts w:ascii="宋体" w:eastAsia="宋体" w:hAnsi="宋体" w:cs="Arial"/>
                <w:color w:val="000000"/>
                <w:kern w:val="0"/>
                <w:szCs w:val="21"/>
              </w:rPr>
            </w:pPr>
            <w:r w:rsidRPr="00FA39CE">
              <w:rPr>
                <w:rFonts w:ascii="宋体" w:eastAsia="宋体" w:hAnsi="宋体" w:cs="Arial" w:hint="eastAsia"/>
                <w:color w:val="000000" w:themeColor="text1"/>
                <w:kern w:val="0"/>
                <w:szCs w:val="21"/>
              </w:rPr>
              <w:t>15、第十二条产权限制中规定，“产业用地容积调整后，新增的建筑面积不得转让。因司法裁定需转移过户的，转以后的产权限制条件维持不变。”该内容与《深圳市工业楼宇转让管理办法（试行）》（以下简称“《工业楼宇转让管理办法》”）第四条第二款内容冲突。《工业楼宇转让管理办法》属于深圳市人民政府颁布的现行有效的行政规章，其效力高于深圳市</w:t>
            </w:r>
            <w:proofErr w:type="gramStart"/>
            <w:r w:rsidRPr="00FA39CE">
              <w:rPr>
                <w:rFonts w:ascii="宋体" w:eastAsia="宋体" w:hAnsi="宋体" w:cs="Arial" w:hint="eastAsia"/>
                <w:color w:val="000000" w:themeColor="text1"/>
                <w:kern w:val="0"/>
                <w:szCs w:val="21"/>
              </w:rPr>
              <w:t>规</w:t>
            </w:r>
            <w:proofErr w:type="gramEnd"/>
            <w:r w:rsidRPr="00FA39CE">
              <w:rPr>
                <w:rFonts w:ascii="宋体" w:eastAsia="宋体" w:hAnsi="宋体" w:cs="Arial" w:hint="eastAsia"/>
                <w:color w:val="000000" w:themeColor="text1"/>
                <w:kern w:val="0"/>
                <w:szCs w:val="21"/>
              </w:rPr>
              <w:t>土委本次发布的《产业用地管理规定》，若二者条款存在冲突，应当优先适用效力较高者。为了避免上述规章体系内部冲突，建议：将第十二条产权限制内容调整为“产业用地容积调整后，新增的建筑面积不得转让，但有《工业楼宇转让管理办法》第四条第二款规定的情形除外。”或“产业用地容积调整后，新增的建筑面积不得转让，但本委或上级部门、深圳市人民政府已发布的行政规章另有规定的情形除外。”</w:t>
            </w:r>
            <w:r w:rsidRPr="00FA39CE">
              <w:rPr>
                <w:rFonts w:ascii="宋体" w:eastAsia="宋体" w:hAnsi="宋体" w:hint="eastAsia"/>
                <w:b/>
                <w:color w:val="000000" w:themeColor="text1"/>
                <w:szCs w:val="21"/>
              </w:rPr>
              <w:t xml:space="preserve"> （市民</w:t>
            </w:r>
            <w:r w:rsidRPr="00FA39CE">
              <w:rPr>
                <w:rFonts w:ascii="宋体" w:eastAsia="宋体" w:hAnsi="宋体"/>
                <w:b/>
                <w:color w:val="000000" w:themeColor="text1"/>
                <w:szCs w:val="21"/>
              </w:rPr>
              <w:t>18665822425</w:t>
            </w:r>
            <w:r w:rsidRPr="00FA39CE">
              <w:rPr>
                <w:rFonts w:ascii="宋体" w:eastAsia="宋体" w:hAnsi="宋体" w:hint="eastAsia"/>
                <w:b/>
                <w:color w:val="000000" w:themeColor="text1"/>
                <w:szCs w:val="21"/>
              </w:rPr>
              <w:t>）</w:t>
            </w:r>
          </w:p>
        </w:tc>
        <w:tc>
          <w:tcPr>
            <w:tcW w:w="282" w:type="pct"/>
            <w:vAlign w:val="center"/>
          </w:tcPr>
          <w:p w:rsidR="00FA39CE" w:rsidRPr="00F87667" w:rsidRDefault="00B7555D" w:rsidP="00F04AAA">
            <w:pPr>
              <w:jc w:val="center"/>
              <w:rPr>
                <w:rFonts w:ascii="宋体" w:eastAsia="宋体" w:hAnsi="宋体"/>
                <w:szCs w:val="21"/>
              </w:rPr>
            </w:pPr>
            <w:r>
              <w:rPr>
                <w:rFonts w:ascii="宋体" w:eastAsia="宋体" w:hAnsi="宋体" w:hint="eastAsia"/>
                <w:szCs w:val="21"/>
              </w:rPr>
              <w:t>采纳</w:t>
            </w:r>
          </w:p>
        </w:tc>
        <w:tc>
          <w:tcPr>
            <w:tcW w:w="1023" w:type="pct"/>
          </w:tcPr>
          <w:p w:rsidR="00FA39CE" w:rsidRPr="00FA39CE" w:rsidRDefault="00B7555D" w:rsidP="00FA39CE">
            <w:pPr>
              <w:jc w:val="left"/>
              <w:rPr>
                <w:rFonts w:ascii="仿宋_GB2312" w:hAnsi="仿宋_GB2312"/>
                <w:szCs w:val="21"/>
              </w:rPr>
            </w:pPr>
            <w:r>
              <w:rPr>
                <w:rFonts w:ascii="仿宋_GB2312" w:hAnsi="仿宋_GB2312" w:hint="eastAsia"/>
                <w:szCs w:val="21"/>
              </w:rPr>
              <w:t>已与《工业楼宇转让管理办法》以及相关政策充分衔接。</w:t>
            </w:r>
          </w:p>
          <w:p w:rsidR="00FA39CE" w:rsidRPr="00FA39CE" w:rsidRDefault="00FA39CE" w:rsidP="00F04AAA">
            <w:pPr>
              <w:jc w:val="left"/>
              <w:rPr>
                <w:rFonts w:ascii="仿宋_GB2312" w:hAnsi="仿宋_GB2312"/>
                <w:szCs w:val="21"/>
              </w:rPr>
            </w:pPr>
          </w:p>
        </w:tc>
      </w:tr>
      <w:tr w:rsidR="00F04AAA" w:rsidRPr="00F87667" w:rsidTr="00795F6F">
        <w:trPr>
          <w:trHeight w:val="1073"/>
        </w:trPr>
        <w:tc>
          <w:tcPr>
            <w:tcW w:w="183" w:type="pct"/>
            <w:vAlign w:val="center"/>
          </w:tcPr>
          <w:p w:rsidR="00F04AAA" w:rsidRPr="00F87667" w:rsidRDefault="00FA39CE" w:rsidP="00F04AAA">
            <w:pPr>
              <w:jc w:val="center"/>
              <w:rPr>
                <w:rFonts w:ascii="仿宋_GB2312" w:hAnsi="仿宋_GB2312"/>
                <w:szCs w:val="21"/>
              </w:rPr>
            </w:pPr>
            <w:r>
              <w:rPr>
                <w:rFonts w:ascii="仿宋_GB2312" w:hAnsi="仿宋_GB2312"/>
                <w:szCs w:val="21"/>
              </w:rPr>
              <w:t>8</w:t>
            </w:r>
          </w:p>
        </w:tc>
        <w:tc>
          <w:tcPr>
            <w:tcW w:w="379"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申请材料</w:t>
            </w:r>
          </w:p>
        </w:tc>
        <w:tc>
          <w:tcPr>
            <w:tcW w:w="302"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第十六条</w:t>
            </w:r>
          </w:p>
          <w:p w:rsidR="00F04AAA" w:rsidRPr="00F87667" w:rsidRDefault="00F04AAA" w:rsidP="00F04AAA">
            <w:pPr>
              <w:jc w:val="center"/>
              <w:rPr>
                <w:rFonts w:ascii="仿宋_GB2312" w:hAnsi="仿宋_GB2312"/>
                <w:szCs w:val="21"/>
              </w:rPr>
            </w:pPr>
            <w:r w:rsidRPr="00F87667">
              <w:rPr>
                <w:rFonts w:ascii="仿宋_GB2312" w:hAnsi="仿宋_GB2312"/>
                <w:szCs w:val="21"/>
              </w:rPr>
              <w:t>5</w:t>
            </w:r>
            <w:r w:rsidRPr="00F87667">
              <w:rPr>
                <w:rFonts w:ascii="仿宋_GB2312" w:hAnsi="仿宋_GB2312" w:hint="eastAsia"/>
                <w:szCs w:val="21"/>
              </w:rPr>
              <w:t>、</w:t>
            </w:r>
            <w:proofErr w:type="gramStart"/>
            <w:r w:rsidRPr="00F87667">
              <w:rPr>
                <w:rFonts w:ascii="仿宋_GB2312" w:hAnsi="仿宋_GB2312" w:hint="eastAsia"/>
                <w:szCs w:val="21"/>
              </w:rPr>
              <w:t>区产业</w:t>
            </w:r>
            <w:proofErr w:type="gramEnd"/>
            <w:r w:rsidRPr="00F87667">
              <w:rPr>
                <w:rFonts w:ascii="仿宋_GB2312" w:hAnsi="仿宋_GB2312" w:hint="eastAsia"/>
                <w:szCs w:val="21"/>
              </w:rPr>
              <w:t>部门出具的产业审查意见</w:t>
            </w:r>
          </w:p>
        </w:tc>
        <w:tc>
          <w:tcPr>
            <w:tcW w:w="2831" w:type="pct"/>
            <w:vAlign w:val="center"/>
          </w:tcPr>
          <w:p w:rsidR="00F04AAA" w:rsidRDefault="00F04AAA" w:rsidP="00B7555D">
            <w:pPr>
              <w:widowControl/>
              <w:jc w:val="left"/>
              <w:rPr>
                <w:rFonts w:ascii="宋体" w:eastAsia="宋体" w:hAnsi="宋体" w:cs="Arial"/>
                <w:b/>
                <w:color w:val="000000"/>
                <w:kern w:val="0"/>
                <w:szCs w:val="21"/>
              </w:rPr>
            </w:pPr>
            <w:r w:rsidRPr="00F87667">
              <w:rPr>
                <w:rFonts w:ascii="宋体" w:eastAsia="宋体" w:hAnsi="宋体" w:cs="Arial"/>
                <w:color w:val="000000"/>
                <w:kern w:val="0"/>
                <w:szCs w:val="21"/>
              </w:rPr>
              <w:t>1</w:t>
            </w:r>
            <w:r w:rsidR="00FA39CE">
              <w:rPr>
                <w:rFonts w:ascii="宋体" w:eastAsia="宋体" w:hAnsi="宋体" w:cs="Arial"/>
                <w:color w:val="000000"/>
                <w:kern w:val="0"/>
                <w:szCs w:val="21"/>
              </w:rPr>
              <w:t>6</w:t>
            </w:r>
            <w:r w:rsidRPr="00F87667">
              <w:rPr>
                <w:rFonts w:ascii="宋体" w:eastAsia="宋体" w:hAnsi="宋体" w:cs="Arial" w:hint="eastAsia"/>
                <w:color w:val="000000"/>
                <w:kern w:val="0"/>
                <w:szCs w:val="21"/>
              </w:rPr>
              <w:t>、第十六条 </w:t>
            </w:r>
            <w:proofErr w:type="gramStart"/>
            <w:r w:rsidRPr="00F87667">
              <w:rPr>
                <w:rFonts w:ascii="宋体" w:eastAsia="宋体" w:hAnsi="宋体" w:cs="Arial" w:hint="eastAsia"/>
                <w:color w:val="000000"/>
                <w:kern w:val="0"/>
                <w:szCs w:val="21"/>
              </w:rPr>
              <w:t>区产业</w:t>
            </w:r>
            <w:proofErr w:type="gramEnd"/>
            <w:r w:rsidRPr="00F87667">
              <w:rPr>
                <w:rFonts w:ascii="宋体" w:eastAsia="宋体" w:hAnsi="宋体" w:cs="Arial" w:hint="eastAsia"/>
                <w:color w:val="000000"/>
                <w:kern w:val="0"/>
                <w:szCs w:val="21"/>
              </w:rPr>
              <w:t>部门出具的产业审查意见，具体包括：产业项目是否符我市产业发展导向和产业政策、产业发展监管要求以及是否同意调整的明确意见，拟拆除部分或全部建（构）筑物后建设的，需明确对我市产业发展是否造成影响。同意调整的，应同时出具《产业发展监管协议》（草案）。为提高办事效率，建议修改为：由管理局征求</w:t>
            </w:r>
            <w:proofErr w:type="gramStart"/>
            <w:r w:rsidRPr="00F87667">
              <w:rPr>
                <w:rFonts w:ascii="宋体" w:eastAsia="宋体" w:hAnsi="宋体" w:cs="Arial" w:hint="eastAsia"/>
                <w:color w:val="000000"/>
                <w:kern w:val="0"/>
                <w:szCs w:val="21"/>
              </w:rPr>
              <w:t>区产业</w:t>
            </w:r>
            <w:proofErr w:type="gramEnd"/>
            <w:r w:rsidRPr="00F87667">
              <w:rPr>
                <w:rFonts w:ascii="宋体" w:eastAsia="宋体" w:hAnsi="宋体" w:cs="Arial" w:hint="eastAsia"/>
                <w:color w:val="000000"/>
                <w:kern w:val="0"/>
                <w:szCs w:val="21"/>
              </w:rPr>
              <w:t>部门产业审查意见，具体包括：产业项目是否符合我市产业发展导向和产业政策、产业发展监管要求以及是否同意调整的明确意见，拟拆除部分或全部建（构）筑物后建设的，需明确对我市产业发展是否造成影响等。签订土地出让合同补充合同时，须同时出具与产业主管部门签订的《产业发展监管协议》。</w:t>
            </w:r>
            <w:r w:rsidRPr="00F87667">
              <w:rPr>
                <w:rFonts w:ascii="宋体" w:eastAsia="宋体" w:hAnsi="宋体" w:cs="Arial" w:hint="eastAsia"/>
                <w:b/>
                <w:color w:val="000000"/>
                <w:kern w:val="0"/>
                <w:szCs w:val="21"/>
              </w:rPr>
              <w:t>（市民卢先生）</w:t>
            </w:r>
          </w:p>
          <w:p w:rsidR="00B7555D" w:rsidRPr="00F87667" w:rsidRDefault="00B7555D" w:rsidP="00B7555D">
            <w:pPr>
              <w:widowControl/>
              <w:jc w:val="left"/>
              <w:rPr>
                <w:rFonts w:ascii="宋体" w:eastAsia="宋体" w:hAnsi="宋体" w:cs="Arial"/>
                <w:color w:val="000000"/>
                <w:kern w:val="0"/>
                <w:szCs w:val="21"/>
              </w:rPr>
            </w:pPr>
            <w:r w:rsidRPr="00F87667">
              <w:rPr>
                <w:rFonts w:ascii="宋体" w:eastAsia="宋体" w:hAnsi="宋体" w:cs="Arial"/>
                <w:color w:val="000000"/>
                <w:kern w:val="0"/>
                <w:szCs w:val="21"/>
              </w:rPr>
              <w:t>1</w:t>
            </w:r>
            <w:r>
              <w:rPr>
                <w:rFonts w:ascii="宋体" w:eastAsia="宋体" w:hAnsi="宋体" w:cs="Arial"/>
                <w:color w:val="000000"/>
                <w:kern w:val="0"/>
                <w:szCs w:val="21"/>
              </w:rPr>
              <w:t>7</w:t>
            </w:r>
            <w:r w:rsidRPr="00F87667">
              <w:rPr>
                <w:rFonts w:ascii="宋体" w:eastAsia="宋体" w:hAnsi="宋体" w:cs="Arial" w:hint="eastAsia"/>
                <w:color w:val="000000"/>
                <w:kern w:val="0"/>
                <w:szCs w:val="21"/>
              </w:rPr>
              <w:t>、在征求意见稿中的</w:t>
            </w:r>
            <w:proofErr w:type="gramStart"/>
            <w:r w:rsidRPr="00F87667">
              <w:rPr>
                <w:rFonts w:ascii="宋体" w:eastAsia="宋体" w:hAnsi="宋体" w:cs="Arial" w:hint="eastAsia"/>
                <w:color w:val="000000"/>
                <w:kern w:val="0"/>
                <w:szCs w:val="21"/>
              </w:rPr>
              <w:t>“</w:t>
            </w:r>
            <w:proofErr w:type="gramEnd"/>
            <w:r w:rsidRPr="00F87667">
              <w:rPr>
                <w:rFonts w:ascii="宋体" w:eastAsia="宋体" w:hAnsi="宋体" w:cs="Arial" w:hint="eastAsia"/>
                <w:color w:val="000000"/>
                <w:kern w:val="0"/>
                <w:szCs w:val="21"/>
              </w:rPr>
              <w:t>第十六条第五项</w:t>
            </w:r>
            <w:proofErr w:type="gramStart"/>
            <w:r w:rsidRPr="00F87667">
              <w:rPr>
                <w:rFonts w:ascii="宋体" w:eastAsia="宋体" w:hAnsi="宋体" w:cs="Arial" w:hint="eastAsia"/>
                <w:color w:val="000000"/>
                <w:kern w:val="0"/>
                <w:szCs w:val="21"/>
              </w:rPr>
              <w:t>“</w:t>
            </w:r>
            <w:proofErr w:type="gramEnd"/>
            <w:r w:rsidRPr="00F87667">
              <w:rPr>
                <w:rFonts w:ascii="宋体" w:eastAsia="宋体" w:hAnsi="宋体" w:cs="Arial" w:hint="eastAsia"/>
                <w:color w:val="000000"/>
                <w:kern w:val="0"/>
                <w:szCs w:val="21"/>
              </w:rPr>
              <w:t>内容显示：“符合条件的产业用地权利人申请调整容积率需报审条件之一的，在区产业部门出具的产业审查意见的同时，另需要出具《产业发展监管协议》（草案）。</w:t>
            </w:r>
            <w:r w:rsidRPr="00F87667">
              <w:rPr>
                <w:rFonts w:ascii="宋体" w:eastAsia="宋体" w:hAnsi="宋体" w:cs="Arial"/>
                <w:color w:val="000000"/>
                <w:kern w:val="0"/>
                <w:szCs w:val="21"/>
              </w:rPr>
              <w:t>”</w:t>
            </w:r>
            <w:r w:rsidRPr="00F87667">
              <w:rPr>
                <w:rFonts w:ascii="宋体" w:eastAsia="宋体" w:hAnsi="宋体" w:cs="Arial" w:hint="eastAsia"/>
                <w:color w:val="000000"/>
                <w:kern w:val="0"/>
                <w:szCs w:val="21"/>
              </w:rPr>
              <w:t>随着公司规模日益壮大，自持的原有工业区低密度低容积率的建筑规模已严重影响公司发展。由于目前公司进行的城市更新单元申报项目开展的时间较久，在公布该草案之前已经取得了</w:t>
            </w:r>
            <w:proofErr w:type="gramStart"/>
            <w:r w:rsidRPr="00F87667">
              <w:rPr>
                <w:rFonts w:ascii="宋体" w:eastAsia="宋体" w:hAnsi="宋体" w:cs="Arial" w:hint="eastAsia"/>
                <w:color w:val="000000"/>
                <w:kern w:val="0"/>
                <w:szCs w:val="21"/>
              </w:rPr>
              <w:t>区产业</w:t>
            </w:r>
            <w:proofErr w:type="gramEnd"/>
            <w:r w:rsidRPr="00F87667">
              <w:rPr>
                <w:rFonts w:ascii="宋体" w:eastAsia="宋体" w:hAnsi="宋体" w:cs="Arial" w:hint="eastAsia"/>
                <w:color w:val="000000"/>
                <w:kern w:val="0"/>
                <w:szCs w:val="21"/>
              </w:rPr>
              <w:t>部门的支持批复意见。而在近日，市国土局公示的政策调整显示“需要同时出具《产业发展监管协议》”，可能影响公司相关手续的正常申报，希望领导能有个明确的相关界限及时间节点（在已经取得</w:t>
            </w:r>
            <w:proofErr w:type="gramStart"/>
            <w:r w:rsidRPr="00F87667">
              <w:rPr>
                <w:rFonts w:ascii="宋体" w:eastAsia="宋体" w:hAnsi="宋体" w:cs="Arial" w:hint="eastAsia"/>
                <w:color w:val="000000"/>
                <w:kern w:val="0"/>
                <w:szCs w:val="21"/>
              </w:rPr>
              <w:t>区产业</w:t>
            </w:r>
            <w:proofErr w:type="gramEnd"/>
            <w:r w:rsidRPr="00F87667">
              <w:rPr>
                <w:rFonts w:ascii="宋体" w:eastAsia="宋体" w:hAnsi="宋体" w:cs="Arial" w:hint="eastAsia"/>
                <w:color w:val="000000"/>
                <w:kern w:val="0"/>
                <w:szCs w:val="21"/>
              </w:rPr>
              <w:t>部门批复后，是否还需要提供《产业发展监管协议》）。</w:t>
            </w:r>
            <w:r w:rsidRPr="00F87667">
              <w:rPr>
                <w:rFonts w:ascii="宋体" w:eastAsia="宋体" w:hAnsi="宋体" w:cs="Arial" w:hint="eastAsia"/>
                <w:b/>
                <w:color w:val="000000"/>
                <w:kern w:val="0"/>
                <w:szCs w:val="21"/>
              </w:rPr>
              <w:t>（市民黄先生）</w:t>
            </w:r>
          </w:p>
        </w:tc>
        <w:tc>
          <w:tcPr>
            <w:tcW w:w="282" w:type="pct"/>
            <w:vAlign w:val="center"/>
          </w:tcPr>
          <w:p w:rsidR="00F04AAA" w:rsidRPr="00F87667" w:rsidRDefault="00B7555D" w:rsidP="00F04AAA">
            <w:pPr>
              <w:jc w:val="center"/>
              <w:rPr>
                <w:rFonts w:ascii="仿宋_GB2312" w:hAnsi="仿宋_GB2312"/>
                <w:szCs w:val="21"/>
              </w:rPr>
            </w:pPr>
            <w:r>
              <w:rPr>
                <w:rFonts w:ascii="宋体" w:eastAsia="宋体" w:hAnsi="宋体" w:hint="eastAsia"/>
                <w:szCs w:val="21"/>
              </w:rPr>
              <w:t>采纳</w:t>
            </w:r>
          </w:p>
        </w:tc>
        <w:tc>
          <w:tcPr>
            <w:tcW w:w="1023" w:type="pct"/>
          </w:tcPr>
          <w:p w:rsidR="00F04AAA" w:rsidRPr="00F87667" w:rsidRDefault="000B1677" w:rsidP="00F04AAA">
            <w:pPr>
              <w:jc w:val="left"/>
              <w:rPr>
                <w:rFonts w:ascii="仿宋_GB2312" w:hAnsi="仿宋_GB2312"/>
                <w:szCs w:val="21"/>
              </w:rPr>
            </w:pPr>
            <w:r w:rsidRPr="00F87667">
              <w:rPr>
                <w:rFonts w:ascii="仿宋_GB2312" w:hAnsi="仿宋_GB2312" w:hint="eastAsia"/>
                <w:szCs w:val="21"/>
              </w:rPr>
              <w:t>已修改</w:t>
            </w:r>
            <w:r>
              <w:rPr>
                <w:rFonts w:ascii="仿宋_GB2312" w:hAnsi="仿宋_GB2312" w:hint="eastAsia"/>
                <w:szCs w:val="21"/>
              </w:rPr>
              <w:t>相关表述</w:t>
            </w:r>
            <w:r w:rsidRPr="00F87667">
              <w:rPr>
                <w:rFonts w:ascii="仿宋_GB2312" w:hAnsi="仿宋_GB2312" w:hint="eastAsia"/>
                <w:szCs w:val="21"/>
              </w:rPr>
              <w:t>。</w:t>
            </w:r>
          </w:p>
        </w:tc>
      </w:tr>
      <w:tr w:rsidR="00F04AAA" w:rsidRPr="006314B7" w:rsidTr="00795F6F">
        <w:trPr>
          <w:trHeight w:val="1546"/>
        </w:trPr>
        <w:tc>
          <w:tcPr>
            <w:tcW w:w="183" w:type="pct"/>
            <w:vAlign w:val="center"/>
          </w:tcPr>
          <w:p w:rsidR="00F04AAA" w:rsidRPr="00F87667" w:rsidRDefault="00FA39CE" w:rsidP="00F04AAA">
            <w:pPr>
              <w:jc w:val="center"/>
              <w:rPr>
                <w:rFonts w:ascii="仿宋_GB2312" w:hAnsi="仿宋_GB2312"/>
                <w:szCs w:val="21"/>
              </w:rPr>
            </w:pPr>
            <w:r>
              <w:rPr>
                <w:rFonts w:ascii="仿宋_GB2312" w:hAnsi="仿宋_GB2312"/>
                <w:szCs w:val="21"/>
              </w:rPr>
              <w:t>9</w:t>
            </w:r>
          </w:p>
        </w:tc>
        <w:tc>
          <w:tcPr>
            <w:tcW w:w="379" w:type="pct"/>
          </w:tcPr>
          <w:p w:rsidR="00F04AAA" w:rsidRPr="00F87667" w:rsidRDefault="00F04AAA" w:rsidP="00F04AAA">
            <w:pPr>
              <w:jc w:val="center"/>
              <w:rPr>
                <w:rFonts w:ascii="仿宋_GB2312" w:hAnsi="仿宋_GB2312"/>
                <w:szCs w:val="21"/>
              </w:rPr>
            </w:pPr>
            <w:r w:rsidRPr="00F87667">
              <w:rPr>
                <w:rFonts w:ascii="仿宋_GB2312" w:hAnsi="仿宋_GB2312" w:hint="eastAsia"/>
                <w:szCs w:val="21"/>
              </w:rPr>
              <w:t>其他</w:t>
            </w:r>
          </w:p>
        </w:tc>
        <w:tc>
          <w:tcPr>
            <w:tcW w:w="302" w:type="pct"/>
          </w:tcPr>
          <w:p w:rsidR="00F04AAA" w:rsidRPr="00F87667" w:rsidRDefault="00F04AAA" w:rsidP="00F04AAA">
            <w:pPr>
              <w:jc w:val="center"/>
              <w:rPr>
                <w:rFonts w:ascii="仿宋_GB2312" w:hAnsi="仿宋_GB2312"/>
                <w:szCs w:val="21"/>
              </w:rPr>
            </w:pPr>
          </w:p>
        </w:tc>
        <w:tc>
          <w:tcPr>
            <w:tcW w:w="2831" w:type="pct"/>
            <w:vAlign w:val="center"/>
          </w:tcPr>
          <w:p w:rsidR="00F04AAA" w:rsidRPr="00F87667" w:rsidRDefault="00F04AAA" w:rsidP="00FA39CE">
            <w:pPr>
              <w:autoSpaceDE w:val="0"/>
              <w:autoSpaceDN w:val="0"/>
              <w:adjustRightInd w:val="0"/>
              <w:jc w:val="left"/>
              <w:rPr>
                <w:rFonts w:ascii="宋体" w:eastAsia="宋体" w:hAnsi="宋体"/>
                <w:b/>
                <w:szCs w:val="21"/>
              </w:rPr>
            </w:pPr>
            <w:r w:rsidRPr="00F87667">
              <w:rPr>
                <w:rFonts w:ascii="宋体" w:eastAsia="宋体" w:hAnsi="宋体"/>
                <w:szCs w:val="21"/>
              </w:rPr>
              <w:t>1</w:t>
            </w:r>
            <w:r w:rsidR="00FA39CE">
              <w:rPr>
                <w:rFonts w:ascii="宋体" w:eastAsia="宋体" w:hAnsi="宋体"/>
                <w:szCs w:val="21"/>
              </w:rPr>
              <w:t>8</w:t>
            </w:r>
            <w:r w:rsidRPr="00F87667">
              <w:rPr>
                <w:rFonts w:ascii="宋体" w:eastAsia="宋体" w:hAnsi="宋体" w:hint="eastAsia"/>
                <w:szCs w:val="21"/>
              </w:rPr>
              <w:t>、深圳市有大量的产业用地（主要是一类工业用地），这类用地基本按照土地出让合同规定指标建设完成并已完成规划验收。但这类用地同样存在较多的加建、超建建筑，这部分建筑虽然不属于合法建筑，但质量安全与消防均能达到相关标准，针对这种情况，符合政策的产业用地提升容积后对于此类建筑是如何处置，是需要拆除后再加减扩建？还是能通过适当的方式予以保留？希望再次征求意见</w:t>
            </w:r>
            <w:proofErr w:type="gramStart"/>
            <w:r w:rsidRPr="00F87667">
              <w:rPr>
                <w:rFonts w:ascii="宋体" w:eastAsia="宋体" w:hAnsi="宋体" w:hint="eastAsia"/>
                <w:szCs w:val="21"/>
              </w:rPr>
              <w:t>稿或者</w:t>
            </w:r>
            <w:proofErr w:type="gramEnd"/>
            <w:r w:rsidRPr="00F87667">
              <w:rPr>
                <w:rFonts w:ascii="宋体" w:eastAsia="宋体" w:hAnsi="宋体" w:hint="eastAsia"/>
                <w:szCs w:val="21"/>
              </w:rPr>
              <w:t>是正式稿中明确相关程序与措施。</w:t>
            </w:r>
            <w:r w:rsidRPr="00F87667">
              <w:rPr>
                <w:rFonts w:ascii="宋体" w:eastAsia="宋体" w:hAnsi="宋体" w:hint="eastAsia"/>
                <w:b/>
                <w:szCs w:val="21"/>
              </w:rPr>
              <w:t>（深圳市合一城市更新运营管理有限公司）</w:t>
            </w:r>
          </w:p>
        </w:tc>
        <w:tc>
          <w:tcPr>
            <w:tcW w:w="282" w:type="pct"/>
            <w:vAlign w:val="center"/>
          </w:tcPr>
          <w:p w:rsidR="00F04AAA" w:rsidRPr="00F87667" w:rsidRDefault="00F04AAA" w:rsidP="00F04AAA">
            <w:pPr>
              <w:jc w:val="center"/>
              <w:rPr>
                <w:rFonts w:ascii="宋体" w:eastAsia="宋体" w:hAnsi="宋体"/>
                <w:szCs w:val="21"/>
              </w:rPr>
            </w:pPr>
            <w:r w:rsidRPr="00F87667">
              <w:rPr>
                <w:rFonts w:ascii="宋体" w:eastAsia="宋体" w:hAnsi="宋体" w:hint="eastAsia"/>
                <w:szCs w:val="21"/>
              </w:rPr>
              <w:t>解释</w:t>
            </w:r>
          </w:p>
          <w:p w:rsidR="00F04AAA" w:rsidRPr="00F87667" w:rsidRDefault="00F04AAA" w:rsidP="00F04AAA">
            <w:pPr>
              <w:jc w:val="left"/>
              <w:rPr>
                <w:rFonts w:ascii="仿宋_GB2312" w:hAnsi="仿宋_GB2312"/>
                <w:szCs w:val="21"/>
              </w:rPr>
            </w:pPr>
          </w:p>
        </w:tc>
        <w:tc>
          <w:tcPr>
            <w:tcW w:w="1023" w:type="pct"/>
          </w:tcPr>
          <w:p w:rsidR="00F04AAA" w:rsidRPr="006314B7" w:rsidRDefault="006F6185" w:rsidP="006F6185">
            <w:pPr>
              <w:jc w:val="left"/>
              <w:rPr>
                <w:rFonts w:ascii="仿宋_GB2312" w:hAnsi="仿宋_GB2312"/>
                <w:szCs w:val="21"/>
              </w:rPr>
            </w:pPr>
            <w:r>
              <w:rPr>
                <w:rFonts w:hint="eastAsia"/>
                <w:szCs w:val="21"/>
              </w:rPr>
              <w:t>违法建筑应按</w:t>
            </w:r>
            <w:r w:rsidR="00F04AAA" w:rsidRPr="00F87667">
              <w:rPr>
                <w:rFonts w:hint="eastAsia"/>
                <w:szCs w:val="21"/>
              </w:rPr>
              <w:t>规定处理</w:t>
            </w:r>
            <w:r w:rsidR="000B1677">
              <w:rPr>
                <w:rFonts w:hint="eastAsia"/>
                <w:szCs w:val="21"/>
              </w:rPr>
              <w:t>后</w:t>
            </w:r>
            <w:r>
              <w:rPr>
                <w:rFonts w:hint="eastAsia"/>
                <w:szCs w:val="21"/>
              </w:rPr>
              <w:t>方可按本规定办理提高容积率事项</w:t>
            </w:r>
            <w:bookmarkStart w:id="0" w:name="_GoBack"/>
            <w:bookmarkEnd w:id="0"/>
            <w:r w:rsidR="00F04AAA" w:rsidRPr="00F87667">
              <w:rPr>
                <w:rFonts w:hint="eastAsia"/>
                <w:szCs w:val="21"/>
              </w:rPr>
              <w:t>。</w:t>
            </w:r>
          </w:p>
        </w:tc>
      </w:tr>
    </w:tbl>
    <w:p w:rsidR="004861DB" w:rsidRPr="006314B7" w:rsidRDefault="004861DB" w:rsidP="004B1606">
      <w:pPr>
        <w:jc w:val="center"/>
        <w:rPr>
          <w:rFonts w:ascii="仿宋_GB2312" w:hAnsi="仿宋_GB2312"/>
          <w:szCs w:val="21"/>
        </w:rPr>
      </w:pPr>
    </w:p>
    <w:sectPr w:rsidR="004861DB" w:rsidRPr="006314B7" w:rsidSect="003A78A2">
      <w:pgSz w:w="23814" w:h="16839" w:orient="landscape" w:code="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B3" w:rsidRDefault="00DC36B3" w:rsidP="0058220E">
      <w:r>
        <w:separator/>
      </w:r>
    </w:p>
  </w:endnote>
  <w:endnote w:type="continuationSeparator" w:id="0">
    <w:p w:rsidR="00DC36B3" w:rsidRDefault="00DC36B3" w:rsidP="0058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B3" w:rsidRDefault="00DC36B3" w:rsidP="0058220E">
      <w:r>
        <w:separator/>
      </w:r>
    </w:p>
  </w:footnote>
  <w:footnote w:type="continuationSeparator" w:id="0">
    <w:p w:rsidR="00DC36B3" w:rsidRDefault="00DC36B3" w:rsidP="00582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1C1"/>
    <w:multiLevelType w:val="hybridMultilevel"/>
    <w:tmpl w:val="F9B67034"/>
    <w:lvl w:ilvl="0" w:tplc="5DC6F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E01DB"/>
    <w:multiLevelType w:val="hybridMultilevel"/>
    <w:tmpl w:val="47AE6832"/>
    <w:lvl w:ilvl="0" w:tplc="C0843FC2">
      <w:start w:val="1"/>
      <w:numFmt w:val="japaneseCounting"/>
      <w:lvlText w:val="%1、"/>
      <w:lvlJc w:val="left"/>
      <w:pPr>
        <w:ind w:left="420"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FA54F5D"/>
    <w:multiLevelType w:val="hybridMultilevel"/>
    <w:tmpl w:val="21E47A3C"/>
    <w:lvl w:ilvl="0" w:tplc="5E042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1266D5"/>
    <w:multiLevelType w:val="hybridMultilevel"/>
    <w:tmpl w:val="B0426006"/>
    <w:lvl w:ilvl="0" w:tplc="4D70282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987243"/>
    <w:multiLevelType w:val="hybridMultilevel"/>
    <w:tmpl w:val="0FBCDA28"/>
    <w:lvl w:ilvl="0" w:tplc="FAC4B4EA">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72A21446"/>
    <w:multiLevelType w:val="hybridMultilevel"/>
    <w:tmpl w:val="7214D52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2806C4"/>
    <w:multiLevelType w:val="hybridMultilevel"/>
    <w:tmpl w:val="930A68CE"/>
    <w:lvl w:ilvl="0" w:tplc="B3BEF6D2">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792C514E"/>
    <w:multiLevelType w:val="hybridMultilevel"/>
    <w:tmpl w:val="7214D52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5"/>
    <w:rsid w:val="00020593"/>
    <w:rsid w:val="00033163"/>
    <w:rsid w:val="00041AAD"/>
    <w:rsid w:val="0004233F"/>
    <w:rsid w:val="000429F6"/>
    <w:rsid w:val="00055CCA"/>
    <w:rsid w:val="00055FAE"/>
    <w:rsid w:val="00061269"/>
    <w:rsid w:val="000617C5"/>
    <w:rsid w:val="0006754B"/>
    <w:rsid w:val="000737F6"/>
    <w:rsid w:val="00073FE2"/>
    <w:rsid w:val="000A1883"/>
    <w:rsid w:val="000A443C"/>
    <w:rsid w:val="000A662C"/>
    <w:rsid w:val="000A783C"/>
    <w:rsid w:val="000B1677"/>
    <w:rsid w:val="000B26AE"/>
    <w:rsid w:val="000B7082"/>
    <w:rsid w:val="000C077E"/>
    <w:rsid w:val="000F0E7D"/>
    <w:rsid w:val="00113C4D"/>
    <w:rsid w:val="00137F89"/>
    <w:rsid w:val="0014001E"/>
    <w:rsid w:val="00140EFF"/>
    <w:rsid w:val="0015204C"/>
    <w:rsid w:val="00160D97"/>
    <w:rsid w:val="00163892"/>
    <w:rsid w:val="00172538"/>
    <w:rsid w:val="001A27FF"/>
    <w:rsid w:val="001B00F5"/>
    <w:rsid w:val="001F533F"/>
    <w:rsid w:val="0021539E"/>
    <w:rsid w:val="00217308"/>
    <w:rsid w:val="00227422"/>
    <w:rsid w:val="0023311E"/>
    <w:rsid w:val="00240182"/>
    <w:rsid w:val="00240673"/>
    <w:rsid w:val="00267EAB"/>
    <w:rsid w:val="00281ADF"/>
    <w:rsid w:val="0028447A"/>
    <w:rsid w:val="002873DC"/>
    <w:rsid w:val="00297682"/>
    <w:rsid w:val="002A0F10"/>
    <w:rsid w:val="002C40A8"/>
    <w:rsid w:val="002D2411"/>
    <w:rsid w:val="002D6DAA"/>
    <w:rsid w:val="002F049B"/>
    <w:rsid w:val="003004E9"/>
    <w:rsid w:val="00307796"/>
    <w:rsid w:val="003258F9"/>
    <w:rsid w:val="00342894"/>
    <w:rsid w:val="00366CA0"/>
    <w:rsid w:val="003704AF"/>
    <w:rsid w:val="003A78A2"/>
    <w:rsid w:val="003C420D"/>
    <w:rsid w:val="003C4D61"/>
    <w:rsid w:val="003C5AEE"/>
    <w:rsid w:val="003D00F3"/>
    <w:rsid w:val="0040455C"/>
    <w:rsid w:val="0041096D"/>
    <w:rsid w:val="00410FF4"/>
    <w:rsid w:val="0041290B"/>
    <w:rsid w:val="004172F1"/>
    <w:rsid w:val="00435B85"/>
    <w:rsid w:val="0044163E"/>
    <w:rsid w:val="00445B7E"/>
    <w:rsid w:val="0045585A"/>
    <w:rsid w:val="00467ECB"/>
    <w:rsid w:val="0047539D"/>
    <w:rsid w:val="004807AF"/>
    <w:rsid w:val="004861DB"/>
    <w:rsid w:val="0049617E"/>
    <w:rsid w:val="004B1107"/>
    <w:rsid w:val="004B1606"/>
    <w:rsid w:val="004C18BD"/>
    <w:rsid w:val="004D719B"/>
    <w:rsid w:val="004F5818"/>
    <w:rsid w:val="00510206"/>
    <w:rsid w:val="005121E1"/>
    <w:rsid w:val="0051422F"/>
    <w:rsid w:val="00520A27"/>
    <w:rsid w:val="00536D2A"/>
    <w:rsid w:val="0053766E"/>
    <w:rsid w:val="00575B3E"/>
    <w:rsid w:val="00576AF4"/>
    <w:rsid w:val="0058220E"/>
    <w:rsid w:val="0058729E"/>
    <w:rsid w:val="0059045F"/>
    <w:rsid w:val="005A720B"/>
    <w:rsid w:val="005B2FB7"/>
    <w:rsid w:val="005B6441"/>
    <w:rsid w:val="005B7D29"/>
    <w:rsid w:val="005C182D"/>
    <w:rsid w:val="005F12FF"/>
    <w:rsid w:val="005F14E3"/>
    <w:rsid w:val="005F591E"/>
    <w:rsid w:val="005F5A0B"/>
    <w:rsid w:val="00603435"/>
    <w:rsid w:val="006060CD"/>
    <w:rsid w:val="00614B23"/>
    <w:rsid w:val="006314B7"/>
    <w:rsid w:val="00631785"/>
    <w:rsid w:val="006375FE"/>
    <w:rsid w:val="00650ABA"/>
    <w:rsid w:val="00651EEA"/>
    <w:rsid w:val="0068131E"/>
    <w:rsid w:val="00681A15"/>
    <w:rsid w:val="00683D16"/>
    <w:rsid w:val="00695877"/>
    <w:rsid w:val="006A0BFF"/>
    <w:rsid w:val="006C0549"/>
    <w:rsid w:val="006C065F"/>
    <w:rsid w:val="006C6723"/>
    <w:rsid w:val="006D1CB6"/>
    <w:rsid w:val="006F6185"/>
    <w:rsid w:val="00727F12"/>
    <w:rsid w:val="007301B1"/>
    <w:rsid w:val="00730FD5"/>
    <w:rsid w:val="007324BC"/>
    <w:rsid w:val="00755B1C"/>
    <w:rsid w:val="00765BFD"/>
    <w:rsid w:val="0077692C"/>
    <w:rsid w:val="007821D2"/>
    <w:rsid w:val="00795F6F"/>
    <w:rsid w:val="00797378"/>
    <w:rsid w:val="00797B2D"/>
    <w:rsid w:val="007A1507"/>
    <w:rsid w:val="007A22B6"/>
    <w:rsid w:val="007C4CA2"/>
    <w:rsid w:val="007D0549"/>
    <w:rsid w:val="007D2C8D"/>
    <w:rsid w:val="007E48F9"/>
    <w:rsid w:val="007F16BD"/>
    <w:rsid w:val="007F2256"/>
    <w:rsid w:val="0080224E"/>
    <w:rsid w:val="008406A9"/>
    <w:rsid w:val="0084075C"/>
    <w:rsid w:val="00841A6C"/>
    <w:rsid w:val="00846F1B"/>
    <w:rsid w:val="00847CEA"/>
    <w:rsid w:val="00860321"/>
    <w:rsid w:val="00861BA7"/>
    <w:rsid w:val="0087592C"/>
    <w:rsid w:val="00886AA0"/>
    <w:rsid w:val="008948AA"/>
    <w:rsid w:val="00895323"/>
    <w:rsid w:val="00895D41"/>
    <w:rsid w:val="00896B7C"/>
    <w:rsid w:val="008A2593"/>
    <w:rsid w:val="008B3793"/>
    <w:rsid w:val="008B7B7E"/>
    <w:rsid w:val="008C294A"/>
    <w:rsid w:val="008D29EC"/>
    <w:rsid w:val="008E22A3"/>
    <w:rsid w:val="008E48DB"/>
    <w:rsid w:val="008F3334"/>
    <w:rsid w:val="00922788"/>
    <w:rsid w:val="009276DA"/>
    <w:rsid w:val="009672C8"/>
    <w:rsid w:val="009809FB"/>
    <w:rsid w:val="00987ACD"/>
    <w:rsid w:val="00993B4C"/>
    <w:rsid w:val="009A378A"/>
    <w:rsid w:val="009C3BD0"/>
    <w:rsid w:val="009C4938"/>
    <w:rsid w:val="009C4F1E"/>
    <w:rsid w:val="009D5F33"/>
    <w:rsid w:val="009E42B6"/>
    <w:rsid w:val="00A026AA"/>
    <w:rsid w:val="00A049A8"/>
    <w:rsid w:val="00A0787F"/>
    <w:rsid w:val="00A154C4"/>
    <w:rsid w:val="00A17CA4"/>
    <w:rsid w:val="00A30445"/>
    <w:rsid w:val="00A32DA5"/>
    <w:rsid w:val="00A33751"/>
    <w:rsid w:val="00A43B33"/>
    <w:rsid w:val="00A45BDA"/>
    <w:rsid w:val="00A673E7"/>
    <w:rsid w:val="00A7409D"/>
    <w:rsid w:val="00A8738F"/>
    <w:rsid w:val="00A9209D"/>
    <w:rsid w:val="00AB704A"/>
    <w:rsid w:val="00AC2C9E"/>
    <w:rsid w:val="00AD4E5D"/>
    <w:rsid w:val="00AE0742"/>
    <w:rsid w:val="00AF1E1D"/>
    <w:rsid w:val="00AF3617"/>
    <w:rsid w:val="00AF6DF8"/>
    <w:rsid w:val="00B11E5C"/>
    <w:rsid w:val="00B150B2"/>
    <w:rsid w:val="00B171BA"/>
    <w:rsid w:val="00B25B04"/>
    <w:rsid w:val="00B327B9"/>
    <w:rsid w:val="00B336BE"/>
    <w:rsid w:val="00B374B7"/>
    <w:rsid w:val="00B40010"/>
    <w:rsid w:val="00B43E78"/>
    <w:rsid w:val="00B51F82"/>
    <w:rsid w:val="00B73DDE"/>
    <w:rsid w:val="00B7555D"/>
    <w:rsid w:val="00B840E7"/>
    <w:rsid w:val="00B86DA4"/>
    <w:rsid w:val="00B9376E"/>
    <w:rsid w:val="00B97B7C"/>
    <w:rsid w:val="00BA0821"/>
    <w:rsid w:val="00BA18F3"/>
    <w:rsid w:val="00BB0F25"/>
    <w:rsid w:val="00BB1DE6"/>
    <w:rsid w:val="00BB5E99"/>
    <w:rsid w:val="00BC60F4"/>
    <w:rsid w:val="00BD11EC"/>
    <w:rsid w:val="00BD5A39"/>
    <w:rsid w:val="00BD5A7E"/>
    <w:rsid w:val="00C033B7"/>
    <w:rsid w:val="00C357D7"/>
    <w:rsid w:val="00C36048"/>
    <w:rsid w:val="00C442AF"/>
    <w:rsid w:val="00C47F0C"/>
    <w:rsid w:val="00C57A24"/>
    <w:rsid w:val="00C70969"/>
    <w:rsid w:val="00C759FF"/>
    <w:rsid w:val="00C8415E"/>
    <w:rsid w:val="00C90BA9"/>
    <w:rsid w:val="00C9701A"/>
    <w:rsid w:val="00CA7786"/>
    <w:rsid w:val="00CB4654"/>
    <w:rsid w:val="00CC6A2A"/>
    <w:rsid w:val="00CD1059"/>
    <w:rsid w:val="00CD647B"/>
    <w:rsid w:val="00CE4741"/>
    <w:rsid w:val="00CE6F78"/>
    <w:rsid w:val="00D003E9"/>
    <w:rsid w:val="00D11663"/>
    <w:rsid w:val="00D14F7D"/>
    <w:rsid w:val="00D1683F"/>
    <w:rsid w:val="00D22169"/>
    <w:rsid w:val="00D26CE1"/>
    <w:rsid w:val="00D30A27"/>
    <w:rsid w:val="00D35542"/>
    <w:rsid w:val="00D3688B"/>
    <w:rsid w:val="00D4075B"/>
    <w:rsid w:val="00D44B22"/>
    <w:rsid w:val="00D46D6F"/>
    <w:rsid w:val="00D601D3"/>
    <w:rsid w:val="00D60258"/>
    <w:rsid w:val="00D660AE"/>
    <w:rsid w:val="00D7566D"/>
    <w:rsid w:val="00D83649"/>
    <w:rsid w:val="00DB2944"/>
    <w:rsid w:val="00DB40E1"/>
    <w:rsid w:val="00DC36B3"/>
    <w:rsid w:val="00DC546F"/>
    <w:rsid w:val="00DD4F1D"/>
    <w:rsid w:val="00DD51AC"/>
    <w:rsid w:val="00DD6A98"/>
    <w:rsid w:val="00DD6E70"/>
    <w:rsid w:val="00DE160E"/>
    <w:rsid w:val="00DE2FE2"/>
    <w:rsid w:val="00DF7995"/>
    <w:rsid w:val="00E00A74"/>
    <w:rsid w:val="00E138BE"/>
    <w:rsid w:val="00E14B73"/>
    <w:rsid w:val="00E31F8B"/>
    <w:rsid w:val="00E369A8"/>
    <w:rsid w:val="00E37213"/>
    <w:rsid w:val="00E477ED"/>
    <w:rsid w:val="00E519D6"/>
    <w:rsid w:val="00E77152"/>
    <w:rsid w:val="00E9627C"/>
    <w:rsid w:val="00EB4126"/>
    <w:rsid w:val="00EB7EFC"/>
    <w:rsid w:val="00EC15A9"/>
    <w:rsid w:val="00EC671C"/>
    <w:rsid w:val="00ED1BAF"/>
    <w:rsid w:val="00ED294A"/>
    <w:rsid w:val="00ED588F"/>
    <w:rsid w:val="00F04AAA"/>
    <w:rsid w:val="00F0657C"/>
    <w:rsid w:val="00F10780"/>
    <w:rsid w:val="00F30F1B"/>
    <w:rsid w:val="00F30F21"/>
    <w:rsid w:val="00F323D8"/>
    <w:rsid w:val="00F37463"/>
    <w:rsid w:val="00F43158"/>
    <w:rsid w:val="00F63476"/>
    <w:rsid w:val="00F8004F"/>
    <w:rsid w:val="00F8158C"/>
    <w:rsid w:val="00F81F78"/>
    <w:rsid w:val="00F87667"/>
    <w:rsid w:val="00FA0A5C"/>
    <w:rsid w:val="00FA39CE"/>
    <w:rsid w:val="00FA795D"/>
    <w:rsid w:val="00FB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82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220E"/>
    <w:rPr>
      <w:sz w:val="18"/>
      <w:szCs w:val="18"/>
    </w:rPr>
  </w:style>
  <w:style w:type="paragraph" w:styleId="a5">
    <w:name w:val="footer"/>
    <w:basedOn w:val="a"/>
    <w:link w:val="Char0"/>
    <w:uiPriority w:val="99"/>
    <w:unhideWhenUsed/>
    <w:rsid w:val="0058220E"/>
    <w:pPr>
      <w:tabs>
        <w:tab w:val="center" w:pos="4153"/>
        <w:tab w:val="right" w:pos="8306"/>
      </w:tabs>
      <w:snapToGrid w:val="0"/>
      <w:jc w:val="left"/>
    </w:pPr>
    <w:rPr>
      <w:sz w:val="18"/>
      <w:szCs w:val="18"/>
    </w:rPr>
  </w:style>
  <w:style w:type="character" w:customStyle="1" w:styleId="Char0">
    <w:name w:val="页脚 Char"/>
    <w:basedOn w:val="a0"/>
    <w:link w:val="a5"/>
    <w:uiPriority w:val="99"/>
    <w:rsid w:val="0058220E"/>
    <w:rPr>
      <w:sz w:val="18"/>
      <w:szCs w:val="18"/>
    </w:rPr>
  </w:style>
  <w:style w:type="paragraph" w:styleId="a6">
    <w:name w:val="Balloon Text"/>
    <w:basedOn w:val="a"/>
    <w:link w:val="Char1"/>
    <w:uiPriority w:val="99"/>
    <w:semiHidden/>
    <w:unhideWhenUsed/>
    <w:rsid w:val="00BB1DE6"/>
    <w:rPr>
      <w:sz w:val="18"/>
      <w:szCs w:val="18"/>
    </w:rPr>
  </w:style>
  <w:style w:type="character" w:customStyle="1" w:styleId="Char1">
    <w:name w:val="批注框文本 Char"/>
    <w:basedOn w:val="a0"/>
    <w:link w:val="a6"/>
    <w:uiPriority w:val="99"/>
    <w:semiHidden/>
    <w:rsid w:val="00BB1DE6"/>
    <w:rPr>
      <w:sz w:val="18"/>
      <w:szCs w:val="18"/>
    </w:rPr>
  </w:style>
  <w:style w:type="paragraph" w:styleId="a7">
    <w:name w:val="List Paragraph"/>
    <w:basedOn w:val="a"/>
    <w:uiPriority w:val="34"/>
    <w:qFormat/>
    <w:rsid w:val="00EC15A9"/>
    <w:pPr>
      <w:ind w:firstLineChars="200" w:firstLine="420"/>
    </w:pPr>
  </w:style>
  <w:style w:type="paragraph" w:customStyle="1" w:styleId="CharCharCharChar">
    <w:name w:val="Char Char Char Char"/>
    <w:basedOn w:val="a"/>
    <w:next w:val="a"/>
    <w:autoRedefine/>
    <w:rsid w:val="00EC15A9"/>
    <w:pPr>
      <w:spacing w:line="360" w:lineRule="auto"/>
      <w:ind w:leftChars="100" w:left="100" w:rightChars="100" w:right="100"/>
      <w:jc w:val="left"/>
    </w:pPr>
    <w:rPr>
      <w:rFonts w:ascii="Times New Roman" w:eastAsia="宋体" w:hAnsi="Times New Roman" w:cs="Times New Roman"/>
      <w:sz w:val="28"/>
      <w:szCs w:val="24"/>
    </w:rPr>
  </w:style>
  <w:style w:type="table" w:customStyle="1" w:styleId="1">
    <w:name w:val="网格型1"/>
    <w:basedOn w:val="a1"/>
    <w:next w:val="a3"/>
    <w:uiPriority w:val="59"/>
    <w:rsid w:val="00F37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DA4"/>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82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220E"/>
    <w:rPr>
      <w:sz w:val="18"/>
      <w:szCs w:val="18"/>
    </w:rPr>
  </w:style>
  <w:style w:type="paragraph" w:styleId="a5">
    <w:name w:val="footer"/>
    <w:basedOn w:val="a"/>
    <w:link w:val="Char0"/>
    <w:uiPriority w:val="99"/>
    <w:unhideWhenUsed/>
    <w:rsid w:val="0058220E"/>
    <w:pPr>
      <w:tabs>
        <w:tab w:val="center" w:pos="4153"/>
        <w:tab w:val="right" w:pos="8306"/>
      </w:tabs>
      <w:snapToGrid w:val="0"/>
      <w:jc w:val="left"/>
    </w:pPr>
    <w:rPr>
      <w:sz w:val="18"/>
      <w:szCs w:val="18"/>
    </w:rPr>
  </w:style>
  <w:style w:type="character" w:customStyle="1" w:styleId="Char0">
    <w:name w:val="页脚 Char"/>
    <w:basedOn w:val="a0"/>
    <w:link w:val="a5"/>
    <w:uiPriority w:val="99"/>
    <w:rsid w:val="0058220E"/>
    <w:rPr>
      <w:sz w:val="18"/>
      <w:szCs w:val="18"/>
    </w:rPr>
  </w:style>
  <w:style w:type="paragraph" w:styleId="a6">
    <w:name w:val="Balloon Text"/>
    <w:basedOn w:val="a"/>
    <w:link w:val="Char1"/>
    <w:uiPriority w:val="99"/>
    <w:semiHidden/>
    <w:unhideWhenUsed/>
    <w:rsid w:val="00BB1DE6"/>
    <w:rPr>
      <w:sz w:val="18"/>
      <w:szCs w:val="18"/>
    </w:rPr>
  </w:style>
  <w:style w:type="character" w:customStyle="1" w:styleId="Char1">
    <w:name w:val="批注框文本 Char"/>
    <w:basedOn w:val="a0"/>
    <w:link w:val="a6"/>
    <w:uiPriority w:val="99"/>
    <w:semiHidden/>
    <w:rsid w:val="00BB1DE6"/>
    <w:rPr>
      <w:sz w:val="18"/>
      <w:szCs w:val="18"/>
    </w:rPr>
  </w:style>
  <w:style w:type="paragraph" w:styleId="a7">
    <w:name w:val="List Paragraph"/>
    <w:basedOn w:val="a"/>
    <w:uiPriority w:val="34"/>
    <w:qFormat/>
    <w:rsid w:val="00EC15A9"/>
    <w:pPr>
      <w:ind w:firstLineChars="200" w:firstLine="420"/>
    </w:pPr>
  </w:style>
  <w:style w:type="paragraph" w:customStyle="1" w:styleId="CharCharCharChar">
    <w:name w:val="Char Char Char Char"/>
    <w:basedOn w:val="a"/>
    <w:next w:val="a"/>
    <w:autoRedefine/>
    <w:rsid w:val="00EC15A9"/>
    <w:pPr>
      <w:spacing w:line="360" w:lineRule="auto"/>
      <w:ind w:leftChars="100" w:left="100" w:rightChars="100" w:right="100"/>
      <w:jc w:val="left"/>
    </w:pPr>
    <w:rPr>
      <w:rFonts w:ascii="Times New Roman" w:eastAsia="宋体" w:hAnsi="Times New Roman" w:cs="Times New Roman"/>
      <w:sz w:val="28"/>
      <w:szCs w:val="24"/>
    </w:rPr>
  </w:style>
  <w:style w:type="table" w:customStyle="1" w:styleId="1">
    <w:name w:val="网格型1"/>
    <w:basedOn w:val="a1"/>
    <w:next w:val="a3"/>
    <w:uiPriority w:val="59"/>
    <w:rsid w:val="00F37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DA4"/>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367">
      <w:bodyDiv w:val="1"/>
      <w:marLeft w:val="0"/>
      <w:marRight w:val="0"/>
      <w:marTop w:val="0"/>
      <w:marBottom w:val="0"/>
      <w:divBdr>
        <w:top w:val="none" w:sz="0" w:space="0" w:color="auto"/>
        <w:left w:val="none" w:sz="0" w:space="0" w:color="auto"/>
        <w:bottom w:val="none" w:sz="0" w:space="0" w:color="auto"/>
        <w:right w:val="none" w:sz="0" w:space="0" w:color="auto"/>
      </w:divBdr>
    </w:div>
    <w:div w:id="76756614">
      <w:bodyDiv w:val="1"/>
      <w:marLeft w:val="0"/>
      <w:marRight w:val="0"/>
      <w:marTop w:val="0"/>
      <w:marBottom w:val="0"/>
      <w:divBdr>
        <w:top w:val="none" w:sz="0" w:space="0" w:color="auto"/>
        <w:left w:val="none" w:sz="0" w:space="0" w:color="auto"/>
        <w:bottom w:val="none" w:sz="0" w:space="0" w:color="auto"/>
        <w:right w:val="none" w:sz="0" w:space="0" w:color="auto"/>
      </w:divBdr>
    </w:div>
    <w:div w:id="328020077">
      <w:bodyDiv w:val="1"/>
      <w:marLeft w:val="0"/>
      <w:marRight w:val="0"/>
      <w:marTop w:val="0"/>
      <w:marBottom w:val="0"/>
      <w:divBdr>
        <w:top w:val="none" w:sz="0" w:space="0" w:color="auto"/>
        <w:left w:val="none" w:sz="0" w:space="0" w:color="auto"/>
        <w:bottom w:val="none" w:sz="0" w:space="0" w:color="auto"/>
        <w:right w:val="none" w:sz="0" w:space="0" w:color="auto"/>
      </w:divBdr>
    </w:div>
    <w:div w:id="742067005">
      <w:bodyDiv w:val="1"/>
      <w:marLeft w:val="0"/>
      <w:marRight w:val="0"/>
      <w:marTop w:val="0"/>
      <w:marBottom w:val="0"/>
      <w:divBdr>
        <w:top w:val="none" w:sz="0" w:space="0" w:color="auto"/>
        <w:left w:val="none" w:sz="0" w:space="0" w:color="auto"/>
        <w:bottom w:val="none" w:sz="0" w:space="0" w:color="auto"/>
        <w:right w:val="none" w:sz="0" w:space="0" w:color="auto"/>
      </w:divBdr>
    </w:div>
    <w:div w:id="929193524">
      <w:bodyDiv w:val="1"/>
      <w:marLeft w:val="0"/>
      <w:marRight w:val="0"/>
      <w:marTop w:val="0"/>
      <w:marBottom w:val="0"/>
      <w:divBdr>
        <w:top w:val="none" w:sz="0" w:space="0" w:color="auto"/>
        <w:left w:val="none" w:sz="0" w:space="0" w:color="auto"/>
        <w:bottom w:val="none" w:sz="0" w:space="0" w:color="auto"/>
        <w:right w:val="none" w:sz="0" w:space="0" w:color="auto"/>
      </w:divBdr>
    </w:div>
    <w:div w:id="1010110560">
      <w:bodyDiv w:val="1"/>
      <w:marLeft w:val="0"/>
      <w:marRight w:val="0"/>
      <w:marTop w:val="0"/>
      <w:marBottom w:val="0"/>
      <w:divBdr>
        <w:top w:val="none" w:sz="0" w:space="0" w:color="auto"/>
        <w:left w:val="none" w:sz="0" w:space="0" w:color="auto"/>
        <w:bottom w:val="none" w:sz="0" w:space="0" w:color="auto"/>
        <w:right w:val="none" w:sz="0" w:space="0" w:color="auto"/>
      </w:divBdr>
    </w:div>
    <w:div w:id="1086610638">
      <w:bodyDiv w:val="1"/>
      <w:marLeft w:val="0"/>
      <w:marRight w:val="0"/>
      <w:marTop w:val="0"/>
      <w:marBottom w:val="0"/>
      <w:divBdr>
        <w:top w:val="none" w:sz="0" w:space="0" w:color="auto"/>
        <w:left w:val="none" w:sz="0" w:space="0" w:color="auto"/>
        <w:bottom w:val="none" w:sz="0" w:space="0" w:color="auto"/>
        <w:right w:val="none" w:sz="0" w:space="0" w:color="auto"/>
      </w:divBdr>
    </w:div>
    <w:div w:id="1163278402">
      <w:bodyDiv w:val="1"/>
      <w:marLeft w:val="0"/>
      <w:marRight w:val="0"/>
      <w:marTop w:val="0"/>
      <w:marBottom w:val="0"/>
      <w:divBdr>
        <w:top w:val="none" w:sz="0" w:space="0" w:color="auto"/>
        <w:left w:val="none" w:sz="0" w:space="0" w:color="auto"/>
        <w:bottom w:val="none" w:sz="0" w:space="0" w:color="auto"/>
        <w:right w:val="none" w:sz="0" w:space="0" w:color="auto"/>
      </w:divBdr>
    </w:div>
    <w:div w:id="1205096009">
      <w:bodyDiv w:val="1"/>
      <w:marLeft w:val="0"/>
      <w:marRight w:val="0"/>
      <w:marTop w:val="0"/>
      <w:marBottom w:val="0"/>
      <w:divBdr>
        <w:top w:val="none" w:sz="0" w:space="0" w:color="auto"/>
        <w:left w:val="none" w:sz="0" w:space="0" w:color="auto"/>
        <w:bottom w:val="none" w:sz="0" w:space="0" w:color="auto"/>
        <w:right w:val="none" w:sz="0" w:space="0" w:color="auto"/>
      </w:divBdr>
    </w:div>
    <w:div w:id="1221095422">
      <w:bodyDiv w:val="1"/>
      <w:marLeft w:val="0"/>
      <w:marRight w:val="0"/>
      <w:marTop w:val="0"/>
      <w:marBottom w:val="0"/>
      <w:divBdr>
        <w:top w:val="none" w:sz="0" w:space="0" w:color="auto"/>
        <w:left w:val="none" w:sz="0" w:space="0" w:color="auto"/>
        <w:bottom w:val="none" w:sz="0" w:space="0" w:color="auto"/>
        <w:right w:val="none" w:sz="0" w:space="0" w:color="auto"/>
      </w:divBdr>
    </w:div>
    <w:div w:id="1226988186">
      <w:bodyDiv w:val="1"/>
      <w:marLeft w:val="0"/>
      <w:marRight w:val="0"/>
      <w:marTop w:val="0"/>
      <w:marBottom w:val="0"/>
      <w:divBdr>
        <w:top w:val="none" w:sz="0" w:space="0" w:color="auto"/>
        <w:left w:val="none" w:sz="0" w:space="0" w:color="auto"/>
        <w:bottom w:val="none" w:sz="0" w:space="0" w:color="auto"/>
        <w:right w:val="none" w:sz="0" w:space="0" w:color="auto"/>
      </w:divBdr>
    </w:div>
    <w:div w:id="1618638429">
      <w:bodyDiv w:val="1"/>
      <w:marLeft w:val="0"/>
      <w:marRight w:val="0"/>
      <w:marTop w:val="0"/>
      <w:marBottom w:val="0"/>
      <w:divBdr>
        <w:top w:val="none" w:sz="0" w:space="0" w:color="auto"/>
        <w:left w:val="none" w:sz="0" w:space="0" w:color="auto"/>
        <w:bottom w:val="none" w:sz="0" w:space="0" w:color="auto"/>
        <w:right w:val="none" w:sz="0" w:space="0" w:color="auto"/>
      </w:divBdr>
      <w:divsChild>
        <w:div w:id="335615449">
          <w:marLeft w:val="0"/>
          <w:marRight w:val="0"/>
          <w:marTop w:val="0"/>
          <w:marBottom w:val="0"/>
          <w:divBdr>
            <w:top w:val="none" w:sz="0" w:space="0" w:color="auto"/>
            <w:left w:val="none" w:sz="0" w:space="0" w:color="auto"/>
            <w:bottom w:val="none" w:sz="0" w:space="0" w:color="auto"/>
            <w:right w:val="none" w:sz="0" w:space="0" w:color="auto"/>
          </w:divBdr>
        </w:div>
        <w:div w:id="1010524760">
          <w:marLeft w:val="0"/>
          <w:marRight w:val="0"/>
          <w:marTop w:val="0"/>
          <w:marBottom w:val="0"/>
          <w:divBdr>
            <w:top w:val="none" w:sz="0" w:space="0" w:color="auto"/>
            <w:left w:val="none" w:sz="0" w:space="0" w:color="auto"/>
            <w:bottom w:val="none" w:sz="0" w:space="0" w:color="auto"/>
            <w:right w:val="none" w:sz="0" w:space="0" w:color="auto"/>
          </w:divBdr>
        </w:div>
        <w:div w:id="1797681628">
          <w:marLeft w:val="0"/>
          <w:marRight w:val="0"/>
          <w:marTop w:val="0"/>
          <w:marBottom w:val="0"/>
          <w:divBdr>
            <w:top w:val="none" w:sz="0" w:space="0" w:color="auto"/>
            <w:left w:val="none" w:sz="0" w:space="0" w:color="auto"/>
            <w:bottom w:val="none" w:sz="0" w:space="0" w:color="auto"/>
            <w:right w:val="none" w:sz="0" w:space="0" w:color="auto"/>
          </w:divBdr>
        </w:div>
        <w:div w:id="939679787">
          <w:marLeft w:val="0"/>
          <w:marRight w:val="0"/>
          <w:marTop w:val="0"/>
          <w:marBottom w:val="0"/>
          <w:divBdr>
            <w:top w:val="none" w:sz="0" w:space="0" w:color="auto"/>
            <w:left w:val="none" w:sz="0" w:space="0" w:color="auto"/>
            <w:bottom w:val="none" w:sz="0" w:space="0" w:color="auto"/>
            <w:right w:val="none" w:sz="0" w:space="0" w:color="auto"/>
          </w:divBdr>
        </w:div>
        <w:div w:id="1891838289">
          <w:marLeft w:val="0"/>
          <w:marRight w:val="0"/>
          <w:marTop w:val="0"/>
          <w:marBottom w:val="0"/>
          <w:divBdr>
            <w:top w:val="none" w:sz="0" w:space="0" w:color="auto"/>
            <w:left w:val="none" w:sz="0" w:space="0" w:color="auto"/>
            <w:bottom w:val="none" w:sz="0" w:space="0" w:color="auto"/>
            <w:right w:val="none" w:sz="0" w:space="0" w:color="auto"/>
          </w:divBdr>
        </w:div>
        <w:div w:id="554590102">
          <w:marLeft w:val="0"/>
          <w:marRight w:val="0"/>
          <w:marTop w:val="0"/>
          <w:marBottom w:val="0"/>
          <w:divBdr>
            <w:top w:val="none" w:sz="0" w:space="0" w:color="auto"/>
            <w:left w:val="none" w:sz="0" w:space="0" w:color="auto"/>
            <w:bottom w:val="none" w:sz="0" w:space="0" w:color="auto"/>
            <w:right w:val="none" w:sz="0" w:space="0" w:color="auto"/>
          </w:divBdr>
        </w:div>
        <w:div w:id="662852767">
          <w:marLeft w:val="0"/>
          <w:marRight w:val="0"/>
          <w:marTop w:val="0"/>
          <w:marBottom w:val="0"/>
          <w:divBdr>
            <w:top w:val="none" w:sz="0" w:space="0" w:color="auto"/>
            <w:left w:val="none" w:sz="0" w:space="0" w:color="auto"/>
            <w:bottom w:val="none" w:sz="0" w:space="0" w:color="auto"/>
            <w:right w:val="none" w:sz="0" w:space="0" w:color="auto"/>
          </w:divBdr>
        </w:div>
        <w:div w:id="1896894106">
          <w:marLeft w:val="0"/>
          <w:marRight w:val="0"/>
          <w:marTop w:val="0"/>
          <w:marBottom w:val="0"/>
          <w:divBdr>
            <w:top w:val="none" w:sz="0" w:space="0" w:color="auto"/>
            <w:left w:val="none" w:sz="0" w:space="0" w:color="auto"/>
            <w:bottom w:val="none" w:sz="0" w:space="0" w:color="auto"/>
            <w:right w:val="none" w:sz="0" w:space="0" w:color="auto"/>
          </w:divBdr>
        </w:div>
        <w:div w:id="210071079">
          <w:marLeft w:val="0"/>
          <w:marRight w:val="0"/>
          <w:marTop w:val="0"/>
          <w:marBottom w:val="0"/>
          <w:divBdr>
            <w:top w:val="none" w:sz="0" w:space="0" w:color="auto"/>
            <w:left w:val="none" w:sz="0" w:space="0" w:color="auto"/>
            <w:bottom w:val="none" w:sz="0" w:space="0" w:color="auto"/>
            <w:right w:val="none" w:sz="0" w:space="0" w:color="auto"/>
          </w:divBdr>
        </w:div>
        <w:div w:id="1733430188">
          <w:marLeft w:val="0"/>
          <w:marRight w:val="0"/>
          <w:marTop w:val="0"/>
          <w:marBottom w:val="0"/>
          <w:divBdr>
            <w:top w:val="none" w:sz="0" w:space="0" w:color="auto"/>
            <w:left w:val="none" w:sz="0" w:space="0" w:color="auto"/>
            <w:bottom w:val="none" w:sz="0" w:space="0" w:color="auto"/>
            <w:right w:val="none" w:sz="0" w:space="0" w:color="auto"/>
          </w:divBdr>
        </w:div>
        <w:div w:id="1301030842">
          <w:marLeft w:val="0"/>
          <w:marRight w:val="0"/>
          <w:marTop w:val="0"/>
          <w:marBottom w:val="0"/>
          <w:divBdr>
            <w:top w:val="none" w:sz="0" w:space="0" w:color="auto"/>
            <w:left w:val="none" w:sz="0" w:space="0" w:color="auto"/>
            <w:bottom w:val="none" w:sz="0" w:space="0" w:color="auto"/>
            <w:right w:val="none" w:sz="0" w:space="0" w:color="auto"/>
          </w:divBdr>
        </w:div>
        <w:div w:id="267348974">
          <w:marLeft w:val="0"/>
          <w:marRight w:val="0"/>
          <w:marTop w:val="0"/>
          <w:marBottom w:val="0"/>
          <w:divBdr>
            <w:top w:val="none" w:sz="0" w:space="0" w:color="auto"/>
            <w:left w:val="none" w:sz="0" w:space="0" w:color="auto"/>
            <w:bottom w:val="none" w:sz="0" w:space="0" w:color="auto"/>
            <w:right w:val="none" w:sz="0" w:space="0" w:color="auto"/>
          </w:divBdr>
        </w:div>
        <w:div w:id="854877810">
          <w:marLeft w:val="0"/>
          <w:marRight w:val="0"/>
          <w:marTop w:val="0"/>
          <w:marBottom w:val="0"/>
          <w:divBdr>
            <w:top w:val="none" w:sz="0" w:space="0" w:color="auto"/>
            <w:left w:val="none" w:sz="0" w:space="0" w:color="auto"/>
            <w:bottom w:val="none" w:sz="0" w:space="0" w:color="auto"/>
            <w:right w:val="none" w:sz="0" w:space="0" w:color="auto"/>
          </w:divBdr>
        </w:div>
        <w:div w:id="1195578318">
          <w:marLeft w:val="0"/>
          <w:marRight w:val="0"/>
          <w:marTop w:val="0"/>
          <w:marBottom w:val="0"/>
          <w:divBdr>
            <w:top w:val="none" w:sz="0" w:space="0" w:color="auto"/>
            <w:left w:val="none" w:sz="0" w:space="0" w:color="auto"/>
            <w:bottom w:val="none" w:sz="0" w:space="0" w:color="auto"/>
            <w:right w:val="none" w:sz="0" w:space="0" w:color="auto"/>
          </w:divBdr>
        </w:div>
        <w:div w:id="1112632530">
          <w:marLeft w:val="0"/>
          <w:marRight w:val="0"/>
          <w:marTop w:val="0"/>
          <w:marBottom w:val="0"/>
          <w:divBdr>
            <w:top w:val="none" w:sz="0" w:space="0" w:color="auto"/>
            <w:left w:val="none" w:sz="0" w:space="0" w:color="auto"/>
            <w:bottom w:val="none" w:sz="0" w:space="0" w:color="auto"/>
            <w:right w:val="none" w:sz="0" w:space="0" w:color="auto"/>
          </w:divBdr>
        </w:div>
        <w:div w:id="1828008507">
          <w:marLeft w:val="0"/>
          <w:marRight w:val="0"/>
          <w:marTop w:val="0"/>
          <w:marBottom w:val="0"/>
          <w:divBdr>
            <w:top w:val="none" w:sz="0" w:space="0" w:color="auto"/>
            <w:left w:val="none" w:sz="0" w:space="0" w:color="auto"/>
            <w:bottom w:val="none" w:sz="0" w:space="0" w:color="auto"/>
            <w:right w:val="none" w:sz="0" w:space="0" w:color="auto"/>
          </w:divBdr>
        </w:div>
        <w:div w:id="551499831">
          <w:marLeft w:val="0"/>
          <w:marRight w:val="0"/>
          <w:marTop w:val="0"/>
          <w:marBottom w:val="0"/>
          <w:divBdr>
            <w:top w:val="none" w:sz="0" w:space="0" w:color="auto"/>
            <w:left w:val="none" w:sz="0" w:space="0" w:color="auto"/>
            <w:bottom w:val="none" w:sz="0" w:space="0" w:color="auto"/>
            <w:right w:val="none" w:sz="0" w:space="0" w:color="auto"/>
          </w:divBdr>
        </w:div>
        <w:div w:id="503084731">
          <w:marLeft w:val="0"/>
          <w:marRight w:val="0"/>
          <w:marTop w:val="0"/>
          <w:marBottom w:val="0"/>
          <w:divBdr>
            <w:top w:val="none" w:sz="0" w:space="0" w:color="auto"/>
            <w:left w:val="none" w:sz="0" w:space="0" w:color="auto"/>
            <w:bottom w:val="none" w:sz="0" w:space="0" w:color="auto"/>
            <w:right w:val="none" w:sz="0" w:space="0" w:color="auto"/>
          </w:divBdr>
        </w:div>
        <w:div w:id="391732015">
          <w:marLeft w:val="0"/>
          <w:marRight w:val="0"/>
          <w:marTop w:val="0"/>
          <w:marBottom w:val="0"/>
          <w:divBdr>
            <w:top w:val="none" w:sz="0" w:space="0" w:color="auto"/>
            <w:left w:val="none" w:sz="0" w:space="0" w:color="auto"/>
            <w:bottom w:val="none" w:sz="0" w:space="0" w:color="auto"/>
            <w:right w:val="none" w:sz="0" w:space="0" w:color="auto"/>
          </w:divBdr>
        </w:div>
        <w:div w:id="1157961247">
          <w:marLeft w:val="0"/>
          <w:marRight w:val="0"/>
          <w:marTop w:val="0"/>
          <w:marBottom w:val="0"/>
          <w:divBdr>
            <w:top w:val="none" w:sz="0" w:space="0" w:color="auto"/>
            <w:left w:val="none" w:sz="0" w:space="0" w:color="auto"/>
            <w:bottom w:val="none" w:sz="0" w:space="0" w:color="auto"/>
            <w:right w:val="none" w:sz="0" w:space="0" w:color="auto"/>
          </w:divBdr>
        </w:div>
        <w:div w:id="570427896">
          <w:marLeft w:val="0"/>
          <w:marRight w:val="0"/>
          <w:marTop w:val="0"/>
          <w:marBottom w:val="0"/>
          <w:divBdr>
            <w:top w:val="none" w:sz="0" w:space="0" w:color="auto"/>
            <w:left w:val="none" w:sz="0" w:space="0" w:color="auto"/>
            <w:bottom w:val="none" w:sz="0" w:space="0" w:color="auto"/>
            <w:right w:val="none" w:sz="0" w:space="0" w:color="auto"/>
          </w:divBdr>
        </w:div>
        <w:div w:id="209341183">
          <w:marLeft w:val="0"/>
          <w:marRight w:val="0"/>
          <w:marTop w:val="0"/>
          <w:marBottom w:val="0"/>
          <w:divBdr>
            <w:top w:val="none" w:sz="0" w:space="0" w:color="auto"/>
            <w:left w:val="none" w:sz="0" w:space="0" w:color="auto"/>
            <w:bottom w:val="none" w:sz="0" w:space="0" w:color="auto"/>
            <w:right w:val="none" w:sz="0" w:space="0" w:color="auto"/>
          </w:divBdr>
        </w:div>
        <w:div w:id="735664115">
          <w:marLeft w:val="0"/>
          <w:marRight w:val="0"/>
          <w:marTop w:val="0"/>
          <w:marBottom w:val="0"/>
          <w:divBdr>
            <w:top w:val="none" w:sz="0" w:space="0" w:color="auto"/>
            <w:left w:val="none" w:sz="0" w:space="0" w:color="auto"/>
            <w:bottom w:val="none" w:sz="0" w:space="0" w:color="auto"/>
            <w:right w:val="none" w:sz="0" w:space="0" w:color="auto"/>
          </w:divBdr>
        </w:div>
        <w:div w:id="820778257">
          <w:marLeft w:val="0"/>
          <w:marRight w:val="0"/>
          <w:marTop w:val="0"/>
          <w:marBottom w:val="0"/>
          <w:divBdr>
            <w:top w:val="none" w:sz="0" w:space="0" w:color="auto"/>
            <w:left w:val="none" w:sz="0" w:space="0" w:color="auto"/>
            <w:bottom w:val="none" w:sz="0" w:space="0" w:color="auto"/>
            <w:right w:val="none" w:sz="0" w:space="0" w:color="auto"/>
          </w:divBdr>
        </w:div>
        <w:div w:id="708187269">
          <w:marLeft w:val="0"/>
          <w:marRight w:val="0"/>
          <w:marTop w:val="0"/>
          <w:marBottom w:val="0"/>
          <w:divBdr>
            <w:top w:val="none" w:sz="0" w:space="0" w:color="auto"/>
            <w:left w:val="none" w:sz="0" w:space="0" w:color="auto"/>
            <w:bottom w:val="none" w:sz="0" w:space="0" w:color="auto"/>
            <w:right w:val="none" w:sz="0" w:space="0" w:color="auto"/>
          </w:divBdr>
        </w:div>
        <w:div w:id="1364134815">
          <w:marLeft w:val="0"/>
          <w:marRight w:val="0"/>
          <w:marTop w:val="0"/>
          <w:marBottom w:val="0"/>
          <w:divBdr>
            <w:top w:val="none" w:sz="0" w:space="0" w:color="auto"/>
            <w:left w:val="none" w:sz="0" w:space="0" w:color="auto"/>
            <w:bottom w:val="none" w:sz="0" w:space="0" w:color="auto"/>
            <w:right w:val="none" w:sz="0" w:space="0" w:color="auto"/>
          </w:divBdr>
        </w:div>
        <w:div w:id="1320958522">
          <w:marLeft w:val="0"/>
          <w:marRight w:val="0"/>
          <w:marTop w:val="0"/>
          <w:marBottom w:val="0"/>
          <w:divBdr>
            <w:top w:val="none" w:sz="0" w:space="0" w:color="auto"/>
            <w:left w:val="none" w:sz="0" w:space="0" w:color="auto"/>
            <w:bottom w:val="none" w:sz="0" w:space="0" w:color="auto"/>
            <w:right w:val="none" w:sz="0" w:space="0" w:color="auto"/>
          </w:divBdr>
        </w:div>
        <w:div w:id="1712455903">
          <w:marLeft w:val="0"/>
          <w:marRight w:val="0"/>
          <w:marTop w:val="0"/>
          <w:marBottom w:val="0"/>
          <w:divBdr>
            <w:top w:val="none" w:sz="0" w:space="0" w:color="auto"/>
            <w:left w:val="none" w:sz="0" w:space="0" w:color="auto"/>
            <w:bottom w:val="none" w:sz="0" w:space="0" w:color="auto"/>
            <w:right w:val="none" w:sz="0" w:space="0" w:color="auto"/>
          </w:divBdr>
        </w:div>
        <w:div w:id="1708674443">
          <w:marLeft w:val="0"/>
          <w:marRight w:val="0"/>
          <w:marTop w:val="0"/>
          <w:marBottom w:val="0"/>
          <w:divBdr>
            <w:top w:val="none" w:sz="0" w:space="0" w:color="auto"/>
            <w:left w:val="none" w:sz="0" w:space="0" w:color="auto"/>
            <w:bottom w:val="none" w:sz="0" w:space="0" w:color="auto"/>
            <w:right w:val="none" w:sz="0" w:space="0" w:color="auto"/>
          </w:divBdr>
        </w:div>
        <w:div w:id="2025203079">
          <w:marLeft w:val="0"/>
          <w:marRight w:val="0"/>
          <w:marTop w:val="0"/>
          <w:marBottom w:val="0"/>
          <w:divBdr>
            <w:top w:val="none" w:sz="0" w:space="0" w:color="auto"/>
            <w:left w:val="none" w:sz="0" w:space="0" w:color="auto"/>
            <w:bottom w:val="none" w:sz="0" w:space="0" w:color="auto"/>
            <w:right w:val="none" w:sz="0" w:space="0" w:color="auto"/>
          </w:divBdr>
        </w:div>
        <w:div w:id="837844337">
          <w:marLeft w:val="0"/>
          <w:marRight w:val="0"/>
          <w:marTop w:val="0"/>
          <w:marBottom w:val="0"/>
          <w:divBdr>
            <w:top w:val="none" w:sz="0" w:space="0" w:color="auto"/>
            <w:left w:val="none" w:sz="0" w:space="0" w:color="auto"/>
            <w:bottom w:val="none" w:sz="0" w:space="0" w:color="auto"/>
            <w:right w:val="none" w:sz="0" w:space="0" w:color="auto"/>
          </w:divBdr>
        </w:div>
        <w:div w:id="262736384">
          <w:marLeft w:val="0"/>
          <w:marRight w:val="0"/>
          <w:marTop w:val="0"/>
          <w:marBottom w:val="0"/>
          <w:divBdr>
            <w:top w:val="none" w:sz="0" w:space="0" w:color="auto"/>
            <w:left w:val="none" w:sz="0" w:space="0" w:color="auto"/>
            <w:bottom w:val="none" w:sz="0" w:space="0" w:color="auto"/>
            <w:right w:val="none" w:sz="0" w:space="0" w:color="auto"/>
          </w:divBdr>
        </w:div>
        <w:div w:id="565334173">
          <w:marLeft w:val="0"/>
          <w:marRight w:val="0"/>
          <w:marTop w:val="0"/>
          <w:marBottom w:val="0"/>
          <w:divBdr>
            <w:top w:val="none" w:sz="0" w:space="0" w:color="auto"/>
            <w:left w:val="none" w:sz="0" w:space="0" w:color="auto"/>
            <w:bottom w:val="none" w:sz="0" w:space="0" w:color="auto"/>
            <w:right w:val="none" w:sz="0" w:space="0" w:color="auto"/>
          </w:divBdr>
        </w:div>
        <w:div w:id="1224945147">
          <w:marLeft w:val="0"/>
          <w:marRight w:val="0"/>
          <w:marTop w:val="0"/>
          <w:marBottom w:val="0"/>
          <w:divBdr>
            <w:top w:val="none" w:sz="0" w:space="0" w:color="auto"/>
            <w:left w:val="none" w:sz="0" w:space="0" w:color="auto"/>
            <w:bottom w:val="none" w:sz="0" w:space="0" w:color="auto"/>
            <w:right w:val="none" w:sz="0" w:space="0" w:color="auto"/>
          </w:divBdr>
        </w:div>
        <w:div w:id="72818077">
          <w:marLeft w:val="0"/>
          <w:marRight w:val="0"/>
          <w:marTop w:val="0"/>
          <w:marBottom w:val="0"/>
          <w:divBdr>
            <w:top w:val="none" w:sz="0" w:space="0" w:color="auto"/>
            <w:left w:val="none" w:sz="0" w:space="0" w:color="auto"/>
            <w:bottom w:val="none" w:sz="0" w:space="0" w:color="auto"/>
            <w:right w:val="none" w:sz="0" w:space="0" w:color="auto"/>
          </w:divBdr>
        </w:div>
        <w:div w:id="578292730">
          <w:marLeft w:val="0"/>
          <w:marRight w:val="0"/>
          <w:marTop w:val="0"/>
          <w:marBottom w:val="0"/>
          <w:divBdr>
            <w:top w:val="none" w:sz="0" w:space="0" w:color="auto"/>
            <w:left w:val="none" w:sz="0" w:space="0" w:color="auto"/>
            <w:bottom w:val="none" w:sz="0" w:space="0" w:color="auto"/>
            <w:right w:val="none" w:sz="0" w:space="0" w:color="auto"/>
          </w:divBdr>
        </w:div>
        <w:div w:id="2143378869">
          <w:marLeft w:val="0"/>
          <w:marRight w:val="0"/>
          <w:marTop w:val="0"/>
          <w:marBottom w:val="0"/>
          <w:divBdr>
            <w:top w:val="none" w:sz="0" w:space="0" w:color="auto"/>
            <w:left w:val="none" w:sz="0" w:space="0" w:color="auto"/>
            <w:bottom w:val="none" w:sz="0" w:space="0" w:color="auto"/>
            <w:right w:val="none" w:sz="0" w:space="0" w:color="auto"/>
          </w:divBdr>
        </w:div>
        <w:div w:id="51199304">
          <w:marLeft w:val="0"/>
          <w:marRight w:val="0"/>
          <w:marTop w:val="0"/>
          <w:marBottom w:val="0"/>
          <w:divBdr>
            <w:top w:val="none" w:sz="0" w:space="0" w:color="auto"/>
            <w:left w:val="none" w:sz="0" w:space="0" w:color="auto"/>
            <w:bottom w:val="none" w:sz="0" w:space="0" w:color="auto"/>
            <w:right w:val="none" w:sz="0" w:space="0" w:color="auto"/>
          </w:divBdr>
        </w:div>
        <w:div w:id="2145930889">
          <w:marLeft w:val="0"/>
          <w:marRight w:val="0"/>
          <w:marTop w:val="0"/>
          <w:marBottom w:val="0"/>
          <w:divBdr>
            <w:top w:val="none" w:sz="0" w:space="0" w:color="auto"/>
            <w:left w:val="none" w:sz="0" w:space="0" w:color="auto"/>
            <w:bottom w:val="none" w:sz="0" w:space="0" w:color="auto"/>
            <w:right w:val="none" w:sz="0" w:space="0" w:color="auto"/>
          </w:divBdr>
        </w:div>
        <w:div w:id="1958247260">
          <w:marLeft w:val="0"/>
          <w:marRight w:val="0"/>
          <w:marTop w:val="0"/>
          <w:marBottom w:val="0"/>
          <w:divBdr>
            <w:top w:val="none" w:sz="0" w:space="0" w:color="auto"/>
            <w:left w:val="none" w:sz="0" w:space="0" w:color="auto"/>
            <w:bottom w:val="none" w:sz="0" w:space="0" w:color="auto"/>
            <w:right w:val="none" w:sz="0" w:space="0" w:color="auto"/>
          </w:divBdr>
        </w:div>
        <w:div w:id="675763388">
          <w:marLeft w:val="0"/>
          <w:marRight w:val="0"/>
          <w:marTop w:val="0"/>
          <w:marBottom w:val="0"/>
          <w:divBdr>
            <w:top w:val="none" w:sz="0" w:space="0" w:color="auto"/>
            <w:left w:val="none" w:sz="0" w:space="0" w:color="auto"/>
            <w:bottom w:val="none" w:sz="0" w:space="0" w:color="auto"/>
            <w:right w:val="none" w:sz="0" w:space="0" w:color="auto"/>
          </w:divBdr>
        </w:div>
        <w:div w:id="1481070861">
          <w:marLeft w:val="0"/>
          <w:marRight w:val="0"/>
          <w:marTop w:val="0"/>
          <w:marBottom w:val="0"/>
          <w:divBdr>
            <w:top w:val="none" w:sz="0" w:space="0" w:color="auto"/>
            <w:left w:val="none" w:sz="0" w:space="0" w:color="auto"/>
            <w:bottom w:val="none" w:sz="0" w:space="0" w:color="auto"/>
            <w:right w:val="none" w:sz="0" w:space="0" w:color="auto"/>
          </w:divBdr>
        </w:div>
        <w:div w:id="1756434904">
          <w:marLeft w:val="0"/>
          <w:marRight w:val="0"/>
          <w:marTop w:val="0"/>
          <w:marBottom w:val="0"/>
          <w:divBdr>
            <w:top w:val="none" w:sz="0" w:space="0" w:color="auto"/>
            <w:left w:val="none" w:sz="0" w:space="0" w:color="auto"/>
            <w:bottom w:val="none" w:sz="0" w:space="0" w:color="auto"/>
            <w:right w:val="none" w:sz="0" w:space="0" w:color="auto"/>
          </w:divBdr>
        </w:div>
        <w:div w:id="506746931">
          <w:marLeft w:val="0"/>
          <w:marRight w:val="0"/>
          <w:marTop w:val="0"/>
          <w:marBottom w:val="0"/>
          <w:divBdr>
            <w:top w:val="none" w:sz="0" w:space="0" w:color="auto"/>
            <w:left w:val="none" w:sz="0" w:space="0" w:color="auto"/>
            <w:bottom w:val="none" w:sz="0" w:space="0" w:color="auto"/>
            <w:right w:val="none" w:sz="0" w:space="0" w:color="auto"/>
          </w:divBdr>
        </w:div>
        <w:div w:id="1145077263">
          <w:marLeft w:val="0"/>
          <w:marRight w:val="0"/>
          <w:marTop w:val="0"/>
          <w:marBottom w:val="0"/>
          <w:divBdr>
            <w:top w:val="none" w:sz="0" w:space="0" w:color="auto"/>
            <w:left w:val="none" w:sz="0" w:space="0" w:color="auto"/>
            <w:bottom w:val="none" w:sz="0" w:space="0" w:color="auto"/>
            <w:right w:val="none" w:sz="0" w:space="0" w:color="auto"/>
          </w:divBdr>
        </w:div>
        <w:div w:id="1053700013">
          <w:marLeft w:val="0"/>
          <w:marRight w:val="0"/>
          <w:marTop w:val="0"/>
          <w:marBottom w:val="0"/>
          <w:divBdr>
            <w:top w:val="none" w:sz="0" w:space="0" w:color="auto"/>
            <w:left w:val="none" w:sz="0" w:space="0" w:color="auto"/>
            <w:bottom w:val="none" w:sz="0" w:space="0" w:color="auto"/>
            <w:right w:val="none" w:sz="0" w:space="0" w:color="auto"/>
          </w:divBdr>
        </w:div>
        <w:div w:id="655039386">
          <w:marLeft w:val="0"/>
          <w:marRight w:val="0"/>
          <w:marTop w:val="0"/>
          <w:marBottom w:val="0"/>
          <w:divBdr>
            <w:top w:val="none" w:sz="0" w:space="0" w:color="auto"/>
            <w:left w:val="none" w:sz="0" w:space="0" w:color="auto"/>
            <w:bottom w:val="none" w:sz="0" w:space="0" w:color="auto"/>
            <w:right w:val="none" w:sz="0" w:space="0" w:color="auto"/>
          </w:divBdr>
        </w:div>
        <w:div w:id="2100247184">
          <w:marLeft w:val="0"/>
          <w:marRight w:val="0"/>
          <w:marTop w:val="0"/>
          <w:marBottom w:val="0"/>
          <w:divBdr>
            <w:top w:val="none" w:sz="0" w:space="0" w:color="auto"/>
            <w:left w:val="none" w:sz="0" w:space="0" w:color="auto"/>
            <w:bottom w:val="none" w:sz="0" w:space="0" w:color="auto"/>
            <w:right w:val="none" w:sz="0" w:space="0" w:color="auto"/>
          </w:divBdr>
        </w:div>
        <w:div w:id="1122726357">
          <w:marLeft w:val="0"/>
          <w:marRight w:val="0"/>
          <w:marTop w:val="0"/>
          <w:marBottom w:val="0"/>
          <w:divBdr>
            <w:top w:val="none" w:sz="0" w:space="0" w:color="auto"/>
            <w:left w:val="none" w:sz="0" w:space="0" w:color="auto"/>
            <w:bottom w:val="none" w:sz="0" w:space="0" w:color="auto"/>
            <w:right w:val="none" w:sz="0" w:space="0" w:color="auto"/>
          </w:divBdr>
        </w:div>
        <w:div w:id="315452726">
          <w:marLeft w:val="0"/>
          <w:marRight w:val="0"/>
          <w:marTop w:val="0"/>
          <w:marBottom w:val="0"/>
          <w:divBdr>
            <w:top w:val="none" w:sz="0" w:space="0" w:color="auto"/>
            <w:left w:val="none" w:sz="0" w:space="0" w:color="auto"/>
            <w:bottom w:val="none" w:sz="0" w:space="0" w:color="auto"/>
            <w:right w:val="none" w:sz="0" w:space="0" w:color="auto"/>
          </w:divBdr>
        </w:div>
      </w:divsChild>
    </w:div>
    <w:div w:id="1698265175">
      <w:bodyDiv w:val="1"/>
      <w:marLeft w:val="0"/>
      <w:marRight w:val="0"/>
      <w:marTop w:val="0"/>
      <w:marBottom w:val="0"/>
      <w:divBdr>
        <w:top w:val="none" w:sz="0" w:space="0" w:color="auto"/>
        <w:left w:val="none" w:sz="0" w:space="0" w:color="auto"/>
        <w:bottom w:val="none" w:sz="0" w:space="0" w:color="auto"/>
        <w:right w:val="none" w:sz="0" w:space="0" w:color="auto"/>
      </w:divBdr>
    </w:div>
    <w:div w:id="1714425919">
      <w:bodyDiv w:val="1"/>
      <w:marLeft w:val="0"/>
      <w:marRight w:val="0"/>
      <w:marTop w:val="0"/>
      <w:marBottom w:val="0"/>
      <w:divBdr>
        <w:top w:val="none" w:sz="0" w:space="0" w:color="auto"/>
        <w:left w:val="none" w:sz="0" w:space="0" w:color="auto"/>
        <w:bottom w:val="none" w:sz="0" w:space="0" w:color="auto"/>
        <w:right w:val="none" w:sz="0" w:space="0" w:color="auto"/>
      </w:divBdr>
    </w:div>
    <w:div w:id="1990011091">
      <w:bodyDiv w:val="1"/>
      <w:marLeft w:val="0"/>
      <w:marRight w:val="0"/>
      <w:marTop w:val="0"/>
      <w:marBottom w:val="0"/>
      <w:divBdr>
        <w:top w:val="none" w:sz="0" w:space="0" w:color="auto"/>
        <w:left w:val="none" w:sz="0" w:space="0" w:color="auto"/>
        <w:bottom w:val="none" w:sz="0" w:space="0" w:color="auto"/>
        <w:right w:val="none" w:sz="0" w:space="0" w:color="auto"/>
      </w:divBdr>
    </w:div>
    <w:div w:id="2076514465">
      <w:bodyDiv w:val="1"/>
      <w:marLeft w:val="0"/>
      <w:marRight w:val="0"/>
      <w:marTop w:val="0"/>
      <w:marBottom w:val="0"/>
      <w:divBdr>
        <w:top w:val="none" w:sz="0" w:space="0" w:color="auto"/>
        <w:left w:val="none" w:sz="0" w:space="0" w:color="auto"/>
        <w:bottom w:val="none" w:sz="0" w:space="0" w:color="auto"/>
        <w:right w:val="none" w:sz="0" w:space="0" w:color="auto"/>
      </w:divBdr>
    </w:div>
    <w:div w:id="21089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om/link?m=a+9aJCELaFcQRSVK+YuHFO9W5Oa+qN+mD1Dv5jiV/MSAnE4eGuliTCas9eOypFPtmikT8hswP+CoEyPLnKi9uJLwo9MhbiG2Bvp+OrYWi02CWu4flibZmRbflJk6zu+TJGMr8Z3CWiyzoIA8b11isUIXzzOnBoRnn+e8lnAdXeuiLSp19F8VevAwlZLoxrycqC73akUp398O5c3ud2sM6V/5L6Zvk3f6+kuhX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51E5-1A6D-4EA2-9855-6F968921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885</Words>
  <Characters>5051</Characters>
  <Application>Microsoft Office Word</Application>
  <DocSecurity>0</DocSecurity>
  <Lines>42</Lines>
  <Paragraphs>11</Paragraphs>
  <ScaleCrop>false</ScaleCrop>
  <Company>Chinese ORG</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柳景国</cp:lastModifiedBy>
  <cp:revision>8</cp:revision>
  <cp:lastPrinted>2019-01-25T05:21:00Z</cp:lastPrinted>
  <dcterms:created xsi:type="dcterms:W3CDTF">2019-01-25T08:46:00Z</dcterms:created>
  <dcterms:modified xsi:type="dcterms:W3CDTF">2019-01-31T09:13:00Z</dcterms:modified>
</cp:coreProperties>
</file>