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15" w:rsidRDefault="008E48DB" w:rsidP="00681A15">
      <w:pPr>
        <w:jc w:val="center"/>
        <w:rPr>
          <w:rFonts w:ascii="宋体" w:hAnsi="宋体"/>
          <w:b/>
          <w:sz w:val="44"/>
          <w:szCs w:val="44"/>
        </w:rPr>
      </w:pPr>
      <w:bookmarkStart w:id="0" w:name="_GoBack"/>
      <w:bookmarkEnd w:id="0"/>
      <w:r w:rsidRPr="00EB4126">
        <w:rPr>
          <w:rFonts w:ascii="宋体" w:hAnsi="宋体" w:hint="eastAsia"/>
          <w:b/>
          <w:sz w:val="44"/>
          <w:szCs w:val="44"/>
        </w:rPr>
        <w:t>《</w:t>
      </w:r>
      <w:r w:rsidR="003D6008" w:rsidRPr="003D6008">
        <w:rPr>
          <w:rFonts w:ascii="宋体" w:hAnsi="宋体" w:hint="eastAsia"/>
          <w:b/>
          <w:sz w:val="44"/>
          <w:szCs w:val="44"/>
        </w:rPr>
        <w:t>深圳市落实住房制度改革加快住房用地供应的暂行规定</w:t>
      </w:r>
      <w:r w:rsidR="00681A15" w:rsidRPr="00EB4126">
        <w:rPr>
          <w:rFonts w:ascii="宋体" w:hAnsi="宋体" w:hint="eastAsia"/>
          <w:b/>
          <w:sz w:val="44"/>
          <w:szCs w:val="44"/>
        </w:rPr>
        <w:t>》</w:t>
      </w:r>
      <w:r w:rsidR="00EB4126" w:rsidRPr="00EB4126">
        <w:rPr>
          <w:rFonts w:ascii="宋体" w:hAnsi="宋体" w:hint="eastAsia"/>
          <w:b/>
          <w:sz w:val="44"/>
          <w:szCs w:val="44"/>
        </w:rPr>
        <w:t>征求意见及采纳情况</w:t>
      </w:r>
      <w:r w:rsidR="00681A15" w:rsidRPr="00EB4126">
        <w:rPr>
          <w:rFonts w:ascii="宋体" w:hAnsi="宋体" w:hint="eastAsia"/>
          <w:b/>
          <w:sz w:val="44"/>
          <w:szCs w:val="44"/>
        </w:rPr>
        <w:t>汇总</w:t>
      </w:r>
      <w:r w:rsidR="00EB4126" w:rsidRPr="00EB4126">
        <w:rPr>
          <w:rFonts w:ascii="宋体" w:hAnsi="宋体" w:hint="eastAsia"/>
          <w:b/>
          <w:sz w:val="44"/>
          <w:szCs w:val="44"/>
        </w:rPr>
        <w:t>表（社会公众意见）</w:t>
      </w:r>
    </w:p>
    <w:p w:rsidR="005C6275" w:rsidRPr="006D4DA6" w:rsidRDefault="005C6275" w:rsidP="00371D4F">
      <w:pPr>
        <w:jc w:val="center"/>
        <w:rPr>
          <w:rFonts w:ascii="仿宋_GB2312" w:hAnsi="仿宋_GB2312"/>
          <w:szCs w:val="21"/>
        </w:rPr>
      </w:pPr>
    </w:p>
    <w:tbl>
      <w:tblPr>
        <w:tblStyle w:val="a3"/>
        <w:tblW w:w="5000" w:type="pct"/>
        <w:tblLook w:val="04A0" w:firstRow="1" w:lastRow="0" w:firstColumn="1" w:lastColumn="0" w:noHBand="0" w:noVBand="1"/>
      </w:tblPr>
      <w:tblGrid>
        <w:gridCol w:w="828"/>
        <w:gridCol w:w="1712"/>
        <w:gridCol w:w="1364"/>
        <w:gridCol w:w="12790"/>
        <w:gridCol w:w="1274"/>
        <w:gridCol w:w="4622"/>
      </w:tblGrid>
      <w:tr w:rsidR="00922788" w:rsidRPr="00F87667" w:rsidTr="00795F6F">
        <w:trPr>
          <w:trHeight w:val="637"/>
        </w:trPr>
        <w:tc>
          <w:tcPr>
            <w:tcW w:w="183" w:type="pct"/>
            <w:vAlign w:val="center"/>
          </w:tcPr>
          <w:p w:rsidR="00227422" w:rsidRPr="00F87667" w:rsidRDefault="00227422" w:rsidP="00860321">
            <w:pPr>
              <w:jc w:val="center"/>
              <w:rPr>
                <w:b/>
                <w:sz w:val="24"/>
                <w:szCs w:val="24"/>
              </w:rPr>
            </w:pPr>
            <w:r w:rsidRPr="00F87667">
              <w:rPr>
                <w:rFonts w:hint="eastAsia"/>
                <w:b/>
                <w:sz w:val="24"/>
                <w:szCs w:val="24"/>
              </w:rPr>
              <w:t>序号</w:t>
            </w:r>
          </w:p>
        </w:tc>
        <w:tc>
          <w:tcPr>
            <w:tcW w:w="379" w:type="pct"/>
            <w:vAlign w:val="center"/>
          </w:tcPr>
          <w:p w:rsidR="00227422" w:rsidRPr="00F87667" w:rsidRDefault="00227422" w:rsidP="00227422">
            <w:pPr>
              <w:jc w:val="center"/>
              <w:rPr>
                <w:b/>
                <w:sz w:val="24"/>
                <w:szCs w:val="24"/>
              </w:rPr>
            </w:pPr>
            <w:r w:rsidRPr="00F87667">
              <w:rPr>
                <w:rFonts w:hint="eastAsia"/>
                <w:b/>
                <w:sz w:val="24"/>
                <w:szCs w:val="24"/>
              </w:rPr>
              <w:t>关键字</w:t>
            </w:r>
          </w:p>
        </w:tc>
        <w:tc>
          <w:tcPr>
            <w:tcW w:w="302" w:type="pct"/>
            <w:vAlign w:val="center"/>
          </w:tcPr>
          <w:p w:rsidR="00227422" w:rsidRPr="00F87667" w:rsidRDefault="00227422" w:rsidP="004B1606">
            <w:pPr>
              <w:jc w:val="center"/>
              <w:rPr>
                <w:b/>
                <w:sz w:val="24"/>
                <w:szCs w:val="24"/>
              </w:rPr>
            </w:pPr>
            <w:r w:rsidRPr="00F87667">
              <w:rPr>
                <w:rFonts w:hint="eastAsia"/>
                <w:b/>
                <w:sz w:val="24"/>
                <w:szCs w:val="24"/>
              </w:rPr>
              <w:t>对应条文</w:t>
            </w:r>
          </w:p>
        </w:tc>
        <w:tc>
          <w:tcPr>
            <w:tcW w:w="2831" w:type="pct"/>
            <w:vAlign w:val="center"/>
          </w:tcPr>
          <w:p w:rsidR="00227422" w:rsidRPr="00F87667" w:rsidRDefault="00227422" w:rsidP="00860321">
            <w:pPr>
              <w:jc w:val="center"/>
              <w:rPr>
                <w:rFonts w:ascii="宋体" w:eastAsia="宋体" w:hAnsi="宋体"/>
                <w:b/>
                <w:szCs w:val="21"/>
              </w:rPr>
            </w:pPr>
            <w:r w:rsidRPr="00F87667">
              <w:rPr>
                <w:rFonts w:ascii="宋体" w:eastAsia="宋体" w:hAnsi="宋体" w:hint="eastAsia"/>
                <w:b/>
                <w:sz w:val="24"/>
                <w:szCs w:val="21"/>
              </w:rPr>
              <w:t>反馈意见及建议</w:t>
            </w:r>
          </w:p>
        </w:tc>
        <w:tc>
          <w:tcPr>
            <w:tcW w:w="282" w:type="pct"/>
            <w:vAlign w:val="center"/>
          </w:tcPr>
          <w:p w:rsidR="00227422" w:rsidRPr="00F87667" w:rsidRDefault="00227422" w:rsidP="00860321">
            <w:pPr>
              <w:jc w:val="center"/>
              <w:rPr>
                <w:b/>
                <w:sz w:val="24"/>
                <w:szCs w:val="24"/>
              </w:rPr>
            </w:pPr>
            <w:r w:rsidRPr="00F87667">
              <w:rPr>
                <w:rFonts w:hint="eastAsia"/>
                <w:b/>
                <w:sz w:val="24"/>
                <w:szCs w:val="24"/>
              </w:rPr>
              <w:t>采纳情况</w:t>
            </w:r>
          </w:p>
        </w:tc>
        <w:tc>
          <w:tcPr>
            <w:tcW w:w="1023" w:type="pct"/>
            <w:vAlign w:val="center"/>
          </w:tcPr>
          <w:p w:rsidR="00227422" w:rsidRPr="00F87667" w:rsidRDefault="003149A0" w:rsidP="00860321">
            <w:pPr>
              <w:jc w:val="center"/>
              <w:rPr>
                <w:b/>
                <w:sz w:val="24"/>
                <w:szCs w:val="24"/>
              </w:rPr>
            </w:pPr>
            <w:r>
              <w:rPr>
                <w:rFonts w:hint="eastAsia"/>
                <w:b/>
                <w:sz w:val="24"/>
                <w:szCs w:val="24"/>
              </w:rPr>
              <w:t>说明</w:t>
            </w:r>
          </w:p>
        </w:tc>
      </w:tr>
      <w:tr w:rsidR="00307B87" w:rsidRPr="00F87667" w:rsidTr="00D609DD">
        <w:trPr>
          <w:trHeight w:val="748"/>
        </w:trPr>
        <w:tc>
          <w:tcPr>
            <w:tcW w:w="183" w:type="pct"/>
            <w:vAlign w:val="center"/>
          </w:tcPr>
          <w:p w:rsidR="00307B87" w:rsidRDefault="00307B87" w:rsidP="00045294">
            <w:pPr>
              <w:jc w:val="center"/>
              <w:rPr>
                <w:rFonts w:ascii="仿宋_GB2312" w:hAnsi="仿宋_GB2312"/>
                <w:szCs w:val="21"/>
              </w:rPr>
            </w:pPr>
            <w:r>
              <w:rPr>
                <w:rFonts w:ascii="仿宋_GB2312" w:hAnsi="仿宋_GB2312" w:hint="eastAsia"/>
                <w:szCs w:val="21"/>
              </w:rPr>
              <w:t>1</w:t>
            </w:r>
          </w:p>
        </w:tc>
        <w:tc>
          <w:tcPr>
            <w:tcW w:w="379" w:type="pct"/>
            <w:vAlign w:val="center"/>
          </w:tcPr>
          <w:p w:rsidR="00307B87" w:rsidRDefault="00307B87" w:rsidP="00391D53">
            <w:pPr>
              <w:jc w:val="center"/>
              <w:rPr>
                <w:rFonts w:ascii="仿宋_GB2312" w:hAnsi="仿宋_GB2312"/>
                <w:szCs w:val="21"/>
              </w:rPr>
            </w:pPr>
            <w:r w:rsidRPr="007C2A11">
              <w:rPr>
                <w:rFonts w:ascii="仿宋_GB2312" w:hAnsi="仿宋_GB2312" w:hint="eastAsia"/>
                <w:szCs w:val="21"/>
              </w:rPr>
              <w:t>供应数量及结构要求</w:t>
            </w:r>
          </w:p>
        </w:tc>
        <w:tc>
          <w:tcPr>
            <w:tcW w:w="302" w:type="pct"/>
            <w:vAlign w:val="center"/>
          </w:tcPr>
          <w:p w:rsidR="00307B87" w:rsidRDefault="00307B87" w:rsidP="00391D53">
            <w:pPr>
              <w:jc w:val="center"/>
              <w:rPr>
                <w:rFonts w:ascii="仿宋_GB2312" w:hAnsi="仿宋_GB2312"/>
                <w:szCs w:val="21"/>
              </w:rPr>
            </w:pPr>
            <w:r>
              <w:rPr>
                <w:rFonts w:ascii="仿宋_GB2312" w:hAnsi="仿宋_GB2312" w:hint="eastAsia"/>
                <w:szCs w:val="21"/>
              </w:rPr>
              <w:t>第五条</w:t>
            </w:r>
          </w:p>
        </w:tc>
        <w:tc>
          <w:tcPr>
            <w:tcW w:w="2831" w:type="pct"/>
            <w:vAlign w:val="center"/>
          </w:tcPr>
          <w:p w:rsidR="00307B87" w:rsidRPr="00291803" w:rsidRDefault="00307B87" w:rsidP="00D609DD">
            <w:pPr>
              <w:rPr>
                <w:rFonts w:ascii="宋体" w:eastAsia="宋体" w:hAnsi="宋体"/>
                <w:color w:val="000000"/>
                <w:szCs w:val="21"/>
              </w:rPr>
            </w:pPr>
            <w:r w:rsidRPr="007C2A11">
              <w:rPr>
                <w:rFonts w:ascii="宋体" w:eastAsia="宋体" w:hAnsi="宋体" w:hint="eastAsia"/>
                <w:color w:val="000000"/>
                <w:szCs w:val="21"/>
              </w:rPr>
              <w:t>建筑设计已取消施工图审查，而且公共住房面积普遍比经营性住宅要小，套数4:6结构是否不好把控，相对于套数，用地面积和建筑面积是否更好把控。</w:t>
            </w:r>
            <w:r w:rsidRPr="003B0154">
              <w:rPr>
                <w:rFonts w:ascii="宋体" w:eastAsia="宋体" w:hAnsi="宋体" w:hint="eastAsia"/>
                <w:b/>
                <w:color w:val="000000"/>
                <w:szCs w:val="21"/>
              </w:rPr>
              <w:t>（深圳市卓越城市更新集团有限公司）</w:t>
            </w:r>
          </w:p>
        </w:tc>
        <w:tc>
          <w:tcPr>
            <w:tcW w:w="282" w:type="pct"/>
            <w:vAlign w:val="center"/>
          </w:tcPr>
          <w:p w:rsidR="00307B87" w:rsidRDefault="00307B87" w:rsidP="00795F6F">
            <w:pPr>
              <w:jc w:val="center"/>
              <w:rPr>
                <w:rFonts w:ascii="宋体" w:eastAsia="宋体" w:hAnsi="宋体"/>
                <w:szCs w:val="21"/>
              </w:rPr>
            </w:pPr>
            <w:r>
              <w:rPr>
                <w:rFonts w:ascii="宋体" w:eastAsia="宋体" w:hAnsi="宋体" w:hint="eastAsia"/>
                <w:szCs w:val="21"/>
              </w:rPr>
              <w:t>采纳</w:t>
            </w:r>
          </w:p>
        </w:tc>
        <w:tc>
          <w:tcPr>
            <w:tcW w:w="1023" w:type="pct"/>
            <w:vAlign w:val="center"/>
          </w:tcPr>
          <w:p w:rsidR="00307B87" w:rsidRDefault="00307B87" w:rsidP="00E15B0F">
            <w:pPr>
              <w:rPr>
                <w:rFonts w:ascii="宋体" w:eastAsia="宋体" w:hAnsi="宋体"/>
                <w:szCs w:val="21"/>
              </w:rPr>
            </w:pPr>
            <w:r>
              <w:rPr>
                <w:rFonts w:ascii="宋体" w:eastAsia="宋体" w:hAnsi="宋体" w:hint="eastAsia"/>
                <w:szCs w:val="21"/>
              </w:rPr>
              <w:t>4:6的套数结构要求是</w:t>
            </w:r>
            <w:r w:rsidRPr="00BB22B9">
              <w:rPr>
                <w:rFonts w:ascii="宋体" w:eastAsia="宋体" w:hAnsi="宋体" w:hint="eastAsia"/>
                <w:szCs w:val="21"/>
              </w:rPr>
              <w:t>《深圳市人民政府关于深化住房制度改革加快建立多主体供给多渠道保障租购并举的住房供应与保障体系的意见》（深府</w:t>
            </w:r>
            <w:proofErr w:type="gramStart"/>
            <w:r w:rsidRPr="00BB22B9">
              <w:rPr>
                <w:rFonts w:ascii="宋体" w:eastAsia="宋体" w:hAnsi="宋体" w:hint="eastAsia"/>
                <w:szCs w:val="21"/>
              </w:rPr>
              <w:t>规</w:t>
            </w:r>
            <w:proofErr w:type="gramEnd"/>
            <w:r w:rsidRPr="00BB22B9">
              <w:rPr>
                <w:rFonts w:ascii="宋体" w:eastAsia="宋体" w:hAnsi="宋体" w:hint="eastAsia"/>
                <w:szCs w:val="21"/>
              </w:rPr>
              <w:t>〔2018〕13号</w:t>
            </w:r>
            <w:proofErr w:type="gramStart"/>
            <w:r w:rsidRPr="00BB22B9">
              <w:rPr>
                <w:rFonts w:ascii="宋体" w:eastAsia="宋体" w:hAnsi="宋体" w:hint="eastAsia"/>
                <w:szCs w:val="21"/>
              </w:rPr>
              <w:t>》</w:t>
            </w:r>
            <w:proofErr w:type="gramEnd"/>
            <w:r w:rsidRPr="00BB22B9">
              <w:rPr>
                <w:rFonts w:ascii="宋体" w:eastAsia="宋体" w:hAnsi="宋体" w:hint="eastAsia"/>
                <w:szCs w:val="21"/>
              </w:rPr>
              <w:t>）提出的</w:t>
            </w:r>
            <w:r>
              <w:rPr>
                <w:rFonts w:ascii="宋体" w:eastAsia="宋体" w:hAnsi="宋体" w:hint="eastAsia"/>
                <w:szCs w:val="21"/>
              </w:rPr>
              <w:t>宏观战略目标，在具体实施中，将考虑通过用地面积、建筑面积来控制住房结构。</w:t>
            </w:r>
          </w:p>
        </w:tc>
      </w:tr>
      <w:tr w:rsidR="00786881" w:rsidRPr="00F87667" w:rsidTr="00D609DD">
        <w:trPr>
          <w:trHeight w:val="748"/>
        </w:trPr>
        <w:tc>
          <w:tcPr>
            <w:tcW w:w="183" w:type="pct"/>
            <w:vAlign w:val="center"/>
          </w:tcPr>
          <w:p w:rsidR="00786881" w:rsidRDefault="00786881" w:rsidP="00045294">
            <w:pPr>
              <w:jc w:val="center"/>
              <w:rPr>
                <w:rFonts w:ascii="仿宋_GB2312" w:hAnsi="仿宋_GB2312"/>
                <w:szCs w:val="21"/>
              </w:rPr>
            </w:pPr>
            <w:r>
              <w:rPr>
                <w:rFonts w:ascii="仿宋_GB2312" w:hAnsi="仿宋_GB2312" w:hint="eastAsia"/>
                <w:szCs w:val="21"/>
              </w:rPr>
              <w:t>2</w:t>
            </w:r>
          </w:p>
        </w:tc>
        <w:tc>
          <w:tcPr>
            <w:tcW w:w="379" w:type="pct"/>
            <w:vAlign w:val="center"/>
          </w:tcPr>
          <w:p w:rsidR="00786881" w:rsidRDefault="00786881" w:rsidP="00B24002">
            <w:pPr>
              <w:jc w:val="center"/>
              <w:rPr>
                <w:rFonts w:ascii="仿宋_GB2312" w:hAnsi="仿宋_GB2312"/>
                <w:szCs w:val="21"/>
              </w:rPr>
            </w:pPr>
            <w:r>
              <w:rPr>
                <w:rFonts w:ascii="仿宋_GB2312" w:hAnsi="仿宋_GB2312" w:hint="eastAsia"/>
                <w:szCs w:val="21"/>
              </w:rPr>
              <w:t>新供应建设用地</w:t>
            </w:r>
          </w:p>
        </w:tc>
        <w:tc>
          <w:tcPr>
            <w:tcW w:w="302" w:type="pct"/>
            <w:vAlign w:val="center"/>
          </w:tcPr>
          <w:p w:rsidR="00786881" w:rsidRPr="00F87667" w:rsidRDefault="00786881" w:rsidP="00B24002">
            <w:pPr>
              <w:jc w:val="center"/>
              <w:rPr>
                <w:rFonts w:ascii="仿宋_GB2312" w:hAnsi="仿宋_GB2312"/>
                <w:szCs w:val="21"/>
              </w:rPr>
            </w:pPr>
            <w:r>
              <w:rPr>
                <w:rFonts w:ascii="仿宋_GB2312" w:hAnsi="仿宋_GB2312" w:hint="eastAsia"/>
                <w:szCs w:val="21"/>
              </w:rPr>
              <w:t>第七条</w:t>
            </w:r>
          </w:p>
        </w:tc>
        <w:tc>
          <w:tcPr>
            <w:tcW w:w="2831" w:type="pct"/>
            <w:vAlign w:val="center"/>
          </w:tcPr>
          <w:p w:rsidR="00786881" w:rsidRPr="00291803" w:rsidRDefault="00786881" w:rsidP="00355957">
            <w:pPr>
              <w:rPr>
                <w:rFonts w:ascii="宋体" w:eastAsia="宋体" w:hAnsi="宋体"/>
                <w:color w:val="000000"/>
                <w:szCs w:val="21"/>
              </w:rPr>
            </w:pPr>
            <w:r>
              <w:rPr>
                <w:rFonts w:ascii="宋体" w:eastAsia="宋体" w:hAnsi="宋体" w:hint="eastAsia"/>
                <w:color w:val="000000"/>
                <w:szCs w:val="21"/>
              </w:rPr>
              <w:t>第六、第七条</w:t>
            </w:r>
            <w:r w:rsidRPr="00090153">
              <w:rPr>
                <w:rFonts w:ascii="宋体" w:eastAsia="宋体" w:hAnsi="宋体" w:hint="eastAsia"/>
                <w:color w:val="000000"/>
                <w:szCs w:val="21"/>
              </w:rPr>
              <w:t>两条意见，存在前后不一致的情况。新供应建设用地属于市场主体主导的，其公共住房类型应以何种类型为主，存在歧义。</w:t>
            </w:r>
            <w:r w:rsidRPr="003B0154">
              <w:rPr>
                <w:rFonts w:ascii="宋体" w:eastAsia="宋体" w:hAnsi="宋体" w:hint="eastAsia"/>
                <w:b/>
                <w:color w:val="000000"/>
                <w:szCs w:val="21"/>
              </w:rPr>
              <w:t>（深圳市卓越城市更新集团有限公司）</w:t>
            </w:r>
          </w:p>
        </w:tc>
        <w:tc>
          <w:tcPr>
            <w:tcW w:w="282" w:type="pct"/>
            <w:vAlign w:val="center"/>
          </w:tcPr>
          <w:p w:rsidR="00786881" w:rsidRDefault="00786881" w:rsidP="00355957">
            <w:pPr>
              <w:jc w:val="center"/>
              <w:rPr>
                <w:rFonts w:ascii="宋体" w:eastAsia="宋体" w:hAnsi="宋体"/>
                <w:szCs w:val="21"/>
              </w:rPr>
            </w:pPr>
            <w:r>
              <w:rPr>
                <w:rFonts w:ascii="宋体" w:eastAsia="宋体" w:hAnsi="宋体" w:hint="eastAsia"/>
                <w:szCs w:val="21"/>
              </w:rPr>
              <w:t>解释</w:t>
            </w:r>
          </w:p>
        </w:tc>
        <w:tc>
          <w:tcPr>
            <w:tcW w:w="1023" w:type="pct"/>
            <w:vAlign w:val="center"/>
          </w:tcPr>
          <w:p w:rsidR="00786881" w:rsidRDefault="00786881" w:rsidP="00355957">
            <w:pPr>
              <w:rPr>
                <w:rFonts w:ascii="宋体" w:eastAsia="宋体" w:hAnsi="宋体"/>
                <w:szCs w:val="21"/>
              </w:rPr>
            </w:pPr>
            <w:r>
              <w:rPr>
                <w:rFonts w:ascii="宋体" w:eastAsia="宋体" w:hAnsi="宋体" w:hint="eastAsia"/>
                <w:szCs w:val="21"/>
              </w:rPr>
              <w:t>新供应建设用地主要是政府储备用地，属政府主导。</w:t>
            </w:r>
          </w:p>
        </w:tc>
      </w:tr>
      <w:tr w:rsidR="00786881" w:rsidRPr="00F87667" w:rsidTr="00D609DD">
        <w:trPr>
          <w:trHeight w:val="748"/>
        </w:trPr>
        <w:tc>
          <w:tcPr>
            <w:tcW w:w="183" w:type="pct"/>
            <w:vAlign w:val="center"/>
          </w:tcPr>
          <w:p w:rsidR="00786881" w:rsidRDefault="00786881" w:rsidP="00045294">
            <w:pPr>
              <w:jc w:val="center"/>
              <w:rPr>
                <w:rFonts w:ascii="仿宋_GB2312" w:hAnsi="仿宋_GB2312"/>
                <w:szCs w:val="21"/>
              </w:rPr>
            </w:pPr>
            <w:r>
              <w:rPr>
                <w:rFonts w:ascii="仿宋_GB2312" w:hAnsi="仿宋_GB2312" w:hint="eastAsia"/>
                <w:szCs w:val="21"/>
              </w:rPr>
              <w:t>3</w:t>
            </w:r>
          </w:p>
        </w:tc>
        <w:tc>
          <w:tcPr>
            <w:tcW w:w="379" w:type="pct"/>
            <w:vAlign w:val="center"/>
          </w:tcPr>
          <w:p w:rsidR="00786881" w:rsidRDefault="00786881" w:rsidP="00391D53">
            <w:pPr>
              <w:jc w:val="center"/>
              <w:rPr>
                <w:rFonts w:ascii="仿宋_GB2312" w:hAnsi="仿宋_GB2312"/>
                <w:szCs w:val="21"/>
              </w:rPr>
            </w:pPr>
            <w:r w:rsidRPr="00A30F12">
              <w:rPr>
                <w:rFonts w:ascii="仿宋_GB2312" w:hAnsi="仿宋_GB2312" w:hint="eastAsia"/>
                <w:szCs w:val="21"/>
              </w:rPr>
              <w:t>未完善征（转）地补偿手续空地</w:t>
            </w:r>
          </w:p>
        </w:tc>
        <w:tc>
          <w:tcPr>
            <w:tcW w:w="302" w:type="pct"/>
            <w:vAlign w:val="center"/>
          </w:tcPr>
          <w:p w:rsidR="00786881" w:rsidRDefault="00786881" w:rsidP="00391D53">
            <w:pPr>
              <w:jc w:val="center"/>
              <w:rPr>
                <w:rFonts w:ascii="仿宋_GB2312" w:hAnsi="仿宋_GB2312"/>
                <w:szCs w:val="21"/>
              </w:rPr>
            </w:pPr>
            <w:r>
              <w:rPr>
                <w:rFonts w:ascii="仿宋_GB2312" w:hAnsi="仿宋_GB2312" w:hint="eastAsia"/>
                <w:szCs w:val="21"/>
              </w:rPr>
              <w:t>第八条</w:t>
            </w:r>
          </w:p>
        </w:tc>
        <w:tc>
          <w:tcPr>
            <w:tcW w:w="2831" w:type="pct"/>
            <w:vAlign w:val="center"/>
          </w:tcPr>
          <w:p w:rsidR="00786881" w:rsidRDefault="00786881" w:rsidP="00D609DD">
            <w:pPr>
              <w:rPr>
                <w:rFonts w:ascii="宋体" w:eastAsia="宋体" w:hAnsi="宋体"/>
                <w:color w:val="000000"/>
                <w:szCs w:val="21"/>
              </w:rPr>
            </w:pPr>
            <w:r w:rsidRPr="00A30F12">
              <w:rPr>
                <w:rFonts w:ascii="宋体" w:eastAsia="宋体" w:hAnsi="宋体" w:hint="eastAsia"/>
                <w:color w:val="000000"/>
                <w:szCs w:val="21"/>
              </w:rPr>
              <w:t>未完善征转用地，历史用地权利人为股份公司或原用地单位，其建设的公共住房是否纳入全市公共住房统一分配管理，如是，那会打击其积极性，如否，其享受了地价优惠，却难以避免其变相为本单位人员分房，起不到公共住房的应有作用；</w:t>
            </w:r>
          </w:p>
          <w:p w:rsidR="00786881" w:rsidRDefault="00786881" w:rsidP="00D609DD">
            <w:pPr>
              <w:rPr>
                <w:rFonts w:ascii="宋体" w:eastAsia="宋体" w:hAnsi="宋体"/>
                <w:color w:val="000000"/>
                <w:szCs w:val="21"/>
              </w:rPr>
            </w:pPr>
            <w:r w:rsidRPr="003B0154">
              <w:rPr>
                <w:rFonts w:ascii="宋体" w:eastAsia="宋体" w:hAnsi="宋体" w:hint="eastAsia"/>
                <w:b/>
                <w:color w:val="000000"/>
                <w:szCs w:val="21"/>
              </w:rPr>
              <w:t>（深圳市卓越城市更新集团有限公司）</w:t>
            </w:r>
          </w:p>
        </w:tc>
        <w:tc>
          <w:tcPr>
            <w:tcW w:w="282" w:type="pct"/>
            <w:vAlign w:val="center"/>
          </w:tcPr>
          <w:p w:rsidR="00786881" w:rsidRDefault="00786881" w:rsidP="00795F6F">
            <w:pPr>
              <w:jc w:val="center"/>
              <w:rPr>
                <w:rFonts w:ascii="宋体" w:eastAsia="宋体" w:hAnsi="宋体"/>
                <w:szCs w:val="21"/>
              </w:rPr>
            </w:pPr>
            <w:r>
              <w:rPr>
                <w:rFonts w:ascii="宋体" w:eastAsia="宋体" w:hAnsi="宋体" w:hint="eastAsia"/>
                <w:szCs w:val="21"/>
              </w:rPr>
              <w:t>解释</w:t>
            </w:r>
          </w:p>
        </w:tc>
        <w:tc>
          <w:tcPr>
            <w:tcW w:w="1023" w:type="pct"/>
            <w:vAlign w:val="center"/>
          </w:tcPr>
          <w:p w:rsidR="00786881" w:rsidRDefault="00786881" w:rsidP="00D609DD">
            <w:pPr>
              <w:rPr>
                <w:rFonts w:ascii="宋体" w:eastAsia="宋体" w:hAnsi="宋体"/>
                <w:color w:val="000000"/>
                <w:szCs w:val="21"/>
              </w:rPr>
            </w:pPr>
            <w:r>
              <w:rPr>
                <w:rFonts w:ascii="宋体" w:eastAsia="宋体" w:hAnsi="宋体" w:hint="eastAsia"/>
                <w:color w:val="000000"/>
                <w:szCs w:val="21"/>
              </w:rPr>
              <w:t>（1）</w:t>
            </w:r>
            <w:r w:rsidR="0023086C">
              <w:rPr>
                <w:rFonts w:ascii="宋体" w:eastAsia="宋体" w:hAnsi="宋体" w:hint="eastAsia"/>
                <w:color w:val="000000"/>
                <w:kern w:val="0"/>
                <w:szCs w:val="21"/>
              </w:rPr>
              <w:t>未完善征(转)地补偿手续用地</w:t>
            </w:r>
            <w:r w:rsidRPr="00A30F12">
              <w:rPr>
                <w:rFonts w:ascii="宋体" w:eastAsia="宋体" w:hAnsi="宋体" w:hint="eastAsia"/>
                <w:color w:val="000000"/>
                <w:szCs w:val="21"/>
              </w:rPr>
              <w:t>建设的公共住房</w:t>
            </w:r>
            <w:r>
              <w:rPr>
                <w:rFonts w:ascii="宋体" w:eastAsia="宋体" w:hAnsi="宋体" w:hint="eastAsia"/>
                <w:color w:val="000000"/>
                <w:szCs w:val="21"/>
              </w:rPr>
              <w:t>须</w:t>
            </w:r>
            <w:r w:rsidRPr="00A30F12">
              <w:rPr>
                <w:rFonts w:ascii="宋体" w:eastAsia="宋体" w:hAnsi="宋体" w:hint="eastAsia"/>
                <w:color w:val="000000"/>
                <w:szCs w:val="21"/>
              </w:rPr>
              <w:t>纳入全市公共住房</w:t>
            </w:r>
            <w:r>
              <w:rPr>
                <w:rFonts w:ascii="宋体" w:eastAsia="宋体" w:hAnsi="宋体" w:hint="eastAsia"/>
                <w:color w:val="000000"/>
                <w:szCs w:val="21"/>
              </w:rPr>
              <w:t>体系统一管理。</w:t>
            </w:r>
          </w:p>
          <w:p w:rsidR="00786881" w:rsidRPr="003149A0" w:rsidRDefault="00786881" w:rsidP="006D4DA6">
            <w:pPr>
              <w:rPr>
                <w:rFonts w:ascii="宋体" w:eastAsia="宋体" w:hAnsi="宋体"/>
                <w:szCs w:val="21"/>
              </w:rPr>
            </w:pPr>
            <w:r>
              <w:rPr>
                <w:rFonts w:ascii="宋体" w:eastAsia="宋体" w:hAnsi="宋体" w:hint="eastAsia"/>
                <w:szCs w:val="21"/>
              </w:rPr>
              <w:t>（2）政策制定过程中已充分考虑主体积极性、公平性等问题</w:t>
            </w:r>
            <w:r w:rsidR="006D4DA6">
              <w:rPr>
                <w:rFonts w:ascii="宋体" w:eastAsia="宋体" w:hAnsi="宋体" w:hint="eastAsia"/>
                <w:szCs w:val="21"/>
              </w:rPr>
              <w:t>，并就经济效益问题进行了测算</w:t>
            </w:r>
            <w:r>
              <w:rPr>
                <w:rFonts w:ascii="宋体" w:eastAsia="宋体" w:hAnsi="宋体" w:hint="eastAsia"/>
                <w:szCs w:val="21"/>
              </w:rPr>
              <w:t>。</w:t>
            </w:r>
          </w:p>
        </w:tc>
      </w:tr>
      <w:tr w:rsidR="00786881" w:rsidRPr="00F87667" w:rsidTr="00D609DD">
        <w:trPr>
          <w:trHeight w:val="748"/>
        </w:trPr>
        <w:tc>
          <w:tcPr>
            <w:tcW w:w="183" w:type="pct"/>
            <w:vAlign w:val="center"/>
          </w:tcPr>
          <w:p w:rsidR="00786881" w:rsidRDefault="00786881" w:rsidP="00045294">
            <w:pPr>
              <w:jc w:val="center"/>
              <w:rPr>
                <w:rFonts w:ascii="仿宋_GB2312" w:hAnsi="仿宋_GB2312"/>
                <w:szCs w:val="21"/>
              </w:rPr>
            </w:pPr>
            <w:r>
              <w:rPr>
                <w:rFonts w:ascii="仿宋_GB2312" w:hAnsi="仿宋_GB2312" w:hint="eastAsia"/>
                <w:szCs w:val="21"/>
              </w:rPr>
              <w:t>4</w:t>
            </w:r>
          </w:p>
        </w:tc>
        <w:tc>
          <w:tcPr>
            <w:tcW w:w="379" w:type="pct"/>
            <w:vAlign w:val="center"/>
          </w:tcPr>
          <w:p w:rsidR="00786881" w:rsidRDefault="00786881" w:rsidP="00391D53">
            <w:pPr>
              <w:jc w:val="center"/>
              <w:rPr>
                <w:rFonts w:ascii="仿宋_GB2312" w:hAnsi="仿宋_GB2312"/>
                <w:szCs w:val="21"/>
              </w:rPr>
            </w:pPr>
            <w:r>
              <w:rPr>
                <w:rFonts w:ascii="仿宋_GB2312" w:hAnsi="仿宋_GB2312" w:hint="eastAsia"/>
                <w:szCs w:val="21"/>
              </w:rPr>
              <w:t>基础设施综合开发</w:t>
            </w:r>
          </w:p>
        </w:tc>
        <w:tc>
          <w:tcPr>
            <w:tcW w:w="302"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第十三条</w:t>
            </w:r>
          </w:p>
        </w:tc>
        <w:tc>
          <w:tcPr>
            <w:tcW w:w="2831" w:type="pct"/>
            <w:vAlign w:val="center"/>
          </w:tcPr>
          <w:p w:rsidR="00786881" w:rsidRPr="00A61A83" w:rsidRDefault="00786881" w:rsidP="00DA687D">
            <w:pPr>
              <w:rPr>
                <w:rFonts w:ascii="宋体" w:eastAsia="宋体" w:hAnsi="宋体"/>
                <w:color w:val="000000"/>
                <w:szCs w:val="21"/>
              </w:rPr>
            </w:pPr>
            <w:r w:rsidRPr="0040588A">
              <w:rPr>
                <w:rFonts w:ascii="宋体" w:eastAsia="宋体" w:hAnsi="宋体" w:hint="eastAsia"/>
                <w:color w:val="000000"/>
                <w:szCs w:val="21"/>
              </w:rPr>
              <w:t>针对第十三条基础设施综合开发建设，变电站、调压站、加油站都属于公用设施，这类用地对安全防护距离又有严格的要求，即使能够满足承载能力，如何能够保证安全，这个保证安全的范畴是否意味着更加严格的审批程序，是否有详细说明？以及考虑人的心理感受，是否愿意居住在这类用地周边？那这条渠道是否可行？</w:t>
            </w:r>
            <w:r w:rsidRPr="003B4F55">
              <w:rPr>
                <w:rFonts w:ascii="宋体" w:eastAsia="宋体" w:hAnsi="宋体" w:hint="eastAsia"/>
                <w:b/>
                <w:color w:val="000000"/>
                <w:szCs w:val="21"/>
              </w:rPr>
              <w:t>（市民245558046@qq.com）</w:t>
            </w:r>
          </w:p>
        </w:tc>
        <w:tc>
          <w:tcPr>
            <w:tcW w:w="282" w:type="pct"/>
            <w:vAlign w:val="center"/>
          </w:tcPr>
          <w:p w:rsidR="00786881" w:rsidRDefault="00786881" w:rsidP="00DA687D">
            <w:pPr>
              <w:jc w:val="center"/>
              <w:rPr>
                <w:rFonts w:ascii="宋体" w:eastAsia="宋体" w:hAnsi="宋体"/>
                <w:szCs w:val="21"/>
              </w:rPr>
            </w:pPr>
            <w:r>
              <w:rPr>
                <w:rFonts w:ascii="宋体" w:eastAsia="宋体" w:hAnsi="宋体" w:hint="eastAsia"/>
                <w:szCs w:val="21"/>
              </w:rPr>
              <w:t>解释</w:t>
            </w:r>
          </w:p>
        </w:tc>
        <w:tc>
          <w:tcPr>
            <w:tcW w:w="1023" w:type="pct"/>
            <w:vAlign w:val="center"/>
          </w:tcPr>
          <w:p w:rsidR="00786881" w:rsidRDefault="006D4DA6" w:rsidP="006D4DA6">
            <w:pPr>
              <w:rPr>
                <w:rFonts w:ascii="宋体" w:eastAsia="宋体" w:hAnsi="宋体"/>
                <w:szCs w:val="21"/>
              </w:rPr>
            </w:pPr>
            <w:r>
              <w:rPr>
                <w:rFonts w:ascii="宋体" w:eastAsia="宋体" w:hAnsi="宋体" w:hint="eastAsia"/>
                <w:szCs w:val="21"/>
              </w:rPr>
              <w:t>基础设施综合开发的前提是必须要满足安全和周边的交通、配套承载力，有关安全和承载力的论证将在</w:t>
            </w:r>
            <w:r w:rsidR="00786881">
              <w:rPr>
                <w:rFonts w:ascii="宋体" w:eastAsia="宋体" w:hAnsi="宋体" w:hint="eastAsia"/>
                <w:szCs w:val="21"/>
              </w:rPr>
              <w:t>规划</w:t>
            </w:r>
            <w:r>
              <w:rPr>
                <w:rFonts w:ascii="宋体" w:eastAsia="宋体" w:hAnsi="宋体" w:hint="eastAsia"/>
                <w:szCs w:val="21"/>
              </w:rPr>
              <w:t>研究</w:t>
            </w:r>
            <w:r w:rsidR="00786881">
              <w:rPr>
                <w:rFonts w:ascii="宋体" w:eastAsia="宋体" w:hAnsi="宋体" w:hint="eastAsia"/>
                <w:szCs w:val="21"/>
              </w:rPr>
              <w:t>、建筑设计</w:t>
            </w:r>
            <w:r>
              <w:rPr>
                <w:rFonts w:ascii="宋体" w:eastAsia="宋体" w:hAnsi="宋体" w:hint="eastAsia"/>
                <w:szCs w:val="21"/>
              </w:rPr>
              <w:t>等环节</w:t>
            </w:r>
            <w:r w:rsidR="00786881">
              <w:rPr>
                <w:rFonts w:ascii="宋体" w:eastAsia="宋体" w:hAnsi="宋体" w:hint="eastAsia"/>
                <w:szCs w:val="21"/>
              </w:rPr>
              <w:t>严格</w:t>
            </w:r>
            <w:r>
              <w:rPr>
                <w:rFonts w:ascii="宋体" w:eastAsia="宋体" w:hAnsi="宋体" w:hint="eastAsia"/>
                <w:szCs w:val="21"/>
              </w:rPr>
              <w:t>审查</w:t>
            </w:r>
            <w:r w:rsidR="00786881">
              <w:rPr>
                <w:rFonts w:ascii="宋体" w:eastAsia="宋体" w:hAnsi="宋体" w:hint="eastAsia"/>
                <w:szCs w:val="21"/>
              </w:rPr>
              <w:t>。</w:t>
            </w:r>
          </w:p>
        </w:tc>
      </w:tr>
      <w:tr w:rsidR="00786881" w:rsidRPr="00F87667" w:rsidTr="00D609DD">
        <w:trPr>
          <w:trHeight w:val="748"/>
        </w:trPr>
        <w:tc>
          <w:tcPr>
            <w:tcW w:w="183" w:type="pct"/>
            <w:vAlign w:val="center"/>
          </w:tcPr>
          <w:p w:rsidR="00786881" w:rsidRDefault="00786881" w:rsidP="00045294">
            <w:pPr>
              <w:jc w:val="center"/>
              <w:rPr>
                <w:rFonts w:ascii="仿宋_GB2312" w:hAnsi="仿宋_GB2312"/>
                <w:szCs w:val="21"/>
              </w:rPr>
            </w:pPr>
            <w:r>
              <w:rPr>
                <w:rFonts w:ascii="仿宋_GB2312" w:hAnsi="仿宋_GB2312" w:hint="eastAsia"/>
                <w:szCs w:val="21"/>
              </w:rPr>
              <w:t>5</w:t>
            </w:r>
          </w:p>
        </w:tc>
        <w:tc>
          <w:tcPr>
            <w:tcW w:w="379" w:type="pct"/>
            <w:vAlign w:val="center"/>
          </w:tcPr>
          <w:p w:rsidR="00786881" w:rsidRPr="00F87667" w:rsidRDefault="00786881" w:rsidP="00391D53">
            <w:pPr>
              <w:jc w:val="center"/>
              <w:rPr>
                <w:rFonts w:ascii="仿宋_GB2312" w:hAnsi="仿宋_GB2312"/>
                <w:szCs w:val="21"/>
              </w:rPr>
            </w:pPr>
            <w:r w:rsidRPr="00430059">
              <w:rPr>
                <w:rFonts w:ascii="仿宋_GB2312" w:hAnsi="仿宋_GB2312" w:hint="eastAsia"/>
                <w:szCs w:val="21"/>
              </w:rPr>
              <w:t>计划纳入及住房类型确定</w:t>
            </w:r>
          </w:p>
        </w:tc>
        <w:tc>
          <w:tcPr>
            <w:tcW w:w="302"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第十六条</w:t>
            </w:r>
          </w:p>
        </w:tc>
        <w:tc>
          <w:tcPr>
            <w:tcW w:w="2831" w:type="pct"/>
            <w:vAlign w:val="center"/>
          </w:tcPr>
          <w:p w:rsidR="00786881" w:rsidRPr="00947AD7" w:rsidRDefault="00786881" w:rsidP="00D609DD">
            <w:pPr>
              <w:rPr>
                <w:rFonts w:ascii="宋体" w:eastAsia="宋体" w:hAnsi="宋体"/>
                <w:color w:val="000000"/>
                <w:szCs w:val="21"/>
              </w:rPr>
            </w:pPr>
            <w:r w:rsidRPr="00947AD7">
              <w:rPr>
                <w:rFonts w:ascii="宋体" w:eastAsia="宋体" w:hAnsi="宋体" w:hint="eastAsia"/>
                <w:color w:val="000000"/>
                <w:szCs w:val="21"/>
              </w:rPr>
              <w:t>根据本规定建设公共住房需对规划进行调整的，在同意纳入安居工程年度实施计划前，市住</w:t>
            </w:r>
            <w:proofErr w:type="gramStart"/>
            <w:r w:rsidRPr="00947AD7">
              <w:rPr>
                <w:rFonts w:ascii="宋体" w:eastAsia="宋体" w:hAnsi="宋体" w:hint="eastAsia"/>
                <w:color w:val="000000"/>
                <w:szCs w:val="21"/>
              </w:rPr>
              <w:t>建部门</w:t>
            </w:r>
            <w:proofErr w:type="gramEnd"/>
            <w:r w:rsidRPr="00947AD7">
              <w:rPr>
                <w:rFonts w:ascii="宋体" w:eastAsia="宋体" w:hAnsi="宋体" w:hint="eastAsia"/>
                <w:color w:val="000000"/>
                <w:szCs w:val="21"/>
              </w:rPr>
              <w:t>应批次征求主管部门意见。经研究具备规划调整可行性的，市住</w:t>
            </w:r>
            <w:proofErr w:type="gramStart"/>
            <w:r w:rsidRPr="00947AD7">
              <w:rPr>
                <w:rFonts w:ascii="宋体" w:eastAsia="宋体" w:hAnsi="宋体" w:hint="eastAsia"/>
                <w:color w:val="000000"/>
                <w:szCs w:val="21"/>
              </w:rPr>
              <w:t>建部门</w:t>
            </w:r>
            <w:proofErr w:type="gramEnd"/>
            <w:r w:rsidRPr="00947AD7">
              <w:rPr>
                <w:rFonts w:ascii="宋体" w:eastAsia="宋体" w:hAnsi="宋体" w:hint="eastAsia"/>
                <w:color w:val="000000"/>
                <w:szCs w:val="21"/>
              </w:rPr>
              <w:t>纳入安居工程实施计划。</w:t>
            </w:r>
          </w:p>
          <w:p w:rsidR="00786881" w:rsidRPr="0040588A" w:rsidRDefault="00786881" w:rsidP="00D609DD">
            <w:pPr>
              <w:rPr>
                <w:rFonts w:ascii="宋体" w:eastAsia="宋体" w:hAnsi="宋体"/>
                <w:color w:val="000000"/>
                <w:szCs w:val="21"/>
              </w:rPr>
            </w:pPr>
            <w:r w:rsidRPr="00947AD7">
              <w:rPr>
                <w:rFonts w:ascii="宋体" w:eastAsia="宋体" w:hAnsi="宋体" w:hint="eastAsia"/>
                <w:color w:val="000000"/>
                <w:szCs w:val="21"/>
              </w:rPr>
              <w:t>意见：建议明确文中“主管部门”为“市规划主管部门”。</w:t>
            </w:r>
            <w:r w:rsidRPr="003B0154">
              <w:rPr>
                <w:rFonts w:ascii="宋体" w:eastAsia="宋体" w:hAnsi="宋体" w:hint="eastAsia"/>
                <w:b/>
                <w:color w:val="000000"/>
                <w:szCs w:val="21"/>
              </w:rPr>
              <w:t>（深圳市卓越城市更新集团有限公司）</w:t>
            </w:r>
          </w:p>
        </w:tc>
        <w:tc>
          <w:tcPr>
            <w:tcW w:w="282" w:type="pct"/>
            <w:vAlign w:val="center"/>
          </w:tcPr>
          <w:p w:rsidR="00786881" w:rsidRDefault="00786881" w:rsidP="00795F6F">
            <w:pPr>
              <w:jc w:val="center"/>
              <w:rPr>
                <w:rFonts w:ascii="宋体" w:eastAsia="宋体" w:hAnsi="宋体"/>
                <w:szCs w:val="21"/>
              </w:rPr>
            </w:pPr>
            <w:r>
              <w:rPr>
                <w:rFonts w:ascii="宋体" w:eastAsia="宋体" w:hAnsi="宋体" w:hint="eastAsia"/>
                <w:szCs w:val="21"/>
              </w:rPr>
              <w:t>解释</w:t>
            </w:r>
          </w:p>
        </w:tc>
        <w:tc>
          <w:tcPr>
            <w:tcW w:w="1023" w:type="pct"/>
            <w:vAlign w:val="center"/>
          </w:tcPr>
          <w:p w:rsidR="00786881" w:rsidRDefault="00786881" w:rsidP="00D609DD">
            <w:pPr>
              <w:rPr>
                <w:rFonts w:ascii="宋体" w:eastAsia="宋体" w:hAnsi="宋体"/>
                <w:szCs w:val="21"/>
              </w:rPr>
            </w:pPr>
            <w:r>
              <w:rPr>
                <w:rFonts w:ascii="宋体" w:eastAsia="宋体" w:hAnsi="宋体" w:hint="eastAsia"/>
                <w:szCs w:val="21"/>
              </w:rPr>
              <w:t>已在职责分工中明确主管部门。</w:t>
            </w:r>
          </w:p>
        </w:tc>
      </w:tr>
      <w:tr w:rsidR="00786881" w:rsidRPr="00F87667" w:rsidTr="00D609DD">
        <w:trPr>
          <w:trHeight w:val="748"/>
        </w:trPr>
        <w:tc>
          <w:tcPr>
            <w:tcW w:w="183" w:type="pct"/>
            <w:vAlign w:val="center"/>
          </w:tcPr>
          <w:p w:rsidR="00786881" w:rsidRDefault="00786881" w:rsidP="00045294">
            <w:pPr>
              <w:jc w:val="center"/>
              <w:rPr>
                <w:rFonts w:ascii="仿宋_GB2312" w:hAnsi="仿宋_GB2312"/>
                <w:szCs w:val="21"/>
              </w:rPr>
            </w:pPr>
            <w:r>
              <w:rPr>
                <w:rFonts w:ascii="仿宋_GB2312" w:hAnsi="仿宋_GB2312" w:hint="eastAsia"/>
                <w:szCs w:val="21"/>
              </w:rPr>
              <w:t>6</w:t>
            </w:r>
          </w:p>
        </w:tc>
        <w:tc>
          <w:tcPr>
            <w:tcW w:w="379" w:type="pct"/>
            <w:vAlign w:val="center"/>
          </w:tcPr>
          <w:p w:rsidR="00786881" w:rsidRPr="00430059" w:rsidRDefault="00786881" w:rsidP="00391D53">
            <w:pPr>
              <w:jc w:val="center"/>
              <w:rPr>
                <w:rFonts w:ascii="仿宋_GB2312" w:hAnsi="仿宋_GB2312"/>
                <w:szCs w:val="21"/>
              </w:rPr>
            </w:pPr>
            <w:r w:rsidRPr="00430059">
              <w:rPr>
                <w:rFonts w:ascii="仿宋_GB2312" w:hAnsi="仿宋_GB2312" w:hint="eastAsia"/>
                <w:szCs w:val="21"/>
              </w:rPr>
              <w:t>规划审批</w:t>
            </w:r>
          </w:p>
        </w:tc>
        <w:tc>
          <w:tcPr>
            <w:tcW w:w="302" w:type="pct"/>
            <w:vAlign w:val="center"/>
          </w:tcPr>
          <w:p w:rsidR="00786881" w:rsidRDefault="00786881" w:rsidP="00391D53">
            <w:pPr>
              <w:jc w:val="center"/>
              <w:rPr>
                <w:rFonts w:ascii="仿宋_GB2312" w:hAnsi="仿宋_GB2312"/>
                <w:szCs w:val="21"/>
              </w:rPr>
            </w:pPr>
            <w:r>
              <w:rPr>
                <w:rFonts w:ascii="仿宋_GB2312" w:hAnsi="仿宋_GB2312" w:hint="eastAsia"/>
                <w:szCs w:val="21"/>
              </w:rPr>
              <w:t>第十七条</w:t>
            </w:r>
          </w:p>
        </w:tc>
        <w:tc>
          <w:tcPr>
            <w:tcW w:w="2831" w:type="pct"/>
            <w:vAlign w:val="center"/>
          </w:tcPr>
          <w:p w:rsidR="00786881" w:rsidRPr="00947AD7" w:rsidRDefault="00786881" w:rsidP="00D609DD">
            <w:pPr>
              <w:rPr>
                <w:rFonts w:ascii="宋体" w:eastAsia="宋体" w:hAnsi="宋体"/>
                <w:color w:val="000000"/>
                <w:szCs w:val="21"/>
              </w:rPr>
            </w:pPr>
            <w:r w:rsidRPr="00430059">
              <w:rPr>
                <w:rFonts w:ascii="宋体" w:eastAsia="宋体" w:hAnsi="宋体" w:hint="eastAsia"/>
                <w:color w:val="000000"/>
                <w:szCs w:val="21"/>
              </w:rPr>
              <w:t>规划调整审批须在市政府批准供应方案或处置方案后才能完成审批，是否审批时序较长同时与用地审批存在矛盾，建议进一步梳理有关审批时序，切实提高审批效率。另请明确“供应方案或处置方案”的申报主体和审批程序。</w:t>
            </w:r>
            <w:r w:rsidRPr="003B0154">
              <w:rPr>
                <w:rFonts w:ascii="宋体" w:eastAsia="宋体" w:hAnsi="宋体" w:hint="eastAsia"/>
                <w:b/>
                <w:color w:val="000000"/>
                <w:szCs w:val="21"/>
              </w:rPr>
              <w:t>（深圳市卓越城市更新集团有限公司）</w:t>
            </w:r>
          </w:p>
        </w:tc>
        <w:tc>
          <w:tcPr>
            <w:tcW w:w="282" w:type="pct"/>
            <w:vAlign w:val="center"/>
          </w:tcPr>
          <w:p w:rsidR="00786881" w:rsidRDefault="00786881" w:rsidP="00795F6F">
            <w:pPr>
              <w:jc w:val="center"/>
              <w:rPr>
                <w:rFonts w:ascii="宋体" w:eastAsia="宋体" w:hAnsi="宋体"/>
                <w:szCs w:val="21"/>
              </w:rPr>
            </w:pPr>
            <w:r>
              <w:rPr>
                <w:rFonts w:ascii="宋体" w:eastAsia="宋体" w:hAnsi="宋体" w:hint="eastAsia"/>
                <w:szCs w:val="21"/>
              </w:rPr>
              <w:t>解释</w:t>
            </w:r>
          </w:p>
        </w:tc>
        <w:tc>
          <w:tcPr>
            <w:tcW w:w="1023" w:type="pct"/>
            <w:vAlign w:val="center"/>
          </w:tcPr>
          <w:p w:rsidR="00786881" w:rsidRDefault="00786881" w:rsidP="00D609DD">
            <w:pPr>
              <w:rPr>
                <w:rFonts w:ascii="宋体" w:eastAsia="宋体" w:hAnsi="宋体"/>
                <w:szCs w:val="21"/>
              </w:rPr>
            </w:pPr>
            <w:r>
              <w:rPr>
                <w:rFonts w:ascii="宋体" w:eastAsia="宋体" w:hAnsi="宋体" w:hint="eastAsia"/>
                <w:szCs w:val="21"/>
              </w:rPr>
              <w:t>为确保规划修改后用于建设公共住房，明确规划调整方案在建设公共住房的用地方案通过后完成审批。</w:t>
            </w:r>
          </w:p>
        </w:tc>
      </w:tr>
      <w:tr w:rsidR="00786881" w:rsidRPr="00F87667" w:rsidTr="00D609DD">
        <w:trPr>
          <w:trHeight w:val="748"/>
        </w:trPr>
        <w:tc>
          <w:tcPr>
            <w:tcW w:w="183" w:type="pct"/>
            <w:vAlign w:val="center"/>
          </w:tcPr>
          <w:p w:rsidR="00786881" w:rsidRPr="00F87667" w:rsidRDefault="00786881" w:rsidP="00045294">
            <w:pPr>
              <w:jc w:val="center"/>
              <w:rPr>
                <w:rFonts w:ascii="仿宋_GB2312" w:hAnsi="仿宋_GB2312"/>
                <w:szCs w:val="21"/>
              </w:rPr>
            </w:pPr>
            <w:r>
              <w:rPr>
                <w:rFonts w:ascii="仿宋_GB2312" w:hAnsi="仿宋_GB2312" w:hint="eastAsia"/>
                <w:szCs w:val="21"/>
              </w:rPr>
              <w:t>7</w:t>
            </w:r>
          </w:p>
        </w:tc>
        <w:tc>
          <w:tcPr>
            <w:tcW w:w="379"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有效期</w:t>
            </w:r>
          </w:p>
        </w:tc>
        <w:tc>
          <w:tcPr>
            <w:tcW w:w="302"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第二十五条</w:t>
            </w:r>
          </w:p>
        </w:tc>
        <w:tc>
          <w:tcPr>
            <w:tcW w:w="2831" w:type="pct"/>
            <w:vAlign w:val="center"/>
          </w:tcPr>
          <w:p w:rsidR="00786881" w:rsidRPr="0040588A" w:rsidRDefault="00786881" w:rsidP="00D609DD">
            <w:pPr>
              <w:rPr>
                <w:rFonts w:ascii="宋体" w:eastAsia="宋体" w:hAnsi="宋体"/>
                <w:color w:val="000000"/>
                <w:szCs w:val="21"/>
              </w:rPr>
            </w:pPr>
            <w:r w:rsidRPr="0040588A">
              <w:rPr>
                <w:rFonts w:ascii="宋体" w:eastAsia="宋体" w:hAnsi="宋体" w:hint="eastAsia"/>
                <w:color w:val="000000"/>
                <w:szCs w:val="21"/>
              </w:rPr>
              <w:t xml:space="preserve">针对暂行规定第二十五条：施行日期：有效期三年，我认为不妥，因深圳住房制度改革规划到2035年供应170万套，土地供应只是这三年的，过了这三年的土地怎么规划？ </w:t>
            </w:r>
            <w:r w:rsidRPr="003B4F55">
              <w:rPr>
                <w:rFonts w:ascii="宋体" w:eastAsia="宋体" w:hAnsi="宋体" w:hint="eastAsia"/>
                <w:b/>
                <w:color w:val="000000"/>
                <w:szCs w:val="21"/>
              </w:rPr>
              <w:t>（市民zha</w:t>
            </w:r>
            <w:r w:rsidRPr="003B4F55">
              <w:rPr>
                <w:rFonts w:ascii="宋体" w:eastAsia="宋体" w:hAnsi="宋体"/>
                <w:b/>
                <w:color w:val="000000"/>
                <w:szCs w:val="21"/>
              </w:rPr>
              <w:t>nhua_xu@126.com</w:t>
            </w:r>
            <w:r w:rsidRPr="003B4F55">
              <w:rPr>
                <w:rFonts w:ascii="宋体" w:eastAsia="宋体" w:hAnsi="宋体" w:hint="eastAsia"/>
                <w:b/>
                <w:color w:val="000000"/>
                <w:szCs w:val="21"/>
              </w:rPr>
              <w:t>）</w:t>
            </w:r>
          </w:p>
        </w:tc>
        <w:tc>
          <w:tcPr>
            <w:tcW w:w="282" w:type="pct"/>
            <w:vAlign w:val="center"/>
          </w:tcPr>
          <w:p w:rsidR="00786881" w:rsidRDefault="00786881" w:rsidP="00795F6F">
            <w:pPr>
              <w:jc w:val="center"/>
              <w:rPr>
                <w:rFonts w:ascii="宋体" w:eastAsia="宋体" w:hAnsi="宋体"/>
                <w:szCs w:val="21"/>
              </w:rPr>
            </w:pPr>
            <w:r>
              <w:rPr>
                <w:rFonts w:ascii="宋体" w:eastAsia="宋体" w:hAnsi="宋体" w:hint="eastAsia"/>
                <w:szCs w:val="21"/>
              </w:rPr>
              <w:t>解释</w:t>
            </w:r>
          </w:p>
        </w:tc>
        <w:tc>
          <w:tcPr>
            <w:tcW w:w="1023" w:type="pct"/>
            <w:vAlign w:val="center"/>
          </w:tcPr>
          <w:p w:rsidR="00786881" w:rsidRDefault="006D4DA6" w:rsidP="006D4DA6">
            <w:pPr>
              <w:rPr>
                <w:rFonts w:ascii="宋体" w:eastAsia="宋体" w:hAnsi="宋体"/>
                <w:szCs w:val="21"/>
              </w:rPr>
            </w:pPr>
            <w:r>
              <w:rPr>
                <w:rFonts w:ascii="宋体" w:eastAsia="宋体" w:hAnsi="宋体" w:hint="eastAsia"/>
                <w:szCs w:val="21"/>
              </w:rPr>
              <w:t>政策出台后，我局将对政策实施效果进行跟踪评估，在</w:t>
            </w:r>
            <w:r w:rsidR="008D3081">
              <w:rPr>
                <w:rFonts w:ascii="宋体" w:eastAsia="宋体" w:hAnsi="宋体" w:hint="eastAsia"/>
                <w:szCs w:val="21"/>
              </w:rPr>
              <w:t>政策有效期</w:t>
            </w:r>
            <w:r>
              <w:rPr>
                <w:rFonts w:ascii="宋体" w:eastAsia="宋体" w:hAnsi="宋体" w:hint="eastAsia"/>
                <w:szCs w:val="21"/>
              </w:rPr>
              <w:t>届满前，将根据评估的结果及时启动政策修订工作</w:t>
            </w:r>
            <w:r w:rsidR="00786881">
              <w:rPr>
                <w:rFonts w:ascii="宋体" w:eastAsia="宋体" w:hAnsi="宋体" w:hint="eastAsia"/>
                <w:szCs w:val="21"/>
              </w:rPr>
              <w:t>。</w:t>
            </w:r>
          </w:p>
        </w:tc>
      </w:tr>
      <w:tr w:rsidR="00786881" w:rsidRPr="00F87667" w:rsidTr="00D609DD">
        <w:trPr>
          <w:trHeight w:val="748"/>
        </w:trPr>
        <w:tc>
          <w:tcPr>
            <w:tcW w:w="183" w:type="pct"/>
            <w:vAlign w:val="center"/>
          </w:tcPr>
          <w:p w:rsidR="00786881" w:rsidRPr="00F87667" w:rsidRDefault="00786881" w:rsidP="00045294">
            <w:pPr>
              <w:jc w:val="center"/>
              <w:rPr>
                <w:rFonts w:ascii="仿宋_GB2312" w:hAnsi="仿宋_GB2312"/>
                <w:szCs w:val="21"/>
              </w:rPr>
            </w:pPr>
            <w:r>
              <w:rPr>
                <w:rFonts w:ascii="仿宋_GB2312" w:hAnsi="仿宋_GB2312" w:hint="eastAsia"/>
                <w:szCs w:val="21"/>
              </w:rPr>
              <w:t>8</w:t>
            </w:r>
          </w:p>
        </w:tc>
        <w:tc>
          <w:tcPr>
            <w:tcW w:w="379" w:type="pct"/>
            <w:vAlign w:val="center"/>
          </w:tcPr>
          <w:p w:rsidR="00786881" w:rsidRDefault="00786881" w:rsidP="00391D53">
            <w:pPr>
              <w:jc w:val="center"/>
              <w:rPr>
                <w:rFonts w:ascii="仿宋_GB2312" w:hAnsi="仿宋_GB2312"/>
                <w:szCs w:val="21"/>
              </w:rPr>
            </w:pPr>
            <w:r>
              <w:rPr>
                <w:rFonts w:ascii="仿宋_GB2312" w:hAnsi="仿宋_GB2312" w:hint="eastAsia"/>
                <w:szCs w:val="21"/>
              </w:rPr>
              <w:t>增加市场商品住房用地供应渠道</w:t>
            </w:r>
          </w:p>
        </w:tc>
        <w:tc>
          <w:tcPr>
            <w:tcW w:w="302"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无</w:t>
            </w:r>
          </w:p>
        </w:tc>
        <w:tc>
          <w:tcPr>
            <w:tcW w:w="2831" w:type="pct"/>
            <w:vAlign w:val="center"/>
          </w:tcPr>
          <w:p w:rsidR="00786881" w:rsidRPr="0040588A" w:rsidRDefault="00786881" w:rsidP="00D609DD">
            <w:pPr>
              <w:rPr>
                <w:rFonts w:ascii="宋体" w:eastAsia="宋体" w:hAnsi="宋体"/>
                <w:color w:val="000000"/>
                <w:szCs w:val="21"/>
              </w:rPr>
            </w:pPr>
            <w:r w:rsidRPr="00A30F12">
              <w:rPr>
                <w:rFonts w:ascii="宋体" w:eastAsia="宋体" w:hAnsi="宋体" w:hint="eastAsia"/>
                <w:color w:val="000000"/>
                <w:szCs w:val="21"/>
              </w:rPr>
              <w:t>本次“暂行规定”主要拓展了占比60%的公共住房用地的供应渠道，而占比40%的市场商品住房用地的供应渠道除新供应建设用地外未有拓展其他供应渠道。为较好地落实2035年前建设170万套的任务，同时提高市场主体积极性，建议考虑增加一些市场商品住房用地的供应渠道，如未完善征（转）地补偿手续空地、历史遗留未完善出让手续用地、已出让未建用地、已建的合法用地等。</w:t>
            </w:r>
            <w:r w:rsidRPr="003B0154">
              <w:rPr>
                <w:rFonts w:ascii="宋体" w:eastAsia="宋体" w:hAnsi="宋体" w:hint="eastAsia"/>
                <w:b/>
                <w:color w:val="000000"/>
                <w:szCs w:val="21"/>
              </w:rPr>
              <w:t>（深圳市卓越城市更新集团有限公司）</w:t>
            </w:r>
          </w:p>
        </w:tc>
        <w:tc>
          <w:tcPr>
            <w:tcW w:w="282" w:type="pct"/>
            <w:vAlign w:val="center"/>
          </w:tcPr>
          <w:p w:rsidR="00786881" w:rsidRDefault="00786881" w:rsidP="00795F6F">
            <w:pPr>
              <w:jc w:val="center"/>
              <w:rPr>
                <w:rFonts w:ascii="宋体" w:eastAsia="宋体" w:hAnsi="宋体"/>
                <w:szCs w:val="21"/>
              </w:rPr>
            </w:pPr>
            <w:r>
              <w:rPr>
                <w:rFonts w:ascii="宋体" w:eastAsia="宋体" w:hAnsi="宋体" w:hint="eastAsia"/>
                <w:szCs w:val="21"/>
              </w:rPr>
              <w:t>解释</w:t>
            </w:r>
          </w:p>
        </w:tc>
        <w:tc>
          <w:tcPr>
            <w:tcW w:w="1023" w:type="pct"/>
            <w:vAlign w:val="center"/>
          </w:tcPr>
          <w:p w:rsidR="00786881" w:rsidRDefault="006D4DA6" w:rsidP="006D4DA6">
            <w:pPr>
              <w:rPr>
                <w:rFonts w:ascii="宋体" w:eastAsia="宋体" w:hAnsi="宋体"/>
                <w:szCs w:val="21"/>
              </w:rPr>
            </w:pPr>
            <w:r>
              <w:rPr>
                <w:rFonts w:ascii="宋体" w:eastAsia="宋体" w:hAnsi="宋体" w:hint="eastAsia"/>
                <w:szCs w:val="21"/>
              </w:rPr>
              <w:t>当前，我市普通商品住房用地的供应主要通过城市更新等渠道供应。经</w:t>
            </w:r>
            <w:r w:rsidR="00786881">
              <w:rPr>
                <w:rFonts w:ascii="宋体" w:eastAsia="宋体" w:hAnsi="宋体" w:hint="eastAsia"/>
                <w:szCs w:val="21"/>
              </w:rPr>
              <w:t>测算，城市更新、土地整备等渠道</w:t>
            </w:r>
            <w:r>
              <w:rPr>
                <w:rFonts w:ascii="宋体" w:eastAsia="宋体" w:hAnsi="宋体" w:hint="eastAsia"/>
                <w:szCs w:val="21"/>
              </w:rPr>
              <w:t>的土地供应计划</w:t>
            </w:r>
            <w:r w:rsidR="00786881">
              <w:rPr>
                <w:rFonts w:ascii="宋体" w:eastAsia="宋体" w:hAnsi="宋体" w:hint="eastAsia"/>
                <w:szCs w:val="21"/>
              </w:rPr>
              <w:t>基本</w:t>
            </w:r>
            <w:r>
              <w:rPr>
                <w:rFonts w:ascii="宋体" w:eastAsia="宋体" w:hAnsi="宋体" w:hint="eastAsia"/>
                <w:szCs w:val="21"/>
              </w:rPr>
              <w:t>能满足</w:t>
            </w:r>
            <w:r w:rsidR="00786881">
              <w:rPr>
                <w:rFonts w:ascii="宋体" w:eastAsia="宋体" w:hAnsi="宋体" w:hint="eastAsia"/>
                <w:szCs w:val="21"/>
              </w:rPr>
              <w:t>市场商品住房用地供应任务</w:t>
            </w:r>
            <w:r>
              <w:rPr>
                <w:rFonts w:ascii="宋体" w:eastAsia="宋体" w:hAnsi="宋体" w:hint="eastAsia"/>
                <w:szCs w:val="21"/>
              </w:rPr>
              <w:t>；</w:t>
            </w:r>
            <w:r w:rsidR="00786881">
              <w:rPr>
                <w:rFonts w:ascii="宋体" w:eastAsia="宋体" w:hAnsi="宋体" w:hint="eastAsia"/>
                <w:szCs w:val="21"/>
              </w:rPr>
              <w:t>如今后供应不足，会适时调整供应计划和供应政策，增加市场商品住房用地供应。</w:t>
            </w:r>
          </w:p>
        </w:tc>
      </w:tr>
      <w:tr w:rsidR="00786881" w:rsidRPr="00F87667" w:rsidTr="00D609DD">
        <w:trPr>
          <w:trHeight w:val="748"/>
        </w:trPr>
        <w:tc>
          <w:tcPr>
            <w:tcW w:w="183" w:type="pct"/>
            <w:vAlign w:val="center"/>
          </w:tcPr>
          <w:p w:rsidR="00786881" w:rsidRPr="00F87667" w:rsidRDefault="00786881" w:rsidP="00045294">
            <w:pPr>
              <w:jc w:val="center"/>
              <w:rPr>
                <w:rFonts w:ascii="仿宋_GB2312" w:hAnsi="仿宋_GB2312"/>
                <w:szCs w:val="21"/>
              </w:rPr>
            </w:pPr>
            <w:r>
              <w:rPr>
                <w:rFonts w:ascii="仿宋_GB2312" w:hAnsi="仿宋_GB2312" w:hint="eastAsia"/>
                <w:szCs w:val="21"/>
              </w:rPr>
              <w:t>9</w:t>
            </w:r>
          </w:p>
        </w:tc>
        <w:tc>
          <w:tcPr>
            <w:tcW w:w="379"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工业用地改建住房</w:t>
            </w:r>
          </w:p>
        </w:tc>
        <w:tc>
          <w:tcPr>
            <w:tcW w:w="302"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无</w:t>
            </w:r>
          </w:p>
        </w:tc>
        <w:tc>
          <w:tcPr>
            <w:tcW w:w="2831" w:type="pct"/>
            <w:vAlign w:val="center"/>
          </w:tcPr>
          <w:p w:rsidR="00786881" w:rsidRPr="00A61A83" w:rsidRDefault="00786881" w:rsidP="004C090C">
            <w:pPr>
              <w:rPr>
                <w:rFonts w:ascii="宋体" w:eastAsia="宋体" w:hAnsi="宋体"/>
                <w:color w:val="000000"/>
                <w:szCs w:val="21"/>
              </w:rPr>
            </w:pPr>
            <w:r w:rsidRPr="0040588A">
              <w:rPr>
                <w:rFonts w:ascii="宋体" w:eastAsia="宋体" w:hAnsi="宋体" w:hint="eastAsia"/>
                <w:color w:val="000000"/>
                <w:szCs w:val="21"/>
              </w:rPr>
              <w:t>政府可以通过批准建更多的安居住房来缓解住房紧张问题，现在国有储备土地已经很紧张了，这是事实，但是可以更改房屋用途，把工业用地拿一部分出来改建住房用地，让市场来调节房价，让更多人能买得起房。(</w:t>
            </w:r>
            <w:r w:rsidRPr="0040588A">
              <w:rPr>
                <w:rFonts w:ascii="宋体" w:eastAsia="宋体" w:hAnsi="宋体" w:hint="eastAsia"/>
                <w:b/>
                <w:color w:val="000000"/>
                <w:szCs w:val="21"/>
              </w:rPr>
              <w:t>市民周子越</w:t>
            </w:r>
            <w:r w:rsidRPr="0040588A">
              <w:rPr>
                <w:rFonts w:ascii="宋体" w:eastAsia="宋体" w:hAnsi="宋体" w:hint="eastAsia"/>
                <w:color w:val="000000"/>
                <w:szCs w:val="21"/>
              </w:rPr>
              <w:t>)</w:t>
            </w:r>
          </w:p>
        </w:tc>
        <w:tc>
          <w:tcPr>
            <w:tcW w:w="282" w:type="pct"/>
            <w:vAlign w:val="center"/>
          </w:tcPr>
          <w:p w:rsidR="00786881" w:rsidRDefault="00786881" w:rsidP="00795F6F">
            <w:pPr>
              <w:jc w:val="center"/>
              <w:rPr>
                <w:rFonts w:ascii="宋体" w:eastAsia="宋体" w:hAnsi="宋体"/>
                <w:szCs w:val="21"/>
              </w:rPr>
            </w:pPr>
            <w:r>
              <w:rPr>
                <w:rFonts w:ascii="宋体" w:eastAsia="宋体" w:hAnsi="宋体" w:hint="eastAsia"/>
                <w:szCs w:val="21"/>
              </w:rPr>
              <w:t>采纳</w:t>
            </w:r>
          </w:p>
        </w:tc>
        <w:tc>
          <w:tcPr>
            <w:tcW w:w="1023" w:type="pct"/>
            <w:vAlign w:val="center"/>
          </w:tcPr>
          <w:p w:rsidR="00786881" w:rsidRPr="003149A0" w:rsidRDefault="006B0BC7" w:rsidP="00EA72BF">
            <w:pPr>
              <w:rPr>
                <w:rFonts w:ascii="宋体" w:eastAsia="宋体" w:hAnsi="宋体"/>
                <w:szCs w:val="21"/>
              </w:rPr>
            </w:pPr>
            <w:r>
              <w:rPr>
                <w:rFonts w:ascii="宋体" w:eastAsia="宋体" w:hAnsi="宋体" w:hint="eastAsia"/>
                <w:szCs w:val="21"/>
              </w:rPr>
              <w:t>政策中已明确允许符合条件的</w:t>
            </w:r>
            <w:r w:rsidR="008D65FA">
              <w:rPr>
                <w:rFonts w:ascii="宋体" w:eastAsia="宋体" w:hAnsi="宋体" w:hint="eastAsia"/>
                <w:szCs w:val="21"/>
              </w:rPr>
              <w:t>工业用地改建</w:t>
            </w:r>
            <w:r w:rsidR="00786881">
              <w:rPr>
                <w:rFonts w:ascii="宋体" w:eastAsia="宋体" w:hAnsi="宋体" w:hint="eastAsia"/>
                <w:szCs w:val="21"/>
              </w:rPr>
              <w:t>公共住房</w:t>
            </w:r>
            <w:r w:rsidR="008D65FA">
              <w:rPr>
                <w:rFonts w:ascii="宋体" w:eastAsia="宋体" w:hAnsi="宋体" w:hint="eastAsia"/>
                <w:szCs w:val="21"/>
              </w:rPr>
              <w:t>，并相应的审批程序、地价政策等方面</w:t>
            </w:r>
            <w:r w:rsidR="00EA72BF">
              <w:rPr>
                <w:rFonts w:ascii="宋体" w:eastAsia="宋体" w:hAnsi="宋体" w:hint="eastAsia"/>
                <w:szCs w:val="21"/>
              </w:rPr>
              <w:t>予以支持</w:t>
            </w:r>
            <w:r w:rsidR="00786881">
              <w:rPr>
                <w:rFonts w:ascii="宋体" w:eastAsia="宋体" w:hAnsi="宋体" w:hint="eastAsia"/>
                <w:szCs w:val="21"/>
              </w:rPr>
              <w:t>。</w:t>
            </w:r>
          </w:p>
        </w:tc>
      </w:tr>
      <w:tr w:rsidR="00786881" w:rsidRPr="00F87667" w:rsidTr="00D609DD">
        <w:trPr>
          <w:trHeight w:val="748"/>
        </w:trPr>
        <w:tc>
          <w:tcPr>
            <w:tcW w:w="183" w:type="pct"/>
            <w:vAlign w:val="center"/>
          </w:tcPr>
          <w:p w:rsidR="00786881" w:rsidRDefault="00786881" w:rsidP="00045294">
            <w:pPr>
              <w:jc w:val="center"/>
              <w:rPr>
                <w:rFonts w:ascii="仿宋_GB2312" w:hAnsi="仿宋_GB2312"/>
                <w:szCs w:val="21"/>
              </w:rPr>
            </w:pPr>
            <w:r>
              <w:rPr>
                <w:rFonts w:ascii="仿宋_GB2312" w:hAnsi="仿宋_GB2312" w:hint="eastAsia"/>
                <w:szCs w:val="21"/>
              </w:rPr>
              <w:t>10</w:t>
            </w:r>
          </w:p>
        </w:tc>
        <w:tc>
          <w:tcPr>
            <w:tcW w:w="379" w:type="pct"/>
            <w:vAlign w:val="center"/>
          </w:tcPr>
          <w:p w:rsidR="00786881" w:rsidRDefault="00786881" w:rsidP="00391D53">
            <w:pPr>
              <w:jc w:val="center"/>
              <w:rPr>
                <w:rFonts w:ascii="仿宋_GB2312" w:hAnsi="仿宋_GB2312"/>
                <w:szCs w:val="21"/>
              </w:rPr>
            </w:pPr>
            <w:r>
              <w:rPr>
                <w:rFonts w:ascii="仿宋_GB2312" w:hAnsi="仿宋_GB2312" w:hint="eastAsia"/>
                <w:szCs w:val="21"/>
              </w:rPr>
              <w:t>土地规划</w:t>
            </w:r>
          </w:p>
        </w:tc>
        <w:tc>
          <w:tcPr>
            <w:tcW w:w="302"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无</w:t>
            </w:r>
          </w:p>
        </w:tc>
        <w:tc>
          <w:tcPr>
            <w:tcW w:w="2831" w:type="pct"/>
            <w:vAlign w:val="center"/>
          </w:tcPr>
          <w:p w:rsidR="00786881" w:rsidRPr="00A61A83" w:rsidRDefault="00786881" w:rsidP="004C090C">
            <w:pPr>
              <w:rPr>
                <w:rFonts w:ascii="宋体" w:eastAsia="宋体" w:hAnsi="宋体"/>
                <w:color w:val="000000"/>
                <w:szCs w:val="21"/>
              </w:rPr>
            </w:pPr>
            <w:r w:rsidRPr="00D24D8A">
              <w:rPr>
                <w:rFonts w:ascii="宋体" w:eastAsia="宋体" w:hAnsi="宋体" w:hint="eastAsia"/>
                <w:color w:val="000000"/>
                <w:szCs w:val="21"/>
              </w:rPr>
              <w:t>土地规划：土地供应毫无疑问是前提，是首要的，充分的供应量是基本的保障。但是，以往市/区建设的一些安居房地处偏僻，交通不便，配套欠缺，市民多有微词，大家难以接受，反应不好。很多有住房需求/轮候的市民都无奈，有些只能放弃。由此还造成了一些空置，这是一种资源的浪费。</w:t>
            </w:r>
            <w:r w:rsidR="004C090C" w:rsidRPr="004C090C">
              <w:rPr>
                <w:rFonts w:ascii="宋体" w:eastAsia="宋体" w:hAnsi="宋体" w:hint="eastAsia"/>
                <w:b/>
                <w:color w:val="000000"/>
                <w:szCs w:val="21"/>
              </w:rPr>
              <w:t>(市民David Q.)</w:t>
            </w:r>
          </w:p>
        </w:tc>
        <w:tc>
          <w:tcPr>
            <w:tcW w:w="282" w:type="pct"/>
            <w:vAlign w:val="center"/>
          </w:tcPr>
          <w:p w:rsidR="00786881" w:rsidRDefault="00786881" w:rsidP="00795F6F">
            <w:pPr>
              <w:jc w:val="center"/>
              <w:rPr>
                <w:rFonts w:ascii="宋体" w:eastAsia="宋体" w:hAnsi="宋体"/>
                <w:szCs w:val="21"/>
              </w:rPr>
            </w:pPr>
            <w:r>
              <w:rPr>
                <w:rFonts w:ascii="宋体" w:eastAsia="宋体" w:hAnsi="宋体" w:hint="eastAsia"/>
                <w:szCs w:val="21"/>
              </w:rPr>
              <w:t>采纳</w:t>
            </w:r>
          </w:p>
        </w:tc>
        <w:tc>
          <w:tcPr>
            <w:tcW w:w="1023" w:type="pct"/>
            <w:vAlign w:val="center"/>
          </w:tcPr>
          <w:p w:rsidR="00786881" w:rsidRDefault="00786881" w:rsidP="00D609DD">
            <w:pPr>
              <w:rPr>
                <w:rFonts w:ascii="宋体" w:eastAsia="宋体" w:hAnsi="宋体"/>
                <w:szCs w:val="21"/>
              </w:rPr>
            </w:pPr>
            <w:r>
              <w:rPr>
                <w:rFonts w:ascii="宋体" w:eastAsia="宋体" w:hAnsi="宋体" w:hint="eastAsia"/>
                <w:szCs w:val="21"/>
              </w:rPr>
              <w:t>已在第六条明确住房建设类型确定的基本原则，要求充分考虑交通、配套设施等因素。</w:t>
            </w:r>
          </w:p>
        </w:tc>
      </w:tr>
      <w:tr w:rsidR="00786881" w:rsidRPr="00F87667" w:rsidTr="00D609DD">
        <w:trPr>
          <w:trHeight w:val="748"/>
        </w:trPr>
        <w:tc>
          <w:tcPr>
            <w:tcW w:w="183" w:type="pct"/>
            <w:vAlign w:val="center"/>
          </w:tcPr>
          <w:p w:rsidR="00786881" w:rsidRPr="00F87667" w:rsidRDefault="00786881" w:rsidP="00045294">
            <w:pPr>
              <w:jc w:val="center"/>
              <w:rPr>
                <w:rFonts w:ascii="仿宋_GB2312" w:hAnsi="仿宋_GB2312"/>
                <w:szCs w:val="21"/>
              </w:rPr>
            </w:pPr>
            <w:r>
              <w:rPr>
                <w:rFonts w:ascii="仿宋_GB2312" w:hAnsi="仿宋_GB2312" w:hint="eastAsia"/>
                <w:szCs w:val="21"/>
              </w:rPr>
              <w:t>11</w:t>
            </w:r>
          </w:p>
        </w:tc>
        <w:tc>
          <w:tcPr>
            <w:tcW w:w="379" w:type="pct"/>
            <w:vAlign w:val="center"/>
          </w:tcPr>
          <w:p w:rsidR="00786881" w:rsidRDefault="00786881" w:rsidP="00391D53">
            <w:pPr>
              <w:jc w:val="center"/>
              <w:rPr>
                <w:rFonts w:ascii="仿宋_GB2312" w:hAnsi="仿宋_GB2312"/>
                <w:szCs w:val="21"/>
              </w:rPr>
            </w:pPr>
            <w:r>
              <w:rPr>
                <w:rFonts w:ascii="仿宋_GB2312" w:hAnsi="仿宋_GB2312" w:hint="eastAsia"/>
                <w:szCs w:val="21"/>
              </w:rPr>
              <w:t>工业</w:t>
            </w:r>
            <w:proofErr w:type="gramStart"/>
            <w:r>
              <w:rPr>
                <w:rFonts w:ascii="仿宋_GB2312" w:hAnsi="仿宋_GB2312" w:hint="eastAsia"/>
                <w:szCs w:val="21"/>
              </w:rPr>
              <w:t>区块线</w:t>
            </w:r>
            <w:proofErr w:type="gramEnd"/>
          </w:p>
        </w:tc>
        <w:tc>
          <w:tcPr>
            <w:tcW w:w="302" w:type="pct"/>
            <w:vAlign w:val="center"/>
          </w:tcPr>
          <w:p w:rsidR="00786881" w:rsidRDefault="00786881" w:rsidP="00391D53">
            <w:pPr>
              <w:jc w:val="center"/>
              <w:rPr>
                <w:rFonts w:ascii="仿宋_GB2312" w:hAnsi="仿宋_GB2312"/>
                <w:szCs w:val="21"/>
              </w:rPr>
            </w:pPr>
            <w:r>
              <w:rPr>
                <w:rFonts w:ascii="仿宋_GB2312" w:hAnsi="仿宋_GB2312" w:hint="eastAsia"/>
                <w:szCs w:val="21"/>
              </w:rPr>
              <w:t>无</w:t>
            </w:r>
          </w:p>
        </w:tc>
        <w:tc>
          <w:tcPr>
            <w:tcW w:w="2831" w:type="pct"/>
            <w:vAlign w:val="center"/>
          </w:tcPr>
          <w:p w:rsidR="00786881" w:rsidRPr="00814C5D" w:rsidRDefault="00786881" w:rsidP="00814C5D">
            <w:pPr>
              <w:rPr>
                <w:rFonts w:ascii="宋体" w:eastAsia="宋体" w:hAnsi="宋体"/>
                <w:color w:val="000000"/>
                <w:szCs w:val="21"/>
              </w:rPr>
            </w:pPr>
            <w:r w:rsidRPr="00814C5D">
              <w:rPr>
                <w:rFonts w:ascii="宋体" w:eastAsia="宋体" w:hAnsi="宋体" w:hint="eastAsia"/>
                <w:color w:val="000000"/>
                <w:szCs w:val="21"/>
              </w:rPr>
              <w:t>该暂行规定请处在工业</w:t>
            </w:r>
            <w:proofErr w:type="gramStart"/>
            <w:r w:rsidRPr="00814C5D">
              <w:rPr>
                <w:rFonts w:ascii="宋体" w:eastAsia="宋体" w:hAnsi="宋体" w:hint="eastAsia"/>
                <w:color w:val="000000"/>
                <w:szCs w:val="21"/>
              </w:rPr>
              <w:t>区块线</w:t>
            </w:r>
            <w:proofErr w:type="gramEnd"/>
            <w:r w:rsidRPr="00814C5D">
              <w:rPr>
                <w:rFonts w:ascii="宋体" w:eastAsia="宋体" w:hAnsi="宋体" w:hint="eastAsia"/>
                <w:color w:val="000000"/>
                <w:szCs w:val="21"/>
              </w:rPr>
              <w:t>的已批未建用地或已建成的用地，企业单位主动申请安居房用地规划，政府支持将该地调出工业区块线。</w:t>
            </w:r>
          </w:p>
          <w:p w:rsidR="00786881" w:rsidRPr="00814C5D" w:rsidRDefault="00786881" w:rsidP="00814C5D">
            <w:pPr>
              <w:rPr>
                <w:rFonts w:ascii="宋体" w:eastAsia="宋体" w:hAnsi="宋体"/>
                <w:color w:val="000000"/>
                <w:szCs w:val="21"/>
              </w:rPr>
            </w:pPr>
            <w:r w:rsidRPr="00814C5D">
              <w:rPr>
                <w:rFonts w:ascii="宋体" w:eastAsia="宋体" w:hAnsi="宋体" w:hint="eastAsia"/>
                <w:color w:val="000000"/>
                <w:szCs w:val="21"/>
              </w:rPr>
              <w:t>建议将在地铁站1000米或需要建设配套住宅的工业</w:t>
            </w:r>
            <w:proofErr w:type="gramStart"/>
            <w:r>
              <w:rPr>
                <w:rFonts w:ascii="宋体" w:eastAsia="宋体" w:hAnsi="宋体" w:hint="eastAsia"/>
                <w:color w:val="000000"/>
                <w:szCs w:val="21"/>
              </w:rPr>
              <w:t>区块线</w:t>
            </w:r>
            <w:proofErr w:type="gramEnd"/>
            <w:r w:rsidRPr="00814C5D">
              <w:rPr>
                <w:rFonts w:ascii="宋体" w:eastAsia="宋体" w:hAnsi="宋体" w:hint="eastAsia"/>
                <w:color w:val="000000"/>
                <w:szCs w:val="21"/>
              </w:rPr>
              <w:t>内用地企业，划入政府支持纳入供地规划范围，否则该暂行规定将限制大部分企业用地的参入。</w:t>
            </w:r>
          </w:p>
          <w:p w:rsidR="00786881" w:rsidRDefault="00786881" w:rsidP="00814C5D">
            <w:pPr>
              <w:rPr>
                <w:rFonts w:ascii="宋体" w:eastAsia="宋体" w:hAnsi="宋体"/>
                <w:color w:val="000000"/>
                <w:szCs w:val="21"/>
              </w:rPr>
            </w:pPr>
            <w:r w:rsidRPr="00814C5D">
              <w:rPr>
                <w:rFonts w:ascii="宋体" w:eastAsia="宋体" w:hAnsi="宋体" w:hint="eastAsia"/>
                <w:color w:val="000000"/>
                <w:szCs w:val="21"/>
              </w:rPr>
              <w:t>建议市政府对此暂行规定对</w:t>
            </w:r>
            <w:proofErr w:type="gramStart"/>
            <w:r w:rsidRPr="00814C5D">
              <w:rPr>
                <w:rFonts w:ascii="宋体" w:eastAsia="宋体" w:hAnsi="宋体" w:hint="eastAsia"/>
                <w:color w:val="000000"/>
                <w:szCs w:val="21"/>
              </w:rPr>
              <w:t>区块线</w:t>
            </w:r>
            <w:proofErr w:type="gramEnd"/>
            <w:r w:rsidRPr="00814C5D">
              <w:rPr>
                <w:rFonts w:ascii="宋体" w:eastAsia="宋体" w:hAnsi="宋体" w:hint="eastAsia"/>
                <w:color w:val="000000"/>
                <w:szCs w:val="21"/>
              </w:rPr>
              <w:t>内用地及所有企业单位支持征地的地块按40%的商品住宅、60%的安居房用地规划，这样作用会好转些。</w:t>
            </w:r>
          </w:p>
          <w:p w:rsidR="00786881" w:rsidRPr="00A61A83" w:rsidRDefault="00786881" w:rsidP="00814C5D">
            <w:pPr>
              <w:rPr>
                <w:rFonts w:ascii="宋体" w:eastAsia="宋体" w:hAnsi="宋体"/>
                <w:color w:val="000000"/>
                <w:szCs w:val="21"/>
              </w:rPr>
            </w:pPr>
            <w:r w:rsidRPr="00814C5D">
              <w:rPr>
                <w:rFonts w:ascii="宋体" w:eastAsia="宋体" w:hAnsi="宋体" w:hint="eastAsia"/>
                <w:b/>
                <w:color w:val="000000"/>
                <w:szCs w:val="21"/>
              </w:rPr>
              <w:t>（</w:t>
            </w:r>
            <w:r>
              <w:rPr>
                <w:rFonts w:ascii="宋体" w:eastAsia="宋体" w:hAnsi="宋体" w:hint="eastAsia"/>
                <w:b/>
                <w:color w:val="000000"/>
                <w:szCs w:val="21"/>
              </w:rPr>
              <w:t>市民</w:t>
            </w:r>
            <w:r w:rsidRPr="00814C5D">
              <w:rPr>
                <w:rFonts w:ascii="宋体" w:eastAsia="宋体" w:hAnsi="宋体"/>
                <w:b/>
                <w:color w:val="000000"/>
                <w:szCs w:val="21"/>
              </w:rPr>
              <w:t>13528824773@126.com</w:t>
            </w:r>
            <w:r w:rsidRPr="00814C5D">
              <w:rPr>
                <w:rFonts w:ascii="宋体" w:eastAsia="宋体" w:hAnsi="宋体" w:hint="eastAsia"/>
                <w:b/>
                <w:color w:val="000000"/>
                <w:szCs w:val="21"/>
              </w:rPr>
              <w:t>）</w:t>
            </w:r>
          </w:p>
        </w:tc>
        <w:tc>
          <w:tcPr>
            <w:tcW w:w="282" w:type="pct"/>
            <w:vAlign w:val="center"/>
          </w:tcPr>
          <w:p w:rsidR="00786881" w:rsidRDefault="00786881" w:rsidP="00795F6F">
            <w:pPr>
              <w:jc w:val="center"/>
              <w:rPr>
                <w:rFonts w:ascii="宋体" w:eastAsia="宋体" w:hAnsi="宋体"/>
                <w:szCs w:val="21"/>
              </w:rPr>
            </w:pPr>
            <w:r>
              <w:rPr>
                <w:rFonts w:ascii="宋体" w:eastAsia="宋体" w:hAnsi="宋体" w:hint="eastAsia"/>
                <w:szCs w:val="21"/>
              </w:rPr>
              <w:t>解释</w:t>
            </w:r>
          </w:p>
        </w:tc>
        <w:tc>
          <w:tcPr>
            <w:tcW w:w="1023" w:type="pct"/>
            <w:vAlign w:val="center"/>
          </w:tcPr>
          <w:p w:rsidR="00786881" w:rsidRDefault="00786881" w:rsidP="00D609DD">
            <w:pPr>
              <w:rPr>
                <w:rFonts w:ascii="宋体" w:eastAsia="宋体" w:hAnsi="宋体"/>
                <w:szCs w:val="21"/>
              </w:rPr>
            </w:pPr>
            <w:r>
              <w:rPr>
                <w:rFonts w:ascii="宋体" w:eastAsia="宋体" w:hAnsi="宋体" w:hint="eastAsia"/>
                <w:szCs w:val="21"/>
              </w:rPr>
              <w:t>产业是城市发展的基石，工业</w:t>
            </w:r>
            <w:proofErr w:type="gramStart"/>
            <w:r>
              <w:rPr>
                <w:rFonts w:ascii="宋体" w:eastAsia="宋体" w:hAnsi="宋体" w:hint="eastAsia"/>
                <w:szCs w:val="21"/>
              </w:rPr>
              <w:t>区块线</w:t>
            </w:r>
            <w:proofErr w:type="gramEnd"/>
            <w:r>
              <w:rPr>
                <w:rFonts w:ascii="宋体" w:eastAsia="宋体" w:hAnsi="宋体" w:hint="eastAsia"/>
                <w:szCs w:val="21"/>
              </w:rPr>
              <w:t>内工业用地是我市产业长远发展的重要保障。因此，暂行规定明确工业</w:t>
            </w:r>
            <w:proofErr w:type="gramStart"/>
            <w:r>
              <w:rPr>
                <w:rFonts w:ascii="宋体" w:eastAsia="宋体" w:hAnsi="宋体" w:hint="eastAsia"/>
                <w:szCs w:val="21"/>
              </w:rPr>
              <w:t>区块线</w:t>
            </w:r>
            <w:proofErr w:type="gramEnd"/>
            <w:r>
              <w:rPr>
                <w:rFonts w:ascii="宋体" w:eastAsia="宋体" w:hAnsi="宋体" w:hint="eastAsia"/>
                <w:szCs w:val="21"/>
              </w:rPr>
              <w:t>内的，从其规定。</w:t>
            </w:r>
          </w:p>
        </w:tc>
      </w:tr>
      <w:tr w:rsidR="00786881" w:rsidRPr="00F87667" w:rsidTr="00D609DD">
        <w:trPr>
          <w:trHeight w:val="748"/>
        </w:trPr>
        <w:tc>
          <w:tcPr>
            <w:tcW w:w="183" w:type="pct"/>
            <w:vAlign w:val="center"/>
          </w:tcPr>
          <w:p w:rsidR="00786881" w:rsidRPr="00F87667" w:rsidRDefault="00786881" w:rsidP="00045294">
            <w:pPr>
              <w:jc w:val="center"/>
              <w:rPr>
                <w:rFonts w:ascii="仿宋_GB2312" w:hAnsi="仿宋_GB2312"/>
                <w:szCs w:val="21"/>
              </w:rPr>
            </w:pPr>
            <w:r>
              <w:rPr>
                <w:rFonts w:ascii="仿宋_GB2312" w:hAnsi="仿宋_GB2312" w:hint="eastAsia"/>
                <w:szCs w:val="21"/>
              </w:rPr>
              <w:t>12</w:t>
            </w:r>
          </w:p>
        </w:tc>
        <w:tc>
          <w:tcPr>
            <w:tcW w:w="379"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其他</w:t>
            </w:r>
          </w:p>
        </w:tc>
        <w:tc>
          <w:tcPr>
            <w:tcW w:w="302" w:type="pct"/>
            <w:vAlign w:val="center"/>
          </w:tcPr>
          <w:p w:rsidR="00786881" w:rsidRPr="00F87667" w:rsidRDefault="00786881" w:rsidP="00391D53">
            <w:pPr>
              <w:jc w:val="center"/>
              <w:rPr>
                <w:rFonts w:ascii="仿宋_GB2312" w:hAnsi="仿宋_GB2312"/>
                <w:szCs w:val="21"/>
              </w:rPr>
            </w:pPr>
            <w:r>
              <w:rPr>
                <w:rFonts w:ascii="仿宋_GB2312" w:hAnsi="仿宋_GB2312" w:hint="eastAsia"/>
                <w:szCs w:val="21"/>
              </w:rPr>
              <w:t>无</w:t>
            </w:r>
          </w:p>
        </w:tc>
        <w:tc>
          <w:tcPr>
            <w:tcW w:w="2831" w:type="pct"/>
            <w:vAlign w:val="center"/>
          </w:tcPr>
          <w:p w:rsidR="00786881" w:rsidRPr="00A61A83" w:rsidRDefault="00786881" w:rsidP="00D609DD">
            <w:pPr>
              <w:rPr>
                <w:rFonts w:ascii="宋体" w:eastAsia="宋体" w:hAnsi="宋体"/>
                <w:color w:val="000000"/>
                <w:szCs w:val="21"/>
              </w:rPr>
            </w:pPr>
            <w:r w:rsidRPr="00A61A83">
              <w:rPr>
                <w:rFonts w:ascii="宋体" w:eastAsia="宋体" w:hAnsi="宋体" w:hint="eastAsia"/>
                <w:color w:val="000000"/>
                <w:szCs w:val="21"/>
              </w:rPr>
              <w:t>公司2015年12月份纳入深圳市城市更新单元计划第五批计划，单元名称：三金科技园。 目前尚未通过工改工专项规划审批。</w:t>
            </w:r>
          </w:p>
          <w:p w:rsidR="00786881" w:rsidRPr="00F04AAA" w:rsidRDefault="00786881" w:rsidP="00D609DD">
            <w:pPr>
              <w:rPr>
                <w:rFonts w:ascii="宋体" w:eastAsia="宋体" w:hAnsi="宋体"/>
                <w:color w:val="000000"/>
                <w:szCs w:val="21"/>
              </w:rPr>
            </w:pPr>
            <w:r w:rsidRPr="00A61A83">
              <w:rPr>
                <w:rFonts w:ascii="宋体" w:eastAsia="宋体" w:hAnsi="宋体" w:hint="eastAsia"/>
                <w:color w:val="000000"/>
                <w:szCs w:val="21"/>
              </w:rPr>
              <w:t>我们地块位于龙岗区平湖街道办，用地面积44003m²，建议领导允许我们通过专项规划研究，在保持项目范围内工业用地一定比例增量的</w:t>
            </w:r>
            <w:r w:rsidRPr="00A61A83">
              <w:rPr>
                <w:rFonts w:ascii="宋体" w:eastAsia="宋体" w:hAnsi="宋体" w:hint="eastAsia"/>
                <w:color w:val="000000"/>
                <w:szCs w:val="21"/>
              </w:rPr>
              <w:lastRenderedPageBreak/>
              <w:t>情况下，剩余土地用于建设公共住房，按政府相关政策执行。 这样可以改善我们的工业用地，为产业升级创造条件；也为政府公共住房的建设增加供应。</w:t>
            </w:r>
            <w:r w:rsidRPr="003B4F55">
              <w:rPr>
                <w:rFonts w:ascii="宋体" w:eastAsia="宋体" w:hAnsi="宋体" w:hint="eastAsia"/>
                <w:b/>
                <w:color w:val="000000"/>
                <w:szCs w:val="21"/>
              </w:rPr>
              <w:t>（深圳市联创三旺电器有限公司的股东李晓川）</w:t>
            </w:r>
            <w:r w:rsidRPr="00A61A83">
              <w:rPr>
                <w:rFonts w:ascii="宋体" w:eastAsia="宋体" w:hAnsi="宋体"/>
                <w:color w:val="000000"/>
                <w:szCs w:val="21"/>
              </w:rPr>
              <w:t xml:space="preserve"> </w:t>
            </w:r>
          </w:p>
        </w:tc>
        <w:tc>
          <w:tcPr>
            <w:tcW w:w="282" w:type="pct"/>
            <w:vAlign w:val="center"/>
          </w:tcPr>
          <w:p w:rsidR="00786881" w:rsidRDefault="00786881" w:rsidP="00795F6F">
            <w:pPr>
              <w:jc w:val="center"/>
              <w:rPr>
                <w:rFonts w:ascii="宋体" w:eastAsia="宋体" w:hAnsi="宋体"/>
                <w:szCs w:val="21"/>
              </w:rPr>
            </w:pPr>
            <w:r>
              <w:rPr>
                <w:rFonts w:ascii="宋体" w:eastAsia="宋体" w:hAnsi="宋体" w:hint="eastAsia"/>
                <w:szCs w:val="21"/>
              </w:rPr>
              <w:lastRenderedPageBreak/>
              <w:t>解释</w:t>
            </w:r>
          </w:p>
        </w:tc>
        <w:tc>
          <w:tcPr>
            <w:tcW w:w="1023" w:type="pct"/>
            <w:vAlign w:val="center"/>
          </w:tcPr>
          <w:p w:rsidR="00786881" w:rsidRDefault="00EA72BF" w:rsidP="00EA72BF">
            <w:pPr>
              <w:rPr>
                <w:rFonts w:ascii="宋体" w:eastAsia="宋体" w:hAnsi="宋体"/>
                <w:szCs w:val="21"/>
              </w:rPr>
            </w:pPr>
            <w:r>
              <w:rPr>
                <w:rFonts w:ascii="宋体" w:eastAsia="宋体" w:hAnsi="宋体" w:hint="eastAsia"/>
                <w:szCs w:val="21"/>
              </w:rPr>
              <w:t>已纳入城市更新单元计划的按城市更新相关政策执行</w:t>
            </w:r>
            <w:r w:rsidR="00786881">
              <w:rPr>
                <w:rFonts w:ascii="宋体" w:eastAsia="宋体" w:hAnsi="宋体" w:hint="eastAsia"/>
                <w:szCs w:val="21"/>
              </w:rPr>
              <w:t>。</w:t>
            </w:r>
          </w:p>
        </w:tc>
      </w:tr>
    </w:tbl>
    <w:p w:rsidR="004861DB" w:rsidRPr="00EA72BF" w:rsidRDefault="004861DB" w:rsidP="004B1606">
      <w:pPr>
        <w:jc w:val="center"/>
        <w:rPr>
          <w:rFonts w:ascii="仿宋_GB2312" w:hAnsi="仿宋_GB2312"/>
          <w:szCs w:val="21"/>
        </w:rPr>
      </w:pPr>
    </w:p>
    <w:sectPr w:rsidR="004861DB" w:rsidRPr="00EA72BF" w:rsidSect="003A78A2">
      <w:pgSz w:w="23814" w:h="16839" w:orient="landscape" w:code="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87" w:rsidRDefault="00D87587" w:rsidP="0058220E">
      <w:r>
        <w:separator/>
      </w:r>
    </w:p>
  </w:endnote>
  <w:endnote w:type="continuationSeparator" w:id="0">
    <w:p w:rsidR="00D87587" w:rsidRDefault="00D87587" w:rsidP="0058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87" w:rsidRDefault="00D87587" w:rsidP="0058220E">
      <w:r>
        <w:separator/>
      </w:r>
    </w:p>
  </w:footnote>
  <w:footnote w:type="continuationSeparator" w:id="0">
    <w:p w:rsidR="00D87587" w:rsidRDefault="00D87587" w:rsidP="00582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1C1"/>
    <w:multiLevelType w:val="hybridMultilevel"/>
    <w:tmpl w:val="F9B67034"/>
    <w:lvl w:ilvl="0" w:tplc="5DC6F7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5E01DB"/>
    <w:multiLevelType w:val="hybridMultilevel"/>
    <w:tmpl w:val="47AE6832"/>
    <w:lvl w:ilvl="0" w:tplc="C0843FC2">
      <w:start w:val="1"/>
      <w:numFmt w:val="japaneseCounting"/>
      <w:lvlText w:val="%1、"/>
      <w:lvlJc w:val="left"/>
      <w:pPr>
        <w:ind w:left="420" w:hanging="420"/>
      </w:pPr>
      <w:rPr>
        <w:lang w:val="en-US"/>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FA54F5D"/>
    <w:multiLevelType w:val="hybridMultilevel"/>
    <w:tmpl w:val="21E47A3C"/>
    <w:lvl w:ilvl="0" w:tplc="5E042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1266D5"/>
    <w:multiLevelType w:val="hybridMultilevel"/>
    <w:tmpl w:val="B0426006"/>
    <w:lvl w:ilvl="0" w:tplc="4D70282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9987243"/>
    <w:multiLevelType w:val="hybridMultilevel"/>
    <w:tmpl w:val="0FBCDA28"/>
    <w:lvl w:ilvl="0" w:tplc="FAC4B4EA">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72A21446"/>
    <w:multiLevelType w:val="hybridMultilevel"/>
    <w:tmpl w:val="7214D52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32806C4"/>
    <w:multiLevelType w:val="hybridMultilevel"/>
    <w:tmpl w:val="930A68CE"/>
    <w:lvl w:ilvl="0" w:tplc="B3BEF6D2">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792C514E"/>
    <w:multiLevelType w:val="hybridMultilevel"/>
    <w:tmpl w:val="7214D52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5"/>
    <w:rsid w:val="00020593"/>
    <w:rsid w:val="00033163"/>
    <w:rsid w:val="00041AAD"/>
    <w:rsid w:val="0004233F"/>
    <w:rsid w:val="000429F6"/>
    <w:rsid w:val="00055CCA"/>
    <w:rsid w:val="00055FAE"/>
    <w:rsid w:val="00061269"/>
    <w:rsid w:val="000617C5"/>
    <w:rsid w:val="0006754B"/>
    <w:rsid w:val="000737F6"/>
    <w:rsid w:val="00073FE2"/>
    <w:rsid w:val="00090153"/>
    <w:rsid w:val="000A1883"/>
    <w:rsid w:val="000A443C"/>
    <w:rsid w:val="000A662C"/>
    <w:rsid w:val="000A783C"/>
    <w:rsid w:val="000B1677"/>
    <w:rsid w:val="000B26AE"/>
    <w:rsid w:val="000B69EB"/>
    <w:rsid w:val="000B7082"/>
    <w:rsid w:val="000C077E"/>
    <w:rsid w:val="000F0E7D"/>
    <w:rsid w:val="00113C4D"/>
    <w:rsid w:val="00137F89"/>
    <w:rsid w:val="0014001E"/>
    <w:rsid w:val="00140EFF"/>
    <w:rsid w:val="00147D33"/>
    <w:rsid w:val="0015204C"/>
    <w:rsid w:val="00160D97"/>
    <w:rsid w:val="00163892"/>
    <w:rsid w:val="0016779F"/>
    <w:rsid w:val="00172538"/>
    <w:rsid w:val="001A27FF"/>
    <w:rsid w:val="001B00F5"/>
    <w:rsid w:val="001F533F"/>
    <w:rsid w:val="002028C9"/>
    <w:rsid w:val="0021539E"/>
    <w:rsid w:val="00216AA0"/>
    <w:rsid w:val="00217308"/>
    <w:rsid w:val="00223080"/>
    <w:rsid w:val="002259B9"/>
    <w:rsid w:val="00227422"/>
    <w:rsid w:val="0023086C"/>
    <w:rsid w:val="002323C9"/>
    <w:rsid w:val="0023311E"/>
    <w:rsid w:val="00240182"/>
    <w:rsid w:val="00240673"/>
    <w:rsid w:val="00267EAB"/>
    <w:rsid w:val="00281ADF"/>
    <w:rsid w:val="0028447A"/>
    <w:rsid w:val="002873DC"/>
    <w:rsid w:val="00291803"/>
    <w:rsid w:val="00297682"/>
    <w:rsid w:val="002A0F10"/>
    <w:rsid w:val="002C40A8"/>
    <w:rsid w:val="002D2411"/>
    <w:rsid w:val="002D6DAA"/>
    <w:rsid w:val="002F049B"/>
    <w:rsid w:val="003004E9"/>
    <w:rsid w:val="00307796"/>
    <w:rsid w:val="00307B87"/>
    <w:rsid w:val="003149A0"/>
    <w:rsid w:val="003258F9"/>
    <w:rsid w:val="00342894"/>
    <w:rsid w:val="00360D04"/>
    <w:rsid w:val="00366CA0"/>
    <w:rsid w:val="003704AF"/>
    <w:rsid w:val="00371D4F"/>
    <w:rsid w:val="003769D3"/>
    <w:rsid w:val="00391D53"/>
    <w:rsid w:val="003A78A2"/>
    <w:rsid w:val="003B0154"/>
    <w:rsid w:val="003B4987"/>
    <w:rsid w:val="003B4F55"/>
    <w:rsid w:val="003C420D"/>
    <w:rsid w:val="003C4D61"/>
    <w:rsid w:val="003C5AEE"/>
    <w:rsid w:val="003D00F3"/>
    <w:rsid w:val="003D6008"/>
    <w:rsid w:val="0040455C"/>
    <w:rsid w:val="0040588A"/>
    <w:rsid w:val="0041096D"/>
    <w:rsid w:val="00410FF4"/>
    <w:rsid w:val="0041290B"/>
    <w:rsid w:val="004172F1"/>
    <w:rsid w:val="00430059"/>
    <w:rsid w:val="00435B85"/>
    <w:rsid w:val="0044163E"/>
    <w:rsid w:val="00443906"/>
    <w:rsid w:val="00444CA3"/>
    <w:rsid w:val="00445B7E"/>
    <w:rsid w:val="00454098"/>
    <w:rsid w:val="004545D9"/>
    <w:rsid w:val="0045585A"/>
    <w:rsid w:val="00467ECB"/>
    <w:rsid w:val="00474C38"/>
    <w:rsid w:val="0047539D"/>
    <w:rsid w:val="004807AF"/>
    <w:rsid w:val="004861DB"/>
    <w:rsid w:val="0049617E"/>
    <w:rsid w:val="004B1107"/>
    <w:rsid w:val="004B1606"/>
    <w:rsid w:val="004C090C"/>
    <w:rsid w:val="004C18BD"/>
    <w:rsid w:val="004D719B"/>
    <w:rsid w:val="004F5818"/>
    <w:rsid w:val="00510206"/>
    <w:rsid w:val="005121E1"/>
    <w:rsid w:val="0051422F"/>
    <w:rsid w:val="00520A27"/>
    <w:rsid w:val="00536D2A"/>
    <w:rsid w:val="0053766E"/>
    <w:rsid w:val="005601A0"/>
    <w:rsid w:val="005743CB"/>
    <w:rsid w:val="00575B3E"/>
    <w:rsid w:val="00576AF4"/>
    <w:rsid w:val="0058220E"/>
    <w:rsid w:val="0058729E"/>
    <w:rsid w:val="0059045F"/>
    <w:rsid w:val="005A56E3"/>
    <w:rsid w:val="005A720B"/>
    <w:rsid w:val="005B2FB7"/>
    <w:rsid w:val="005B6441"/>
    <w:rsid w:val="005B7D29"/>
    <w:rsid w:val="005C182D"/>
    <w:rsid w:val="005C6275"/>
    <w:rsid w:val="005F12FF"/>
    <w:rsid w:val="005F14E3"/>
    <w:rsid w:val="005F591E"/>
    <w:rsid w:val="005F5A0B"/>
    <w:rsid w:val="00603435"/>
    <w:rsid w:val="00605913"/>
    <w:rsid w:val="006060CD"/>
    <w:rsid w:val="0060772F"/>
    <w:rsid w:val="00614B23"/>
    <w:rsid w:val="006314B7"/>
    <w:rsid w:val="00631785"/>
    <w:rsid w:val="006375FE"/>
    <w:rsid w:val="00650ABA"/>
    <w:rsid w:val="00651EEA"/>
    <w:rsid w:val="0068131E"/>
    <w:rsid w:val="00681A15"/>
    <w:rsid w:val="00683D16"/>
    <w:rsid w:val="00695877"/>
    <w:rsid w:val="006A0BFF"/>
    <w:rsid w:val="006B0BC7"/>
    <w:rsid w:val="006B6B38"/>
    <w:rsid w:val="006C0549"/>
    <w:rsid w:val="006C065F"/>
    <w:rsid w:val="006C6723"/>
    <w:rsid w:val="006D1CB6"/>
    <w:rsid w:val="006D4DA6"/>
    <w:rsid w:val="006F6185"/>
    <w:rsid w:val="006F6698"/>
    <w:rsid w:val="00727F12"/>
    <w:rsid w:val="007301B1"/>
    <w:rsid w:val="00730FD5"/>
    <w:rsid w:val="007324BC"/>
    <w:rsid w:val="00755B1C"/>
    <w:rsid w:val="00765BFD"/>
    <w:rsid w:val="0077692C"/>
    <w:rsid w:val="00777481"/>
    <w:rsid w:val="007821D2"/>
    <w:rsid w:val="00786881"/>
    <w:rsid w:val="00795F6F"/>
    <w:rsid w:val="00797378"/>
    <w:rsid w:val="00797B2D"/>
    <w:rsid w:val="007A1507"/>
    <w:rsid w:val="007A22B6"/>
    <w:rsid w:val="007C2A11"/>
    <w:rsid w:val="007C4CA2"/>
    <w:rsid w:val="007D0549"/>
    <w:rsid w:val="007D2C8D"/>
    <w:rsid w:val="007E48F9"/>
    <w:rsid w:val="007F16BD"/>
    <w:rsid w:val="007F2256"/>
    <w:rsid w:val="0080224E"/>
    <w:rsid w:val="00814C5D"/>
    <w:rsid w:val="008270D2"/>
    <w:rsid w:val="008364E9"/>
    <w:rsid w:val="008406A9"/>
    <w:rsid w:val="0084075C"/>
    <w:rsid w:val="00841A6C"/>
    <w:rsid w:val="00846F1B"/>
    <w:rsid w:val="00847CEA"/>
    <w:rsid w:val="00860321"/>
    <w:rsid w:val="00861BA7"/>
    <w:rsid w:val="0087592C"/>
    <w:rsid w:val="00886AA0"/>
    <w:rsid w:val="008948AA"/>
    <w:rsid w:val="00895323"/>
    <w:rsid w:val="00895D41"/>
    <w:rsid w:val="00896B7C"/>
    <w:rsid w:val="008A2593"/>
    <w:rsid w:val="008B3793"/>
    <w:rsid w:val="008B7B7E"/>
    <w:rsid w:val="008C294A"/>
    <w:rsid w:val="008D29EC"/>
    <w:rsid w:val="008D3081"/>
    <w:rsid w:val="008D65FA"/>
    <w:rsid w:val="008E22A3"/>
    <w:rsid w:val="008E2EB9"/>
    <w:rsid w:val="008E48DB"/>
    <w:rsid w:val="008F3334"/>
    <w:rsid w:val="009021B2"/>
    <w:rsid w:val="00922788"/>
    <w:rsid w:val="009276DA"/>
    <w:rsid w:val="00947AD7"/>
    <w:rsid w:val="009672C8"/>
    <w:rsid w:val="009809FB"/>
    <w:rsid w:val="00987ACD"/>
    <w:rsid w:val="00992E96"/>
    <w:rsid w:val="00993B4C"/>
    <w:rsid w:val="009A378A"/>
    <w:rsid w:val="009A6038"/>
    <w:rsid w:val="009C2CCD"/>
    <w:rsid w:val="009C3BD0"/>
    <w:rsid w:val="009C4938"/>
    <w:rsid w:val="009C4F1E"/>
    <w:rsid w:val="009D5F33"/>
    <w:rsid w:val="009E42B6"/>
    <w:rsid w:val="00A016D0"/>
    <w:rsid w:val="00A026AA"/>
    <w:rsid w:val="00A049A8"/>
    <w:rsid w:val="00A0787F"/>
    <w:rsid w:val="00A154C4"/>
    <w:rsid w:val="00A17CA4"/>
    <w:rsid w:val="00A30445"/>
    <w:rsid w:val="00A30F12"/>
    <w:rsid w:val="00A32DA5"/>
    <w:rsid w:val="00A33751"/>
    <w:rsid w:val="00A43B33"/>
    <w:rsid w:val="00A45BDA"/>
    <w:rsid w:val="00A61A83"/>
    <w:rsid w:val="00A673E7"/>
    <w:rsid w:val="00A7409D"/>
    <w:rsid w:val="00A843D4"/>
    <w:rsid w:val="00A8738F"/>
    <w:rsid w:val="00A9209D"/>
    <w:rsid w:val="00AB16F8"/>
    <w:rsid w:val="00AB704A"/>
    <w:rsid w:val="00AC205D"/>
    <w:rsid w:val="00AC2C9E"/>
    <w:rsid w:val="00AD4E5D"/>
    <w:rsid w:val="00AE0742"/>
    <w:rsid w:val="00AF1E1D"/>
    <w:rsid w:val="00AF3617"/>
    <w:rsid w:val="00AF6DF8"/>
    <w:rsid w:val="00B115B6"/>
    <w:rsid w:val="00B11E5C"/>
    <w:rsid w:val="00B150B2"/>
    <w:rsid w:val="00B171BA"/>
    <w:rsid w:val="00B25B04"/>
    <w:rsid w:val="00B327B9"/>
    <w:rsid w:val="00B336BE"/>
    <w:rsid w:val="00B374B7"/>
    <w:rsid w:val="00B40010"/>
    <w:rsid w:val="00B43E78"/>
    <w:rsid w:val="00B51F82"/>
    <w:rsid w:val="00B73DDE"/>
    <w:rsid w:val="00B7555D"/>
    <w:rsid w:val="00B8260E"/>
    <w:rsid w:val="00B840E7"/>
    <w:rsid w:val="00B86DA4"/>
    <w:rsid w:val="00B92633"/>
    <w:rsid w:val="00B9376E"/>
    <w:rsid w:val="00B97B7C"/>
    <w:rsid w:val="00BA0821"/>
    <w:rsid w:val="00BA18F3"/>
    <w:rsid w:val="00BB0F25"/>
    <w:rsid w:val="00BB1DE6"/>
    <w:rsid w:val="00BB22B9"/>
    <w:rsid w:val="00BB5E99"/>
    <w:rsid w:val="00BC60F4"/>
    <w:rsid w:val="00BD11EC"/>
    <w:rsid w:val="00BD5A39"/>
    <w:rsid w:val="00BD5A7E"/>
    <w:rsid w:val="00C033B7"/>
    <w:rsid w:val="00C357D7"/>
    <w:rsid w:val="00C36048"/>
    <w:rsid w:val="00C371D0"/>
    <w:rsid w:val="00C442AF"/>
    <w:rsid w:val="00C46923"/>
    <w:rsid w:val="00C47F0C"/>
    <w:rsid w:val="00C57A24"/>
    <w:rsid w:val="00C70969"/>
    <w:rsid w:val="00C759FF"/>
    <w:rsid w:val="00C8415E"/>
    <w:rsid w:val="00C90BA9"/>
    <w:rsid w:val="00C9701A"/>
    <w:rsid w:val="00CA7786"/>
    <w:rsid w:val="00CB4654"/>
    <w:rsid w:val="00CC6A2A"/>
    <w:rsid w:val="00CC7420"/>
    <w:rsid w:val="00CD1059"/>
    <w:rsid w:val="00CD647B"/>
    <w:rsid w:val="00CE4741"/>
    <w:rsid w:val="00CE6F78"/>
    <w:rsid w:val="00D003E9"/>
    <w:rsid w:val="00D11663"/>
    <w:rsid w:val="00D1287C"/>
    <w:rsid w:val="00D14F7D"/>
    <w:rsid w:val="00D1683F"/>
    <w:rsid w:val="00D22169"/>
    <w:rsid w:val="00D24D8A"/>
    <w:rsid w:val="00D26CE1"/>
    <w:rsid w:val="00D30A27"/>
    <w:rsid w:val="00D35542"/>
    <w:rsid w:val="00D3688B"/>
    <w:rsid w:val="00D4075B"/>
    <w:rsid w:val="00D44B22"/>
    <w:rsid w:val="00D46D6F"/>
    <w:rsid w:val="00D520F7"/>
    <w:rsid w:val="00D601D3"/>
    <w:rsid w:val="00D60258"/>
    <w:rsid w:val="00D609DD"/>
    <w:rsid w:val="00D64988"/>
    <w:rsid w:val="00D660AE"/>
    <w:rsid w:val="00D7566D"/>
    <w:rsid w:val="00D83649"/>
    <w:rsid w:val="00D87587"/>
    <w:rsid w:val="00DB2944"/>
    <w:rsid w:val="00DB40E1"/>
    <w:rsid w:val="00DC36B3"/>
    <w:rsid w:val="00DC546F"/>
    <w:rsid w:val="00DD4F1D"/>
    <w:rsid w:val="00DD51AC"/>
    <w:rsid w:val="00DD6A98"/>
    <w:rsid w:val="00DD6E70"/>
    <w:rsid w:val="00DE160E"/>
    <w:rsid w:val="00DE2FE2"/>
    <w:rsid w:val="00DF7995"/>
    <w:rsid w:val="00E00A74"/>
    <w:rsid w:val="00E138BE"/>
    <w:rsid w:val="00E14B73"/>
    <w:rsid w:val="00E15B0F"/>
    <w:rsid w:val="00E31F8B"/>
    <w:rsid w:val="00E369A8"/>
    <w:rsid w:val="00E37213"/>
    <w:rsid w:val="00E477ED"/>
    <w:rsid w:val="00E519D6"/>
    <w:rsid w:val="00E77152"/>
    <w:rsid w:val="00E9627C"/>
    <w:rsid w:val="00EA0F01"/>
    <w:rsid w:val="00EA72BF"/>
    <w:rsid w:val="00EB4126"/>
    <w:rsid w:val="00EB7EFC"/>
    <w:rsid w:val="00EC15A9"/>
    <w:rsid w:val="00EC671C"/>
    <w:rsid w:val="00ED1BAF"/>
    <w:rsid w:val="00ED294A"/>
    <w:rsid w:val="00ED588F"/>
    <w:rsid w:val="00F04AAA"/>
    <w:rsid w:val="00F0657C"/>
    <w:rsid w:val="00F10780"/>
    <w:rsid w:val="00F30F1B"/>
    <w:rsid w:val="00F30F21"/>
    <w:rsid w:val="00F323D8"/>
    <w:rsid w:val="00F37463"/>
    <w:rsid w:val="00F43158"/>
    <w:rsid w:val="00F63476"/>
    <w:rsid w:val="00F75706"/>
    <w:rsid w:val="00F8004F"/>
    <w:rsid w:val="00F8158C"/>
    <w:rsid w:val="00F81F78"/>
    <w:rsid w:val="00F87667"/>
    <w:rsid w:val="00FA0A5C"/>
    <w:rsid w:val="00FA39CE"/>
    <w:rsid w:val="00FA795D"/>
    <w:rsid w:val="00FB6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82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220E"/>
    <w:rPr>
      <w:sz w:val="18"/>
      <w:szCs w:val="18"/>
    </w:rPr>
  </w:style>
  <w:style w:type="paragraph" w:styleId="a5">
    <w:name w:val="footer"/>
    <w:basedOn w:val="a"/>
    <w:link w:val="Char0"/>
    <w:uiPriority w:val="99"/>
    <w:unhideWhenUsed/>
    <w:rsid w:val="0058220E"/>
    <w:pPr>
      <w:tabs>
        <w:tab w:val="center" w:pos="4153"/>
        <w:tab w:val="right" w:pos="8306"/>
      </w:tabs>
      <w:snapToGrid w:val="0"/>
      <w:jc w:val="left"/>
    </w:pPr>
    <w:rPr>
      <w:sz w:val="18"/>
      <w:szCs w:val="18"/>
    </w:rPr>
  </w:style>
  <w:style w:type="character" w:customStyle="1" w:styleId="Char0">
    <w:name w:val="页脚 Char"/>
    <w:basedOn w:val="a0"/>
    <w:link w:val="a5"/>
    <w:uiPriority w:val="99"/>
    <w:rsid w:val="0058220E"/>
    <w:rPr>
      <w:sz w:val="18"/>
      <w:szCs w:val="18"/>
    </w:rPr>
  </w:style>
  <w:style w:type="paragraph" w:styleId="a6">
    <w:name w:val="Balloon Text"/>
    <w:basedOn w:val="a"/>
    <w:link w:val="Char1"/>
    <w:uiPriority w:val="99"/>
    <w:semiHidden/>
    <w:unhideWhenUsed/>
    <w:rsid w:val="00BB1DE6"/>
    <w:rPr>
      <w:sz w:val="18"/>
      <w:szCs w:val="18"/>
    </w:rPr>
  </w:style>
  <w:style w:type="character" w:customStyle="1" w:styleId="Char1">
    <w:name w:val="批注框文本 Char"/>
    <w:basedOn w:val="a0"/>
    <w:link w:val="a6"/>
    <w:uiPriority w:val="99"/>
    <w:semiHidden/>
    <w:rsid w:val="00BB1DE6"/>
    <w:rPr>
      <w:sz w:val="18"/>
      <w:szCs w:val="18"/>
    </w:rPr>
  </w:style>
  <w:style w:type="paragraph" w:styleId="a7">
    <w:name w:val="List Paragraph"/>
    <w:basedOn w:val="a"/>
    <w:uiPriority w:val="34"/>
    <w:qFormat/>
    <w:rsid w:val="00EC15A9"/>
    <w:pPr>
      <w:ind w:firstLineChars="200" w:firstLine="420"/>
    </w:pPr>
  </w:style>
  <w:style w:type="paragraph" w:customStyle="1" w:styleId="CharCharCharChar">
    <w:name w:val="Char Char Char Char"/>
    <w:basedOn w:val="a"/>
    <w:next w:val="a"/>
    <w:autoRedefine/>
    <w:rsid w:val="00EC15A9"/>
    <w:pPr>
      <w:spacing w:line="360" w:lineRule="auto"/>
      <w:ind w:leftChars="100" w:left="100" w:rightChars="100" w:right="100"/>
      <w:jc w:val="left"/>
    </w:pPr>
    <w:rPr>
      <w:rFonts w:ascii="Times New Roman" w:eastAsia="宋体" w:hAnsi="Times New Roman" w:cs="Times New Roman"/>
      <w:sz w:val="28"/>
      <w:szCs w:val="24"/>
    </w:rPr>
  </w:style>
  <w:style w:type="table" w:customStyle="1" w:styleId="1">
    <w:name w:val="网格型1"/>
    <w:basedOn w:val="a1"/>
    <w:next w:val="a3"/>
    <w:uiPriority w:val="59"/>
    <w:rsid w:val="00F3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DA4"/>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82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220E"/>
    <w:rPr>
      <w:sz w:val="18"/>
      <w:szCs w:val="18"/>
    </w:rPr>
  </w:style>
  <w:style w:type="paragraph" w:styleId="a5">
    <w:name w:val="footer"/>
    <w:basedOn w:val="a"/>
    <w:link w:val="Char0"/>
    <w:uiPriority w:val="99"/>
    <w:unhideWhenUsed/>
    <w:rsid w:val="0058220E"/>
    <w:pPr>
      <w:tabs>
        <w:tab w:val="center" w:pos="4153"/>
        <w:tab w:val="right" w:pos="8306"/>
      </w:tabs>
      <w:snapToGrid w:val="0"/>
      <w:jc w:val="left"/>
    </w:pPr>
    <w:rPr>
      <w:sz w:val="18"/>
      <w:szCs w:val="18"/>
    </w:rPr>
  </w:style>
  <w:style w:type="character" w:customStyle="1" w:styleId="Char0">
    <w:name w:val="页脚 Char"/>
    <w:basedOn w:val="a0"/>
    <w:link w:val="a5"/>
    <w:uiPriority w:val="99"/>
    <w:rsid w:val="0058220E"/>
    <w:rPr>
      <w:sz w:val="18"/>
      <w:szCs w:val="18"/>
    </w:rPr>
  </w:style>
  <w:style w:type="paragraph" w:styleId="a6">
    <w:name w:val="Balloon Text"/>
    <w:basedOn w:val="a"/>
    <w:link w:val="Char1"/>
    <w:uiPriority w:val="99"/>
    <w:semiHidden/>
    <w:unhideWhenUsed/>
    <w:rsid w:val="00BB1DE6"/>
    <w:rPr>
      <w:sz w:val="18"/>
      <w:szCs w:val="18"/>
    </w:rPr>
  </w:style>
  <w:style w:type="character" w:customStyle="1" w:styleId="Char1">
    <w:name w:val="批注框文本 Char"/>
    <w:basedOn w:val="a0"/>
    <w:link w:val="a6"/>
    <w:uiPriority w:val="99"/>
    <w:semiHidden/>
    <w:rsid w:val="00BB1DE6"/>
    <w:rPr>
      <w:sz w:val="18"/>
      <w:szCs w:val="18"/>
    </w:rPr>
  </w:style>
  <w:style w:type="paragraph" w:styleId="a7">
    <w:name w:val="List Paragraph"/>
    <w:basedOn w:val="a"/>
    <w:uiPriority w:val="34"/>
    <w:qFormat/>
    <w:rsid w:val="00EC15A9"/>
    <w:pPr>
      <w:ind w:firstLineChars="200" w:firstLine="420"/>
    </w:pPr>
  </w:style>
  <w:style w:type="paragraph" w:customStyle="1" w:styleId="CharCharCharChar">
    <w:name w:val="Char Char Char Char"/>
    <w:basedOn w:val="a"/>
    <w:next w:val="a"/>
    <w:autoRedefine/>
    <w:rsid w:val="00EC15A9"/>
    <w:pPr>
      <w:spacing w:line="360" w:lineRule="auto"/>
      <w:ind w:leftChars="100" w:left="100" w:rightChars="100" w:right="100"/>
      <w:jc w:val="left"/>
    </w:pPr>
    <w:rPr>
      <w:rFonts w:ascii="Times New Roman" w:eastAsia="宋体" w:hAnsi="Times New Roman" w:cs="Times New Roman"/>
      <w:sz w:val="28"/>
      <w:szCs w:val="24"/>
    </w:rPr>
  </w:style>
  <w:style w:type="table" w:customStyle="1" w:styleId="1">
    <w:name w:val="网格型1"/>
    <w:basedOn w:val="a1"/>
    <w:next w:val="a3"/>
    <w:uiPriority w:val="59"/>
    <w:rsid w:val="00F3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DA4"/>
    <w:pPr>
      <w:widowControl w:val="0"/>
      <w:autoSpaceDE w:val="0"/>
      <w:autoSpaceDN w:val="0"/>
      <w:adjustRightInd w:val="0"/>
    </w:pPr>
    <w:rPr>
      <w:rFonts w:ascii="仿宋_GB2312" w:eastAsia="仿宋_GB2312"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9367">
      <w:bodyDiv w:val="1"/>
      <w:marLeft w:val="0"/>
      <w:marRight w:val="0"/>
      <w:marTop w:val="0"/>
      <w:marBottom w:val="0"/>
      <w:divBdr>
        <w:top w:val="none" w:sz="0" w:space="0" w:color="auto"/>
        <w:left w:val="none" w:sz="0" w:space="0" w:color="auto"/>
        <w:bottom w:val="none" w:sz="0" w:space="0" w:color="auto"/>
        <w:right w:val="none" w:sz="0" w:space="0" w:color="auto"/>
      </w:divBdr>
    </w:div>
    <w:div w:id="76756614">
      <w:bodyDiv w:val="1"/>
      <w:marLeft w:val="0"/>
      <w:marRight w:val="0"/>
      <w:marTop w:val="0"/>
      <w:marBottom w:val="0"/>
      <w:divBdr>
        <w:top w:val="none" w:sz="0" w:space="0" w:color="auto"/>
        <w:left w:val="none" w:sz="0" w:space="0" w:color="auto"/>
        <w:bottom w:val="none" w:sz="0" w:space="0" w:color="auto"/>
        <w:right w:val="none" w:sz="0" w:space="0" w:color="auto"/>
      </w:divBdr>
    </w:div>
    <w:div w:id="328020077">
      <w:bodyDiv w:val="1"/>
      <w:marLeft w:val="0"/>
      <w:marRight w:val="0"/>
      <w:marTop w:val="0"/>
      <w:marBottom w:val="0"/>
      <w:divBdr>
        <w:top w:val="none" w:sz="0" w:space="0" w:color="auto"/>
        <w:left w:val="none" w:sz="0" w:space="0" w:color="auto"/>
        <w:bottom w:val="none" w:sz="0" w:space="0" w:color="auto"/>
        <w:right w:val="none" w:sz="0" w:space="0" w:color="auto"/>
      </w:divBdr>
    </w:div>
    <w:div w:id="742067005">
      <w:bodyDiv w:val="1"/>
      <w:marLeft w:val="0"/>
      <w:marRight w:val="0"/>
      <w:marTop w:val="0"/>
      <w:marBottom w:val="0"/>
      <w:divBdr>
        <w:top w:val="none" w:sz="0" w:space="0" w:color="auto"/>
        <w:left w:val="none" w:sz="0" w:space="0" w:color="auto"/>
        <w:bottom w:val="none" w:sz="0" w:space="0" w:color="auto"/>
        <w:right w:val="none" w:sz="0" w:space="0" w:color="auto"/>
      </w:divBdr>
    </w:div>
    <w:div w:id="929193524">
      <w:bodyDiv w:val="1"/>
      <w:marLeft w:val="0"/>
      <w:marRight w:val="0"/>
      <w:marTop w:val="0"/>
      <w:marBottom w:val="0"/>
      <w:divBdr>
        <w:top w:val="none" w:sz="0" w:space="0" w:color="auto"/>
        <w:left w:val="none" w:sz="0" w:space="0" w:color="auto"/>
        <w:bottom w:val="none" w:sz="0" w:space="0" w:color="auto"/>
        <w:right w:val="none" w:sz="0" w:space="0" w:color="auto"/>
      </w:divBdr>
    </w:div>
    <w:div w:id="1010110560">
      <w:bodyDiv w:val="1"/>
      <w:marLeft w:val="0"/>
      <w:marRight w:val="0"/>
      <w:marTop w:val="0"/>
      <w:marBottom w:val="0"/>
      <w:divBdr>
        <w:top w:val="none" w:sz="0" w:space="0" w:color="auto"/>
        <w:left w:val="none" w:sz="0" w:space="0" w:color="auto"/>
        <w:bottom w:val="none" w:sz="0" w:space="0" w:color="auto"/>
        <w:right w:val="none" w:sz="0" w:space="0" w:color="auto"/>
      </w:divBdr>
    </w:div>
    <w:div w:id="1086610638">
      <w:bodyDiv w:val="1"/>
      <w:marLeft w:val="0"/>
      <w:marRight w:val="0"/>
      <w:marTop w:val="0"/>
      <w:marBottom w:val="0"/>
      <w:divBdr>
        <w:top w:val="none" w:sz="0" w:space="0" w:color="auto"/>
        <w:left w:val="none" w:sz="0" w:space="0" w:color="auto"/>
        <w:bottom w:val="none" w:sz="0" w:space="0" w:color="auto"/>
        <w:right w:val="none" w:sz="0" w:space="0" w:color="auto"/>
      </w:divBdr>
    </w:div>
    <w:div w:id="1163278402">
      <w:bodyDiv w:val="1"/>
      <w:marLeft w:val="0"/>
      <w:marRight w:val="0"/>
      <w:marTop w:val="0"/>
      <w:marBottom w:val="0"/>
      <w:divBdr>
        <w:top w:val="none" w:sz="0" w:space="0" w:color="auto"/>
        <w:left w:val="none" w:sz="0" w:space="0" w:color="auto"/>
        <w:bottom w:val="none" w:sz="0" w:space="0" w:color="auto"/>
        <w:right w:val="none" w:sz="0" w:space="0" w:color="auto"/>
      </w:divBdr>
    </w:div>
    <w:div w:id="1205096009">
      <w:bodyDiv w:val="1"/>
      <w:marLeft w:val="0"/>
      <w:marRight w:val="0"/>
      <w:marTop w:val="0"/>
      <w:marBottom w:val="0"/>
      <w:divBdr>
        <w:top w:val="none" w:sz="0" w:space="0" w:color="auto"/>
        <w:left w:val="none" w:sz="0" w:space="0" w:color="auto"/>
        <w:bottom w:val="none" w:sz="0" w:space="0" w:color="auto"/>
        <w:right w:val="none" w:sz="0" w:space="0" w:color="auto"/>
      </w:divBdr>
    </w:div>
    <w:div w:id="1221095422">
      <w:bodyDiv w:val="1"/>
      <w:marLeft w:val="0"/>
      <w:marRight w:val="0"/>
      <w:marTop w:val="0"/>
      <w:marBottom w:val="0"/>
      <w:divBdr>
        <w:top w:val="none" w:sz="0" w:space="0" w:color="auto"/>
        <w:left w:val="none" w:sz="0" w:space="0" w:color="auto"/>
        <w:bottom w:val="none" w:sz="0" w:space="0" w:color="auto"/>
        <w:right w:val="none" w:sz="0" w:space="0" w:color="auto"/>
      </w:divBdr>
    </w:div>
    <w:div w:id="1226988186">
      <w:bodyDiv w:val="1"/>
      <w:marLeft w:val="0"/>
      <w:marRight w:val="0"/>
      <w:marTop w:val="0"/>
      <w:marBottom w:val="0"/>
      <w:divBdr>
        <w:top w:val="none" w:sz="0" w:space="0" w:color="auto"/>
        <w:left w:val="none" w:sz="0" w:space="0" w:color="auto"/>
        <w:bottom w:val="none" w:sz="0" w:space="0" w:color="auto"/>
        <w:right w:val="none" w:sz="0" w:space="0" w:color="auto"/>
      </w:divBdr>
    </w:div>
    <w:div w:id="1618638429">
      <w:bodyDiv w:val="1"/>
      <w:marLeft w:val="0"/>
      <w:marRight w:val="0"/>
      <w:marTop w:val="0"/>
      <w:marBottom w:val="0"/>
      <w:divBdr>
        <w:top w:val="none" w:sz="0" w:space="0" w:color="auto"/>
        <w:left w:val="none" w:sz="0" w:space="0" w:color="auto"/>
        <w:bottom w:val="none" w:sz="0" w:space="0" w:color="auto"/>
        <w:right w:val="none" w:sz="0" w:space="0" w:color="auto"/>
      </w:divBdr>
      <w:divsChild>
        <w:div w:id="335615449">
          <w:marLeft w:val="0"/>
          <w:marRight w:val="0"/>
          <w:marTop w:val="0"/>
          <w:marBottom w:val="0"/>
          <w:divBdr>
            <w:top w:val="none" w:sz="0" w:space="0" w:color="auto"/>
            <w:left w:val="none" w:sz="0" w:space="0" w:color="auto"/>
            <w:bottom w:val="none" w:sz="0" w:space="0" w:color="auto"/>
            <w:right w:val="none" w:sz="0" w:space="0" w:color="auto"/>
          </w:divBdr>
        </w:div>
        <w:div w:id="1010524760">
          <w:marLeft w:val="0"/>
          <w:marRight w:val="0"/>
          <w:marTop w:val="0"/>
          <w:marBottom w:val="0"/>
          <w:divBdr>
            <w:top w:val="none" w:sz="0" w:space="0" w:color="auto"/>
            <w:left w:val="none" w:sz="0" w:space="0" w:color="auto"/>
            <w:bottom w:val="none" w:sz="0" w:space="0" w:color="auto"/>
            <w:right w:val="none" w:sz="0" w:space="0" w:color="auto"/>
          </w:divBdr>
        </w:div>
        <w:div w:id="1797681628">
          <w:marLeft w:val="0"/>
          <w:marRight w:val="0"/>
          <w:marTop w:val="0"/>
          <w:marBottom w:val="0"/>
          <w:divBdr>
            <w:top w:val="none" w:sz="0" w:space="0" w:color="auto"/>
            <w:left w:val="none" w:sz="0" w:space="0" w:color="auto"/>
            <w:bottom w:val="none" w:sz="0" w:space="0" w:color="auto"/>
            <w:right w:val="none" w:sz="0" w:space="0" w:color="auto"/>
          </w:divBdr>
        </w:div>
        <w:div w:id="939679787">
          <w:marLeft w:val="0"/>
          <w:marRight w:val="0"/>
          <w:marTop w:val="0"/>
          <w:marBottom w:val="0"/>
          <w:divBdr>
            <w:top w:val="none" w:sz="0" w:space="0" w:color="auto"/>
            <w:left w:val="none" w:sz="0" w:space="0" w:color="auto"/>
            <w:bottom w:val="none" w:sz="0" w:space="0" w:color="auto"/>
            <w:right w:val="none" w:sz="0" w:space="0" w:color="auto"/>
          </w:divBdr>
        </w:div>
        <w:div w:id="1891838289">
          <w:marLeft w:val="0"/>
          <w:marRight w:val="0"/>
          <w:marTop w:val="0"/>
          <w:marBottom w:val="0"/>
          <w:divBdr>
            <w:top w:val="none" w:sz="0" w:space="0" w:color="auto"/>
            <w:left w:val="none" w:sz="0" w:space="0" w:color="auto"/>
            <w:bottom w:val="none" w:sz="0" w:space="0" w:color="auto"/>
            <w:right w:val="none" w:sz="0" w:space="0" w:color="auto"/>
          </w:divBdr>
        </w:div>
        <w:div w:id="554590102">
          <w:marLeft w:val="0"/>
          <w:marRight w:val="0"/>
          <w:marTop w:val="0"/>
          <w:marBottom w:val="0"/>
          <w:divBdr>
            <w:top w:val="none" w:sz="0" w:space="0" w:color="auto"/>
            <w:left w:val="none" w:sz="0" w:space="0" w:color="auto"/>
            <w:bottom w:val="none" w:sz="0" w:space="0" w:color="auto"/>
            <w:right w:val="none" w:sz="0" w:space="0" w:color="auto"/>
          </w:divBdr>
        </w:div>
        <w:div w:id="662852767">
          <w:marLeft w:val="0"/>
          <w:marRight w:val="0"/>
          <w:marTop w:val="0"/>
          <w:marBottom w:val="0"/>
          <w:divBdr>
            <w:top w:val="none" w:sz="0" w:space="0" w:color="auto"/>
            <w:left w:val="none" w:sz="0" w:space="0" w:color="auto"/>
            <w:bottom w:val="none" w:sz="0" w:space="0" w:color="auto"/>
            <w:right w:val="none" w:sz="0" w:space="0" w:color="auto"/>
          </w:divBdr>
        </w:div>
        <w:div w:id="1896894106">
          <w:marLeft w:val="0"/>
          <w:marRight w:val="0"/>
          <w:marTop w:val="0"/>
          <w:marBottom w:val="0"/>
          <w:divBdr>
            <w:top w:val="none" w:sz="0" w:space="0" w:color="auto"/>
            <w:left w:val="none" w:sz="0" w:space="0" w:color="auto"/>
            <w:bottom w:val="none" w:sz="0" w:space="0" w:color="auto"/>
            <w:right w:val="none" w:sz="0" w:space="0" w:color="auto"/>
          </w:divBdr>
        </w:div>
        <w:div w:id="210071079">
          <w:marLeft w:val="0"/>
          <w:marRight w:val="0"/>
          <w:marTop w:val="0"/>
          <w:marBottom w:val="0"/>
          <w:divBdr>
            <w:top w:val="none" w:sz="0" w:space="0" w:color="auto"/>
            <w:left w:val="none" w:sz="0" w:space="0" w:color="auto"/>
            <w:bottom w:val="none" w:sz="0" w:space="0" w:color="auto"/>
            <w:right w:val="none" w:sz="0" w:space="0" w:color="auto"/>
          </w:divBdr>
        </w:div>
        <w:div w:id="1733430188">
          <w:marLeft w:val="0"/>
          <w:marRight w:val="0"/>
          <w:marTop w:val="0"/>
          <w:marBottom w:val="0"/>
          <w:divBdr>
            <w:top w:val="none" w:sz="0" w:space="0" w:color="auto"/>
            <w:left w:val="none" w:sz="0" w:space="0" w:color="auto"/>
            <w:bottom w:val="none" w:sz="0" w:space="0" w:color="auto"/>
            <w:right w:val="none" w:sz="0" w:space="0" w:color="auto"/>
          </w:divBdr>
        </w:div>
        <w:div w:id="1301030842">
          <w:marLeft w:val="0"/>
          <w:marRight w:val="0"/>
          <w:marTop w:val="0"/>
          <w:marBottom w:val="0"/>
          <w:divBdr>
            <w:top w:val="none" w:sz="0" w:space="0" w:color="auto"/>
            <w:left w:val="none" w:sz="0" w:space="0" w:color="auto"/>
            <w:bottom w:val="none" w:sz="0" w:space="0" w:color="auto"/>
            <w:right w:val="none" w:sz="0" w:space="0" w:color="auto"/>
          </w:divBdr>
        </w:div>
        <w:div w:id="267348974">
          <w:marLeft w:val="0"/>
          <w:marRight w:val="0"/>
          <w:marTop w:val="0"/>
          <w:marBottom w:val="0"/>
          <w:divBdr>
            <w:top w:val="none" w:sz="0" w:space="0" w:color="auto"/>
            <w:left w:val="none" w:sz="0" w:space="0" w:color="auto"/>
            <w:bottom w:val="none" w:sz="0" w:space="0" w:color="auto"/>
            <w:right w:val="none" w:sz="0" w:space="0" w:color="auto"/>
          </w:divBdr>
        </w:div>
        <w:div w:id="854877810">
          <w:marLeft w:val="0"/>
          <w:marRight w:val="0"/>
          <w:marTop w:val="0"/>
          <w:marBottom w:val="0"/>
          <w:divBdr>
            <w:top w:val="none" w:sz="0" w:space="0" w:color="auto"/>
            <w:left w:val="none" w:sz="0" w:space="0" w:color="auto"/>
            <w:bottom w:val="none" w:sz="0" w:space="0" w:color="auto"/>
            <w:right w:val="none" w:sz="0" w:space="0" w:color="auto"/>
          </w:divBdr>
        </w:div>
        <w:div w:id="1195578318">
          <w:marLeft w:val="0"/>
          <w:marRight w:val="0"/>
          <w:marTop w:val="0"/>
          <w:marBottom w:val="0"/>
          <w:divBdr>
            <w:top w:val="none" w:sz="0" w:space="0" w:color="auto"/>
            <w:left w:val="none" w:sz="0" w:space="0" w:color="auto"/>
            <w:bottom w:val="none" w:sz="0" w:space="0" w:color="auto"/>
            <w:right w:val="none" w:sz="0" w:space="0" w:color="auto"/>
          </w:divBdr>
        </w:div>
        <w:div w:id="1112632530">
          <w:marLeft w:val="0"/>
          <w:marRight w:val="0"/>
          <w:marTop w:val="0"/>
          <w:marBottom w:val="0"/>
          <w:divBdr>
            <w:top w:val="none" w:sz="0" w:space="0" w:color="auto"/>
            <w:left w:val="none" w:sz="0" w:space="0" w:color="auto"/>
            <w:bottom w:val="none" w:sz="0" w:space="0" w:color="auto"/>
            <w:right w:val="none" w:sz="0" w:space="0" w:color="auto"/>
          </w:divBdr>
        </w:div>
        <w:div w:id="1828008507">
          <w:marLeft w:val="0"/>
          <w:marRight w:val="0"/>
          <w:marTop w:val="0"/>
          <w:marBottom w:val="0"/>
          <w:divBdr>
            <w:top w:val="none" w:sz="0" w:space="0" w:color="auto"/>
            <w:left w:val="none" w:sz="0" w:space="0" w:color="auto"/>
            <w:bottom w:val="none" w:sz="0" w:space="0" w:color="auto"/>
            <w:right w:val="none" w:sz="0" w:space="0" w:color="auto"/>
          </w:divBdr>
        </w:div>
        <w:div w:id="551499831">
          <w:marLeft w:val="0"/>
          <w:marRight w:val="0"/>
          <w:marTop w:val="0"/>
          <w:marBottom w:val="0"/>
          <w:divBdr>
            <w:top w:val="none" w:sz="0" w:space="0" w:color="auto"/>
            <w:left w:val="none" w:sz="0" w:space="0" w:color="auto"/>
            <w:bottom w:val="none" w:sz="0" w:space="0" w:color="auto"/>
            <w:right w:val="none" w:sz="0" w:space="0" w:color="auto"/>
          </w:divBdr>
        </w:div>
        <w:div w:id="503084731">
          <w:marLeft w:val="0"/>
          <w:marRight w:val="0"/>
          <w:marTop w:val="0"/>
          <w:marBottom w:val="0"/>
          <w:divBdr>
            <w:top w:val="none" w:sz="0" w:space="0" w:color="auto"/>
            <w:left w:val="none" w:sz="0" w:space="0" w:color="auto"/>
            <w:bottom w:val="none" w:sz="0" w:space="0" w:color="auto"/>
            <w:right w:val="none" w:sz="0" w:space="0" w:color="auto"/>
          </w:divBdr>
        </w:div>
        <w:div w:id="391732015">
          <w:marLeft w:val="0"/>
          <w:marRight w:val="0"/>
          <w:marTop w:val="0"/>
          <w:marBottom w:val="0"/>
          <w:divBdr>
            <w:top w:val="none" w:sz="0" w:space="0" w:color="auto"/>
            <w:left w:val="none" w:sz="0" w:space="0" w:color="auto"/>
            <w:bottom w:val="none" w:sz="0" w:space="0" w:color="auto"/>
            <w:right w:val="none" w:sz="0" w:space="0" w:color="auto"/>
          </w:divBdr>
        </w:div>
        <w:div w:id="1157961247">
          <w:marLeft w:val="0"/>
          <w:marRight w:val="0"/>
          <w:marTop w:val="0"/>
          <w:marBottom w:val="0"/>
          <w:divBdr>
            <w:top w:val="none" w:sz="0" w:space="0" w:color="auto"/>
            <w:left w:val="none" w:sz="0" w:space="0" w:color="auto"/>
            <w:bottom w:val="none" w:sz="0" w:space="0" w:color="auto"/>
            <w:right w:val="none" w:sz="0" w:space="0" w:color="auto"/>
          </w:divBdr>
        </w:div>
        <w:div w:id="570427896">
          <w:marLeft w:val="0"/>
          <w:marRight w:val="0"/>
          <w:marTop w:val="0"/>
          <w:marBottom w:val="0"/>
          <w:divBdr>
            <w:top w:val="none" w:sz="0" w:space="0" w:color="auto"/>
            <w:left w:val="none" w:sz="0" w:space="0" w:color="auto"/>
            <w:bottom w:val="none" w:sz="0" w:space="0" w:color="auto"/>
            <w:right w:val="none" w:sz="0" w:space="0" w:color="auto"/>
          </w:divBdr>
        </w:div>
        <w:div w:id="209341183">
          <w:marLeft w:val="0"/>
          <w:marRight w:val="0"/>
          <w:marTop w:val="0"/>
          <w:marBottom w:val="0"/>
          <w:divBdr>
            <w:top w:val="none" w:sz="0" w:space="0" w:color="auto"/>
            <w:left w:val="none" w:sz="0" w:space="0" w:color="auto"/>
            <w:bottom w:val="none" w:sz="0" w:space="0" w:color="auto"/>
            <w:right w:val="none" w:sz="0" w:space="0" w:color="auto"/>
          </w:divBdr>
        </w:div>
        <w:div w:id="735664115">
          <w:marLeft w:val="0"/>
          <w:marRight w:val="0"/>
          <w:marTop w:val="0"/>
          <w:marBottom w:val="0"/>
          <w:divBdr>
            <w:top w:val="none" w:sz="0" w:space="0" w:color="auto"/>
            <w:left w:val="none" w:sz="0" w:space="0" w:color="auto"/>
            <w:bottom w:val="none" w:sz="0" w:space="0" w:color="auto"/>
            <w:right w:val="none" w:sz="0" w:space="0" w:color="auto"/>
          </w:divBdr>
        </w:div>
        <w:div w:id="820778257">
          <w:marLeft w:val="0"/>
          <w:marRight w:val="0"/>
          <w:marTop w:val="0"/>
          <w:marBottom w:val="0"/>
          <w:divBdr>
            <w:top w:val="none" w:sz="0" w:space="0" w:color="auto"/>
            <w:left w:val="none" w:sz="0" w:space="0" w:color="auto"/>
            <w:bottom w:val="none" w:sz="0" w:space="0" w:color="auto"/>
            <w:right w:val="none" w:sz="0" w:space="0" w:color="auto"/>
          </w:divBdr>
        </w:div>
        <w:div w:id="708187269">
          <w:marLeft w:val="0"/>
          <w:marRight w:val="0"/>
          <w:marTop w:val="0"/>
          <w:marBottom w:val="0"/>
          <w:divBdr>
            <w:top w:val="none" w:sz="0" w:space="0" w:color="auto"/>
            <w:left w:val="none" w:sz="0" w:space="0" w:color="auto"/>
            <w:bottom w:val="none" w:sz="0" w:space="0" w:color="auto"/>
            <w:right w:val="none" w:sz="0" w:space="0" w:color="auto"/>
          </w:divBdr>
        </w:div>
        <w:div w:id="1364134815">
          <w:marLeft w:val="0"/>
          <w:marRight w:val="0"/>
          <w:marTop w:val="0"/>
          <w:marBottom w:val="0"/>
          <w:divBdr>
            <w:top w:val="none" w:sz="0" w:space="0" w:color="auto"/>
            <w:left w:val="none" w:sz="0" w:space="0" w:color="auto"/>
            <w:bottom w:val="none" w:sz="0" w:space="0" w:color="auto"/>
            <w:right w:val="none" w:sz="0" w:space="0" w:color="auto"/>
          </w:divBdr>
        </w:div>
        <w:div w:id="1320958522">
          <w:marLeft w:val="0"/>
          <w:marRight w:val="0"/>
          <w:marTop w:val="0"/>
          <w:marBottom w:val="0"/>
          <w:divBdr>
            <w:top w:val="none" w:sz="0" w:space="0" w:color="auto"/>
            <w:left w:val="none" w:sz="0" w:space="0" w:color="auto"/>
            <w:bottom w:val="none" w:sz="0" w:space="0" w:color="auto"/>
            <w:right w:val="none" w:sz="0" w:space="0" w:color="auto"/>
          </w:divBdr>
        </w:div>
        <w:div w:id="1712455903">
          <w:marLeft w:val="0"/>
          <w:marRight w:val="0"/>
          <w:marTop w:val="0"/>
          <w:marBottom w:val="0"/>
          <w:divBdr>
            <w:top w:val="none" w:sz="0" w:space="0" w:color="auto"/>
            <w:left w:val="none" w:sz="0" w:space="0" w:color="auto"/>
            <w:bottom w:val="none" w:sz="0" w:space="0" w:color="auto"/>
            <w:right w:val="none" w:sz="0" w:space="0" w:color="auto"/>
          </w:divBdr>
        </w:div>
        <w:div w:id="1708674443">
          <w:marLeft w:val="0"/>
          <w:marRight w:val="0"/>
          <w:marTop w:val="0"/>
          <w:marBottom w:val="0"/>
          <w:divBdr>
            <w:top w:val="none" w:sz="0" w:space="0" w:color="auto"/>
            <w:left w:val="none" w:sz="0" w:space="0" w:color="auto"/>
            <w:bottom w:val="none" w:sz="0" w:space="0" w:color="auto"/>
            <w:right w:val="none" w:sz="0" w:space="0" w:color="auto"/>
          </w:divBdr>
        </w:div>
        <w:div w:id="2025203079">
          <w:marLeft w:val="0"/>
          <w:marRight w:val="0"/>
          <w:marTop w:val="0"/>
          <w:marBottom w:val="0"/>
          <w:divBdr>
            <w:top w:val="none" w:sz="0" w:space="0" w:color="auto"/>
            <w:left w:val="none" w:sz="0" w:space="0" w:color="auto"/>
            <w:bottom w:val="none" w:sz="0" w:space="0" w:color="auto"/>
            <w:right w:val="none" w:sz="0" w:space="0" w:color="auto"/>
          </w:divBdr>
        </w:div>
        <w:div w:id="837844337">
          <w:marLeft w:val="0"/>
          <w:marRight w:val="0"/>
          <w:marTop w:val="0"/>
          <w:marBottom w:val="0"/>
          <w:divBdr>
            <w:top w:val="none" w:sz="0" w:space="0" w:color="auto"/>
            <w:left w:val="none" w:sz="0" w:space="0" w:color="auto"/>
            <w:bottom w:val="none" w:sz="0" w:space="0" w:color="auto"/>
            <w:right w:val="none" w:sz="0" w:space="0" w:color="auto"/>
          </w:divBdr>
        </w:div>
        <w:div w:id="262736384">
          <w:marLeft w:val="0"/>
          <w:marRight w:val="0"/>
          <w:marTop w:val="0"/>
          <w:marBottom w:val="0"/>
          <w:divBdr>
            <w:top w:val="none" w:sz="0" w:space="0" w:color="auto"/>
            <w:left w:val="none" w:sz="0" w:space="0" w:color="auto"/>
            <w:bottom w:val="none" w:sz="0" w:space="0" w:color="auto"/>
            <w:right w:val="none" w:sz="0" w:space="0" w:color="auto"/>
          </w:divBdr>
        </w:div>
        <w:div w:id="565334173">
          <w:marLeft w:val="0"/>
          <w:marRight w:val="0"/>
          <w:marTop w:val="0"/>
          <w:marBottom w:val="0"/>
          <w:divBdr>
            <w:top w:val="none" w:sz="0" w:space="0" w:color="auto"/>
            <w:left w:val="none" w:sz="0" w:space="0" w:color="auto"/>
            <w:bottom w:val="none" w:sz="0" w:space="0" w:color="auto"/>
            <w:right w:val="none" w:sz="0" w:space="0" w:color="auto"/>
          </w:divBdr>
        </w:div>
        <w:div w:id="1224945147">
          <w:marLeft w:val="0"/>
          <w:marRight w:val="0"/>
          <w:marTop w:val="0"/>
          <w:marBottom w:val="0"/>
          <w:divBdr>
            <w:top w:val="none" w:sz="0" w:space="0" w:color="auto"/>
            <w:left w:val="none" w:sz="0" w:space="0" w:color="auto"/>
            <w:bottom w:val="none" w:sz="0" w:space="0" w:color="auto"/>
            <w:right w:val="none" w:sz="0" w:space="0" w:color="auto"/>
          </w:divBdr>
        </w:div>
        <w:div w:id="72818077">
          <w:marLeft w:val="0"/>
          <w:marRight w:val="0"/>
          <w:marTop w:val="0"/>
          <w:marBottom w:val="0"/>
          <w:divBdr>
            <w:top w:val="none" w:sz="0" w:space="0" w:color="auto"/>
            <w:left w:val="none" w:sz="0" w:space="0" w:color="auto"/>
            <w:bottom w:val="none" w:sz="0" w:space="0" w:color="auto"/>
            <w:right w:val="none" w:sz="0" w:space="0" w:color="auto"/>
          </w:divBdr>
        </w:div>
        <w:div w:id="578292730">
          <w:marLeft w:val="0"/>
          <w:marRight w:val="0"/>
          <w:marTop w:val="0"/>
          <w:marBottom w:val="0"/>
          <w:divBdr>
            <w:top w:val="none" w:sz="0" w:space="0" w:color="auto"/>
            <w:left w:val="none" w:sz="0" w:space="0" w:color="auto"/>
            <w:bottom w:val="none" w:sz="0" w:space="0" w:color="auto"/>
            <w:right w:val="none" w:sz="0" w:space="0" w:color="auto"/>
          </w:divBdr>
        </w:div>
        <w:div w:id="2143378869">
          <w:marLeft w:val="0"/>
          <w:marRight w:val="0"/>
          <w:marTop w:val="0"/>
          <w:marBottom w:val="0"/>
          <w:divBdr>
            <w:top w:val="none" w:sz="0" w:space="0" w:color="auto"/>
            <w:left w:val="none" w:sz="0" w:space="0" w:color="auto"/>
            <w:bottom w:val="none" w:sz="0" w:space="0" w:color="auto"/>
            <w:right w:val="none" w:sz="0" w:space="0" w:color="auto"/>
          </w:divBdr>
        </w:div>
        <w:div w:id="51199304">
          <w:marLeft w:val="0"/>
          <w:marRight w:val="0"/>
          <w:marTop w:val="0"/>
          <w:marBottom w:val="0"/>
          <w:divBdr>
            <w:top w:val="none" w:sz="0" w:space="0" w:color="auto"/>
            <w:left w:val="none" w:sz="0" w:space="0" w:color="auto"/>
            <w:bottom w:val="none" w:sz="0" w:space="0" w:color="auto"/>
            <w:right w:val="none" w:sz="0" w:space="0" w:color="auto"/>
          </w:divBdr>
        </w:div>
        <w:div w:id="2145930889">
          <w:marLeft w:val="0"/>
          <w:marRight w:val="0"/>
          <w:marTop w:val="0"/>
          <w:marBottom w:val="0"/>
          <w:divBdr>
            <w:top w:val="none" w:sz="0" w:space="0" w:color="auto"/>
            <w:left w:val="none" w:sz="0" w:space="0" w:color="auto"/>
            <w:bottom w:val="none" w:sz="0" w:space="0" w:color="auto"/>
            <w:right w:val="none" w:sz="0" w:space="0" w:color="auto"/>
          </w:divBdr>
        </w:div>
        <w:div w:id="1958247260">
          <w:marLeft w:val="0"/>
          <w:marRight w:val="0"/>
          <w:marTop w:val="0"/>
          <w:marBottom w:val="0"/>
          <w:divBdr>
            <w:top w:val="none" w:sz="0" w:space="0" w:color="auto"/>
            <w:left w:val="none" w:sz="0" w:space="0" w:color="auto"/>
            <w:bottom w:val="none" w:sz="0" w:space="0" w:color="auto"/>
            <w:right w:val="none" w:sz="0" w:space="0" w:color="auto"/>
          </w:divBdr>
        </w:div>
        <w:div w:id="675763388">
          <w:marLeft w:val="0"/>
          <w:marRight w:val="0"/>
          <w:marTop w:val="0"/>
          <w:marBottom w:val="0"/>
          <w:divBdr>
            <w:top w:val="none" w:sz="0" w:space="0" w:color="auto"/>
            <w:left w:val="none" w:sz="0" w:space="0" w:color="auto"/>
            <w:bottom w:val="none" w:sz="0" w:space="0" w:color="auto"/>
            <w:right w:val="none" w:sz="0" w:space="0" w:color="auto"/>
          </w:divBdr>
        </w:div>
        <w:div w:id="1481070861">
          <w:marLeft w:val="0"/>
          <w:marRight w:val="0"/>
          <w:marTop w:val="0"/>
          <w:marBottom w:val="0"/>
          <w:divBdr>
            <w:top w:val="none" w:sz="0" w:space="0" w:color="auto"/>
            <w:left w:val="none" w:sz="0" w:space="0" w:color="auto"/>
            <w:bottom w:val="none" w:sz="0" w:space="0" w:color="auto"/>
            <w:right w:val="none" w:sz="0" w:space="0" w:color="auto"/>
          </w:divBdr>
        </w:div>
        <w:div w:id="1756434904">
          <w:marLeft w:val="0"/>
          <w:marRight w:val="0"/>
          <w:marTop w:val="0"/>
          <w:marBottom w:val="0"/>
          <w:divBdr>
            <w:top w:val="none" w:sz="0" w:space="0" w:color="auto"/>
            <w:left w:val="none" w:sz="0" w:space="0" w:color="auto"/>
            <w:bottom w:val="none" w:sz="0" w:space="0" w:color="auto"/>
            <w:right w:val="none" w:sz="0" w:space="0" w:color="auto"/>
          </w:divBdr>
        </w:div>
        <w:div w:id="506746931">
          <w:marLeft w:val="0"/>
          <w:marRight w:val="0"/>
          <w:marTop w:val="0"/>
          <w:marBottom w:val="0"/>
          <w:divBdr>
            <w:top w:val="none" w:sz="0" w:space="0" w:color="auto"/>
            <w:left w:val="none" w:sz="0" w:space="0" w:color="auto"/>
            <w:bottom w:val="none" w:sz="0" w:space="0" w:color="auto"/>
            <w:right w:val="none" w:sz="0" w:space="0" w:color="auto"/>
          </w:divBdr>
        </w:div>
        <w:div w:id="1145077263">
          <w:marLeft w:val="0"/>
          <w:marRight w:val="0"/>
          <w:marTop w:val="0"/>
          <w:marBottom w:val="0"/>
          <w:divBdr>
            <w:top w:val="none" w:sz="0" w:space="0" w:color="auto"/>
            <w:left w:val="none" w:sz="0" w:space="0" w:color="auto"/>
            <w:bottom w:val="none" w:sz="0" w:space="0" w:color="auto"/>
            <w:right w:val="none" w:sz="0" w:space="0" w:color="auto"/>
          </w:divBdr>
        </w:div>
        <w:div w:id="1053700013">
          <w:marLeft w:val="0"/>
          <w:marRight w:val="0"/>
          <w:marTop w:val="0"/>
          <w:marBottom w:val="0"/>
          <w:divBdr>
            <w:top w:val="none" w:sz="0" w:space="0" w:color="auto"/>
            <w:left w:val="none" w:sz="0" w:space="0" w:color="auto"/>
            <w:bottom w:val="none" w:sz="0" w:space="0" w:color="auto"/>
            <w:right w:val="none" w:sz="0" w:space="0" w:color="auto"/>
          </w:divBdr>
        </w:div>
        <w:div w:id="655039386">
          <w:marLeft w:val="0"/>
          <w:marRight w:val="0"/>
          <w:marTop w:val="0"/>
          <w:marBottom w:val="0"/>
          <w:divBdr>
            <w:top w:val="none" w:sz="0" w:space="0" w:color="auto"/>
            <w:left w:val="none" w:sz="0" w:space="0" w:color="auto"/>
            <w:bottom w:val="none" w:sz="0" w:space="0" w:color="auto"/>
            <w:right w:val="none" w:sz="0" w:space="0" w:color="auto"/>
          </w:divBdr>
        </w:div>
        <w:div w:id="2100247184">
          <w:marLeft w:val="0"/>
          <w:marRight w:val="0"/>
          <w:marTop w:val="0"/>
          <w:marBottom w:val="0"/>
          <w:divBdr>
            <w:top w:val="none" w:sz="0" w:space="0" w:color="auto"/>
            <w:left w:val="none" w:sz="0" w:space="0" w:color="auto"/>
            <w:bottom w:val="none" w:sz="0" w:space="0" w:color="auto"/>
            <w:right w:val="none" w:sz="0" w:space="0" w:color="auto"/>
          </w:divBdr>
        </w:div>
        <w:div w:id="1122726357">
          <w:marLeft w:val="0"/>
          <w:marRight w:val="0"/>
          <w:marTop w:val="0"/>
          <w:marBottom w:val="0"/>
          <w:divBdr>
            <w:top w:val="none" w:sz="0" w:space="0" w:color="auto"/>
            <w:left w:val="none" w:sz="0" w:space="0" w:color="auto"/>
            <w:bottom w:val="none" w:sz="0" w:space="0" w:color="auto"/>
            <w:right w:val="none" w:sz="0" w:space="0" w:color="auto"/>
          </w:divBdr>
        </w:div>
        <w:div w:id="315452726">
          <w:marLeft w:val="0"/>
          <w:marRight w:val="0"/>
          <w:marTop w:val="0"/>
          <w:marBottom w:val="0"/>
          <w:divBdr>
            <w:top w:val="none" w:sz="0" w:space="0" w:color="auto"/>
            <w:left w:val="none" w:sz="0" w:space="0" w:color="auto"/>
            <w:bottom w:val="none" w:sz="0" w:space="0" w:color="auto"/>
            <w:right w:val="none" w:sz="0" w:space="0" w:color="auto"/>
          </w:divBdr>
        </w:div>
      </w:divsChild>
    </w:div>
    <w:div w:id="1698265175">
      <w:bodyDiv w:val="1"/>
      <w:marLeft w:val="0"/>
      <w:marRight w:val="0"/>
      <w:marTop w:val="0"/>
      <w:marBottom w:val="0"/>
      <w:divBdr>
        <w:top w:val="none" w:sz="0" w:space="0" w:color="auto"/>
        <w:left w:val="none" w:sz="0" w:space="0" w:color="auto"/>
        <w:bottom w:val="none" w:sz="0" w:space="0" w:color="auto"/>
        <w:right w:val="none" w:sz="0" w:space="0" w:color="auto"/>
      </w:divBdr>
    </w:div>
    <w:div w:id="1714425919">
      <w:bodyDiv w:val="1"/>
      <w:marLeft w:val="0"/>
      <w:marRight w:val="0"/>
      <w:marTop w:val="0"/>
      <w:marBottom w:val="0"/>
      <w:divBdr>
        <w:top w:val="none" w:sz="0" w:space="0" w:color="auto"/>
        <w:left w:val="none" w:sz="0" w:space="0" w:color="auto"/>
        <w:bottom w:val="none" w:sz="0" w:space="0" w:color="auto"/>
        <w:right w:val="none" w:sz="0" w:space="0" w:color="auto"/>
      </w:divBdr>
    </w:div>
    <w:div w:id="1990011091">
      <w:bodyDiv w:val="1"/>
      <w:marLeft w:val="0"/>
      <w:marRight w:val="0"/>
      <w:marTop w:val="0"/>
      <w:marBottom w:val="0"/>
      <w:divBdr>
        <w:top w:val="none" w:sz="0" w:space="0" w:color="auto"/>
        <w:left w:val="none" w:sz="0" w:space="0" w:color="auto"/>
        <w:bottom w:val="none" w:sz="0" w:space="0" w:color="auto"/>
        <w:right w:val="none" w:sz="0" w:space="0" w:color="auto"/>
      </w:divBdr>
    </w:div>
    <w:div w:id="2076514465">
      <w:bodyDiv w:val="1"/>
      <w:marLeft w:val="0"/>
      <w:marRight w:val="0"/>
      <w:marTop w:val="0"/>
      <w:marBottom w:val="0"/>
      <w:divBdr>
        <w:top w:val="none" w:sz="0" w:space="0" w:color="auto"/>
        <w:left w:val="none" w:sz="0" w:space="0" w:color="auto"/>
        <w:bottom w:val="none" w:sz="0" w:space="0" w:color="auto"/>
        <w:right w:val="none" w:sz="0" w:space="0" w:color="auto"/>
      </w:divBdr>
    </w:div>
    <w:div w:id="21089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2DC8-5C7A-482B-9E60-7FDC21F7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2</Pages>
  <Words>394</Words>
  <Characters>2251</Characters>
  <Application>Microsoft Office Word</Application>
  <DocSecurity>0</DocSecurity>
  <Lines>18</Lines>
  <Paragraphs>5</Paragraphs>
  <ScaleCrop>false</ScaleCrop>
  <Company>Chinese ORG</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柳景国</cp:lastModifiedBy>
  <cp:revision>69</cp:revision>
  <cp:lastPrinted>2019-10-23T08:46:00Z</cp:lastPrinted>
  <dcterms:created xsi:type="dcterms:W3CDTF">2019-01-25T08:46:00Z</dcterms:created>
  <dcterms:modified xsi:type="dcterms:W3CDTF">2019-11-14T10:01:00Z</dcterms:modified>
</cp:coreProperties>
</file>