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D8B" w:rsidRPr="00D37A1B" w:rsidRDefault="00CE43F7" w:rsidP="00A14B35">
      <w:pPr>
        <w:jc w:val="center"/>
        <w:rPr>
          <w:rFonts w:ascii="仿宋" w:eastAsia="仿宋" w:hAnsi="仿宋"/>
          <w:b/>
          <w:sz w:val="32"/>
          <w:szCs w:val="32"/>
        </w:rPr>
      </w:pPr>
      <w:bookmarkStart w:id="0" w:name="_GoBack"/>
      <w:r w:rsidRPr="00CE43F7">
        <w:rPr>
          <w:rFonts w:ascii="仿宋" w:eastAsia="仿宋" w:hAnsi="仿宋" w:hint="eastAsia"/>
          <w:b/>
          <w:sz w:val="32"/>
          <w:szCs w:val="32"/>
        </w:rPr>
        <w:t>深圳市规划和国土资源委员关于公开征求</w:t>
      </w:r>
      <w:r w:rsidR="00173D8B" w:rsidRPr="00D37A1B">
        <w:rPr>
          <w:rFonts w:ascii="仿宋" w:eastAsia="仿宋" w:hAnsi="仿宋" w:hint="eastAsia"/>
          <w:b/>
          <w:sz w:val="32"/>
          <w:szCs w:val="32"/>
        </w:rPr>
        <w:t>《</w:t>
      </w:r>
      <w:r w:rsidR="00173D8B" w:rsidRPr="00C039C2">
        <w:rPr>
          <w:rFonts w:ascii="仿宋" w:eastAsia="仿宋" w:hAnsi="仿宋" w:hint="eastAsia"/>
          <w:b/>
          <w:sz w:val="32"/>
          <w:szCs w:val="32"/>
        </w:rPr>
        <w:t>深圳市拆除重建类城市更新单元旧屋村范围认定办法</w:t>
      </w:r>
      <w:r w:rsidR="00173D8B" w:rsidRPr="00D37A1B">
        <w:rPr>
          <w:rFonts w:ascii="仿宋" w:eastAsia="仿宋" w:hAnsi="仿宋" w:hint="eastAsia"/>
          <w:b/>
          <w:sz w:val="32"/>
          <w:szCs w:val="32"/>
        </w:rPr>
        <w:t>》</w:t>
      </w:r>
      <w:r w:rsidRPr="00CE43F7">
        <w:rPr>
          <w:rFonts w:ascii="仿宋" w:eastAsia="仿宋" w:hAnsi="仿宋" w:hint="eastAsia"/>
          <w:b/>
          <w:sz w:val="32"/>
          <w:szCs w:val="32"/>
        </w:rPr>
        <w:t>（修订征求意见稿）</w:t>
      </w:r>
      <w:r w:rsidRPr="00CE43F7">
        <w:rPr>
          <w:rFonts w:ascii="仿宋" w:eastAsia="仿宋" w:hAnsi="仿宋" w:hint="eastAsia"/>
          <w:b/>
          <w:sz w:val="32"/>
          <w:szCs w:val="32"/>
        </w:rPr>
        <w:t>意见的结果反馈</w:t>
      </w:r>
    </w:p>
    <w:bookmarkEnd w:id="0"/>
    <w:p w:rsidR="00CE43F7" w:rsidRDefault="00CE43F7" w:rsidP="00173D8B">
      <w:pPr>
        <w:ind w:firstLineChars="200" w:firstLine="560"/>
        <w:jc w:val="left"/>
        <w:rPr>
          <w:rFonts w:ascii="仿宋" w:eastAsia="仿宋" w:hAnsi="仿宋" w:hint="eastAsia"/>
          <w:sz w:val="28"/>
          <w:szCs w:val="28"/>
        </w:rPr>
      </w:pPr>
    </w:p>
    <w:p w:rsidR="00905074" w:rsidRPr="00CE43F7" w:rsidRDefault="00CE43F7" w:rsidP="00CE43F7">
      <w:pPr>
        <w:ind w:firstLineChars="200" w:firstLine="560"/>
        <w:jc w:val="left"/>
        <w:rPr>
          <w:rFonts w:ascii="仿宋" w:eastAsia="仿宋" w:hAnsi="仿宋"/>
          <w:sz w:val="28"/>
          <w:szCs w:val="28"/>
        </w:rPr>
      </w:pPr>
      <w:r w:rsidRPr="00CE43F7">
        <w:rPr>
          <w:rFonts w:ascii="仿宋" w:eastAsia="仿宋" w:hAnsi="仿宋" w:hint="eastAsia"/>
          <w:sz w:val="28"/>
          <w:szCs w:val="28"/>
        </w:rPr>
        <w:t>2017年7月12日至7月27日</w:t>
      </w:r>
      <w:r w:rsidRPr="00CE43F7">
        <w:rPr>
          <w:rFonts w:ascii="仿宋" w:eastAsia="仿宋" w:hAnsi="仿宋" w:hint="eastAsia"/>
          <w:sz w:val="28"/>
          <w:szCs w:val="28"/>
        </w:rPr>
        <w:t>，我委就</w:t>
      </w:r>
      <w:r w:rsidRPr="00CE43F7">
        <w:rPr>
          <w:rFonts w:ascii="仿宋" w:eastAsia="仿宋" w:hAnsi="仿宋" w:hint="eastAsia"/>
          <w:sz w:val="28"/>
          <w:szCs w:val="28"/>
        </w:rPr>
        <w:t>《深圳市拆除重建类城市更新单元旧屋村范围认定办法》（修订征求意见稿）</w:t>
      </w:r>
      <w:r>
        <w:rPr>
          <w:rFonts w:ascii="仿宋" w:eastAsia="仿宋" w:hAnsi="仿宋" w:hint="eastAsia"/>
          <w:sz w:val="28"/>
          <w:szCs w:val="28"/>
        </w:rPr>
        <w:t>向社会公开征集意见</w:t>
      </w:r>
      <w:r>
        <w:rPr>
          <w:rFonts w:ascii="仿宋" w:eastAsia="仿宋" w:hAnsi="仿宋" w:hint="eastAsia"/>
          <w:sz w:val="28"/>
          <w:szCs w:val="28"/>
        </w:rPr>
        <w:t>，共收到公众意见4条，</w:t>
      </w:r>
      <w:r>
        <w:rPr>
          <w:rFonts w:ascii="仿宋" w:eastAsia="仿宋" w:hAnsi="仿宋" w:hint="eastAsia"/>
          <w:sz w:val="28"/>
          <w:szCs w:val="28"/>
        </w:rPr>
        <w:t>意见采纳情况如下，感谢市民对我委工作的关注与支持。</w:t>
      </w:r>
    </w:p>
    <w:p w:rsidR="00862A95" w:rsidRDefault="00862A95" w:rsidP="003C2DA2">
      <w:pPr>
        <w:jc w:val="center"/>
        <w:rPr>
          <w:rFonts w:ascii="仿宋" w:eastAsia="仿宋" w:hAnsi="仿宋"/>
          <w:b/>
          <w:sz w:val="32"/>
          <w:szCs w:val="24"/>
        </w:rPr>
        <w:sectPr w:rsidR="00862A95" w:rsidSect="00CE43F7">
          <w:footerReference w:type="default" r:id="rId9"/>
          <w:pgSz w:w="16838" w:h="11906" w:orient="landscape"/>
          <w:pgMar w:top="1797" w:right="1440" w:bottom="1797" w:left="1440" w:header="851" w:footer="992" w:gutter="0"/>
          <w:cols w:space="425"/>
          <w:docGrid w:linePitch="312"/>
        </w:sectPr>
      </w:pPr>
    </w:p>
    <w:tbl>
      <w:tblPr>
        <w:tblStyle w:val="a5"/>
        <w:tblpPr w:leftFromText="180" w:rightFromText="180" w:vertAnchor="page" w:horzAnchor="margin" w:tblpY="2596"/>
        <w:tblW w:w="13716" w:type="dxa"/>
        <w:tblLook w:val="04A0" w:firstRow="1" w:lastRow="0" w:firstColumn="1" w:lastColumn="0" w:noHBand="0" w:noVBand="1"/>
      </w:tblPr>
      <w:tblGrid>
        <w:gridCol w:w="1101"/>
        <w:gridCol w:w="1559"/>
        <w:gridCol w:w="7229"/>
        <w:gridCol w:w="3827"/>
      </w:tblGrid>
      <w:tr w:rsidR="003C7178" w:rsidRPr="00340600" w:rsidTr="00FE61A5">
        <w:trPr>
          <w:trHeight w:val="557"/>
        </w:trPr>
        <w:tc>
          <w:tcPr>
            <w:tcW w:w="1101" w:type="dxa"/>
            <w:tcBorders>
              <w:top w:val="single" w:sz="4" w:space="0" w:color="auto"/>
            </w:tcBorders>
            <w:vAlign w:val="center"/>
          </w:tcPr>
          <w:p w:rsidR="003C7178" w:rsidRPr="00340600" w:rsidRDefault="003C7178" w:rsidP="003C7178">
            <w:pPr>
              <w:jc w:val="center"/>
              <w:rPr>
                <w:rFonts w:ascii="仿宋" w:eastAsia="仿宋" w:hAnsi="仿宋"/>
                <w:b/>
                <w:sz w:val="24"/>
                <w:szCs w:val="24"/>
              </w:rPr>
            </w:pPr>
            <w:r>
              <w:rPr>
                <w:rFonts w:ascii="仿宋" w:eastAsia="仿宋" w:hAnsi="仿宋" w:hint="eastAsia"/>
                <w:b/>
                <w:sz w:val="24"/>
                <w:szCs w:val="24"/>
              </w:rPr>
              <w:lastRenderedPageBreak/>
              <w:t>条款</w:t>
            </w:r>
          </w:p>
        </w:tc>
        <w:tc>
          <w:tcPr>
            <w:tcW w:w="1559" w:type="dxa"/>
            <w:tcBorders>
              <w:top w:val="single" w:sz="4" w:space="0" w:color="auto"/>
            </w:tcBorders>
            <w:vAlign w:val="center"/>
          </w:tcPr>
          <w:p w:rsidR="003C7178" w:rsidRPr="00340600" w:rsidRDefault="003C7178" w:rsidP="003C7178">
            <w:pPr>
              <w:jc w:val="center"/>
              <w:rPr>
                <w:rFonts w:ascii="仿宋" w:eastAsia="仿宋" w:hAnsi="仿宋"/>
                <w:b/>
                <w:sz w:val="24"/>
                <w:szCs w:val="24"/>
              </w:rPr>
            </w:pPr>
            <w:r w:rsidRPr="00340600">
              <w:rPr>
                <w:rFonts w:ascii="仿宋" w:eastAsia="仿宋" w:hAnsi="仿宋" w:hint="eastAsia"/>
                <w:b/>
                <w:sz w:val="24"/>
                <w:szCs w:val="24"/>
              </w:rPr>
              <w:t>单位</w:t>
            </w:r>
            <w:r>
              <w:rPr>
                <w:rFonts w:ascii="仿宋" w:eastAsia="仿宋" w:hAnsi="仿宋" w:hint="eastAsia"/>
                <w:b/>
                <w:sz w:val="24"/>
                <w:szCs w:val="24"/>
              </w:rPr>
              <w:t>/个人</w:t>
            </w:r>
          </w:p>
        </w:tc>
        <w:tc>
          <w:tcPr>
            <w:tcW w:w="7229" w:type="dxa"/>
            <w:tcBorders>
              <w:top w:val="single" w:sz="4" w:space="0" w:color="auto"/>
            </w:tcBorders>
            <w:vAlign w:val="center"/>
          </w:tcPr>
          <w:p w:rsidR="003C7178" w:rsidRPr="00340600" w:rsidRDefault="003C7178" w:rsidP="003C7178">
            <w:pPr>
              <w:jc w:val="center"/>
              <w:rPr>
                <w:rFonts w:ascii="仿宋" w:eastAsia="仿宋" w:hAnsi="仿宋"/>
                <w:b/>
                <w:sz w:val="24"/>
                <w:szCs w:val="24"/>
              </w:rPr>
            </w:pPr>
            <w:r w:rsidRPr="00340600">
              <w:rPr>
                <w:rFonts w:ascii="仿宋" w:eastAsia="仿宋" w:hAnsi="仿宋" w:hint="eastAsia"/>
                <w:b/>
                <w:sz w:val="24"/>
                <w:szCs w:val="24"/>
              </w:rPr>
              <w:t>意见或建议</w:t>
            </w:r>
          </w:p>
        </w:tc>
        <w:tc>
          <w:tcPr>
            <w:tcW w:w="3827" w:type="dxa"/>
            <w:tcBorders>
              <w:top w:val="single" w:sz="4" w:space="0" w:color="auto"/>
            </w:tcBorders>
            <w:vAlign w:val="center"/>
          </w:tcPr>
          <w:p w:rsidR="003C7178" w:rsidRPr="00340600" w:rsidRDefault="003C7178" w:rsidP="003C7178">
            <w:pPr>
              <w:jc w:val="center"/>
              <w:rPr>
                <w:rFonts w:ascii="仿宋" w:eastAsia="仿宋" w:hAnsi="仿宋"/>
                <w:b/>
                <w:sz w:val="24"/>
                <w:szCs w:val="24"/>
              </w:rPr>
            </w:pPr>
            <w:r w:rsidRPr="00340600">
              <w:rPr>
                <w:rFonts w:ascii="仿宋" w:eastAsia="仿宋" w:hAnsi="仿宋" w:hint="eastAsia"/>
                <w:b/>
                <w:sz w:val="24"/>
                <w:szCs w:val="24"/>
              </w:rPr>
              <w:t>意见反馈</w:t>
            </w:r>
          </w:p>
        </w:tc>
      </w:tr>
      <w:tr w:rsidR="003C7178" w:rsidRPr="00340600" w:rsidTr="00FE61A5">
        <w:trPr>
          <w:trHeight w:val="277"/>
        </w:trPr>
        <w:tc>
          <w:tcPr>
            <w:tcW w:w="1101" w:type="dxa"/>
            <w:vAlign w:val="center"/>
          </w:tcPr>
          <w:p w:rsidR="003C7178" w:rsidRPr="00340600" w:rsidRDefault="003C7178" w:rsidP="003C7178">
            <w:pPr>
              <w:jc w:val="center"/>
              <w:rPr>
                <w:rFonts w:ascii="仿宋" w:eastAsia="仿宋" w:hAnsi="仿宋"/>
                <w:b/>
                <w:sz w:val="24"/>
                <w:szCs w:val="24"/>
              </w:rPr>
            </w:pPr>
            <w:r>
              <w:rPr>
                <w:rFonts w:ascii="仿宋" w:eastAsia="仿宋" w:hAnsi="仿宋" w:hint="eastAsia"/>
                <w:b/>
                <w:sz w:val="24"/>
                <w:szCs w:val="24"/>
              </w:rPr>
              <w:t>第三条</w:t>
            </w:r>
          </w:p>
        </w:tc>
        <w:tc>
          <w:tcPr>
            <w:tcW w:w="1559" w:type="dxa"/>
            <w:vAlign w:val="center"/>
          </w:tcPr>
          <w:p w:rsidR="003C7178" w:rsidRPr="00B166F3" w:rsidRDefault="003C7178" w:rsidP="003C7178">
            <w:pPr>
              <w:jc w:val="center"/>
              <w:rPr>
                <w:rFonts w:ascii="仿宋" w:eastAsia="仿宋" w:hAnsi="仿宋"/>
                <w:b/>
                <w:sz w:val="24"/>
                <w:szCs w:val="24"/>
              </w:rPr>
            </w:pPr>
            <w:r w:rsidRPr="00B166F3">
              <w:rPr>
                <w:rFonts w:ascii="仿宋" w:eastAsia="仿宋" w:hAnsi="仿宋" w:hint="eastAsia"/>
                <w:b/>
                <w:sz w:val="24"/>
                <w:szCs w:val="24"/>
              </w:rPr>
              <w:t>深圳市建富承翰房地产开发有限公司</w:t>
            </w:r>
          </w:p>
        </w:tc>
        <w:tc>
          <w:tcPr>
            <w:tcW w:w="7229" w:type="dxa"/>
            <w:vAlign w:val="center"/>
          </w:tcPr>
          <w:p w:rsidR="003C7178" w:rsidRPr="00B166F3" w:rsidRDefault="003C7178" w:rsidP="003C7178">
            <w:pPr>
              <w:jc w:val="left"/>
              <w:rPr>
                <w:rFonts w:ascii="仿宋" w:eastAsia="仿宋" w:hAnsi="仿宋"/>
                <w:sz w:val="24"/>
                <w:szCs w:val="24"/>
              </w:rPr>
            </w:pPr>
            <w:r w:rsidRPr="007A381B">
              <w:rPr>
                <w:rFonts w:ascii="仿宋" w:eastAsia="仿宋" w:hAnsi="仿宋" w:hint="eastAsia"/>
                <w:sz w:val="24"/>
                <w:szCs w:val="24"/>
              </w:rPr>
              <w:t>《认定办法》中第三条第二款建议改为“《规定》或《通知》实施前已经建设的旧（祖）屋，实施后进行重建、加建、改建、扩建后不涉及扩大建筑用地范围，实施后进行重建、加建、改建、扩建，其总建筑面积不超过480平方米的”。甚至将不涉及扩大用地范围改为主体建筑（指二层以上部分建筑）不超过原建筑外廓线（或滴水线范围）。</w:t>
            </w:r>
            <w:r w:rsidRPr="00B166F3">
              <w:rPr>
                <w:rFonts w:ascii="仿宋" w:eastAsia="仿宋" w:hAnsi="仿宋" w:hint="eastAsia"/>
                <w:sz w:val="24"/>
                <w:szCs w:val="24"/>
              </w:rPr>
              <w:t>理由：1.《认定办法》第二条定义了旧屋村，其内容为《规定》或《通知》实施前正在建设或已经形成、且现状仍为原农村旧（祖）屋的集中分布区域。因此对于《规定》或《通知》实施前已经建成的旧屋，不能对其局部细小改建、加建就否定其为旧屋，这有违旧屋村定义的实质。2.《起草说明》文中三（二）中（2）明确“对旧屋村范围的认定以保留旧（祖）屋原貌、现状仍为原农村旧（祖）屋为基本原则”。对于少量重建及加改扩建，尚未严重偏离旧屋村原貌的情形予以纳入旧屋村范围，这基本原则十分人性化，既保障原村民权益，又尊重历史，合情合理。3.《认定办法》中第三条第二款规定了旧屋村认定条件为不涉及扩大建筑基底范围与总建筑面积不超过480平方米，这是不合理的。事实上建筑基底范围与旧屋村认定又有多大关系呢？而关系密切的应该是旧屋的建筑用地。按照推测，制订者本意为了控制旧屋的变化设定建筑用地与建筑总量二个条件。因此《起草说明》中建议改为“对发生</w:t>
            </w:r>
            <w:r w:rsidRPr="00B166F3">
              <w:rPr>
                <w:rFonts w:ascii="仿宋" w:eastAsia="仿宋" w:hAnsi="仿宋"/>
                <w:sz w:val="24"/>
                <w:szCs w:val="24"/>
              </w:rPr>
              <w:t>少量重建及加改扩建、但不涉及扩大建筑用地范围、尚未严重偏离旧屋村原貌</w:t>
            </w:r>
            <w:r w:rsidRPr="00B166F3">
              <w:rPr>
                <w:rFonts w:ascii="仿宋" w:eastAsia="仿宋" w:hAnsi="仿宋" w:hint="eastAsia"/>
                <w:sz w:val="24"/>
                <w:szCs w:val="24"/>
              </w:rPr>
              <w:t>的情形予以纳入旧屋村范围”。旧屋的建筑用地界线按《认定办法》第五条确定。</w:t>
            </w:r>
            <w:r w:rsidRPr="007A381B">
              <w:rPr>
                <w:rFonts w:ascii="仿宋" w:eastAsia="仿宋" w:hAnsi="仿宋" w:hint="eastAsia"/>
                <w:sz w:val="24"/>
                <w:szCs w:val="24"/>
              </w:rPr>
              <w:t>4.旧屋村历经20多年，居民视其房屋及周围陕小土地为其私有空间，主要为原房屋前至道路边一米多空间，以及房屋两侧大小巷，大巷通车，小巷一般只有2米宽，常被居民封闭，建有围墙，有些为了其生活方便，进行加盖，形成形形色色各类临时性简易建筑，附照片。这些临时性的简易建筑没有突破其实际使用的建筑用地，且平常大都为一层，违规性质轻微，且情有可愿，但扩大了原建筑基底，因而不被认为旧屋，实有违旧屋村的定义。5.由于旧屋的建筑用地难以确定，而在二规处理时以房屋外廓线（或滴水线）为其建筑用地范围；况建筑又分为主体建筑与附属建筑，若将上述形形色色各类一层临时性简易建筑归纳为附属建筑，其他二层以上为主体建筑，则建议将不涉及扩大建筑用地范围改为主体建筑不突破原建筑外廓线（或滴水线）。</w:t>
            </w:r>
            <w:r>
              <w:rPr>
                <w:rFonts w:ascii="仿宋" w:eastAsia="仿宋" w:hAnsi="仿宋" w:hint="eastAsia"/>
                <w:sz w:val="24"/>
                <w:szCs w:val="24"/>
              </w:rPr>
              <w:t>6</w:t>
            </w:r>
            <w:r w:rsidRPr="00B166F3">
              <w:rPr>
                <w:rFonts w:ascii="仿宋" w:eastAsia="仿宋" w:hAnsi="仿宋" w:hint="eastAsia"/>
                <w:sz w:val="24"/>
                <w:szCs w:val="24"/>
              </w:rPr>
              <w:t>.《认定办法》中旧屋村认定以建筑基底范围有无变化来确定，操作上也难以界定。现旧屋村认定依据为早期的地形图，而该地形图又不能表达建筑基底情况。</w:t>
            </w:r>
            <w:r>
              <w:rPr>
                <w:rFonts w:ascii="仿宋" w:eastAsia="仿宋" w:hAnsi="仿宋" w:hint="eastAsia"/>
                <w:sz w:val="24"/>
                <w:szCs w:val="24"/>
              </w:rPr>
              <w:t>7</w:t>
            </w:r>
            <w:r w:rsidRPr="00B166F3">
              <w:rPr>
                <w:rFonts w:ascii="仿宋" w:eastAsia="仿宋" w:hAnsi="仿宋" w:hint="eastAsia"/>
                <w:sz w:val="24"/>
                <w:szCs w:val="24"/>
              </w:rPr>
              <w:t>.公平性原则。若建筑物面积都少于480平方米二栋，一栋加建顶部成永久建筑，另一栋在其外墙与用地围墙之间搭建很小简易工棚，作为贮藏室。前者加建严重《认定办法》可认为旧屋，而后者性质轻微但扩大建筑基底范围，则不被认为旧屋，公平吗？合理吗？</w:t>
            </w:r>
          </w:p>
        </w:tc>
        <w:tc>
          <w:tcPr>
            <w:tcW w:w="3827" w:type="dxa"/>
            <w:vAlign w:val="center"/>
          </w:tcPr>
          <w:p w:rsidR="003C7178" w:rsidRPr="00B166F3" w:rsidRDefault="003C7178" w:rsidP="003C7178">
            <w:pPr>
              <w:jc w:val="center"/>
              <w:rPr>
                <w:rFonts w:ascii="仿宋" w:eastAsia="仿宋" w:hAnsi="仿宋"/>
                <w:sz w:val="24"/>
                <w:szCs w:val="24"/>
              </w:rPr>
            </w:pPr>
            <w:r>
              <w:rPr>
                <w:rFonts w:ascii="仿宋" w:eastAsia="仿宋" w:hAnsi="仿宋" w:hint="eastAsia"/>
                <w:sz w:val="24"/>
                <w:szCs w:val="24"/>
              </w:rPr>
              <w:t>解释。建筑用地范围难以确定，不具备明确的依据。经咨询测绘部门与查违部门，在房屋测绘与“三规”中均明确采用“建筑基底面积”的标准。具体情形由各区在认定过程中结合现状情况予以认定。</w:t>
            </w:r>
          </w:p>
        </w:tc>
      </w:tr>
      <w:tr w:rsidR="003C7178" w:rsidRPr="00340600" w:rsidTr="00FE61A5">
        <w:trPr>
          <w:trHeight w:val="1007"/>
        </w:trPr>
        <w:tc>
          <w:tcPr>
            <w:tcW w:w="1101" w:type="dxa"/>
            <w:vAlign w:val="center"/>
          </w:tcPr>
          <w:p w:rsidR="003C7178" w:rsidRDefault="003C7178" w:rsidP="003C7178">
            <w:pPr>
              <w:jc w:val="center"/>
              <w:rPr>
                <w:rFonts w:ascii="仿宋" w:eastAsia="仿宋" w:hAnsi="仿宋"/>
                <w:b/>
                <w:sz w:val="24"/>
                <w:szCs w:val="24"/>
              </w:rPr>
            </w:pPr>
            <w:r>
              <w:rPr>
                <w:rFonts w:ascii="仿宋" w:eastAsia="仿宋" w:hAnsi="仿宋" w:hint="eastAsia"/>
                <w:b/>
                <w:sz w:val="24"/>
                <w:szCs w:val="24"/>
              </w:rPr>
              <w:t>第四条</w:t>
            </w:r>
          </w:p>
        </w:tc>
        <w:tc>
          <w:tcPr>
            <w:tcW w:w="1559" w:type="dxa"/>
            <w:vAlign w:val="center"/>
          </w:tcPr>
          <w:p w:rsidR="003C7178" w:rsidRPr="00340600" w:rsidRDefault="003C7178" w:rsidP="003C7178">
            <w:pPr>
              <w:jc w:val="center"/>
              <w:rPr>
                <w:rFonts w:ascii="仿宋" w:eastAsia="仿宋" w:hAnsi="仿宋"/>
                <w:b/>
                <w:sz w:val="24"/>
                <w:szCs w:val="24"/>
              </w:rPr>
            </w:pPr>
            <w:r w:rsidRPr="00515669">
              <w:rPr>
                <w:rFonts w:ascii="仿宋" w:eastAsia="仿宋" w:hAnsi="仿宋" w:hint="eastAsia"/>
                <w:b/>
                <w:sz w:val="24"/>
                <w:szCs w:val="24"/>
              </w:rPr>
              <w:t>深圳市蛇口湾厦实业股份有限公司</w:t>
            </w:r>
          </w:p>
        </w:tc>
        <w:tc>
          <w:tcPr>
            <w:tcW w:w="7229" w:type="dxa"/>
            <w:vAlign w:val="center"/>
          </w:tcPr>
          <w:p w:rsidR="003C7178" w:rsidRDefault="003C7178" w:rsidP="003C7178">
            <w:pPr>
              <w:jc w:val="left"/>
              <w:rPr>
                <w:rFonts w:ascii="仿宋" w:eastAsia="仿宋" w:hAnsi="仿宋"/>
                <w:sz w:val="24"/>
                <w:szCs w:val="24"/>
              </w:rPr>
            </w:pPr>
            <w:r w:rsidRPr="00515669">
              <w:rPr>
                <w:rFonts w:ascii="仿宋" w:eastAsia="仿宋" w:hAnsi="仿宋" w:hint="eastAsia"/>
                <w:sz w:val="24"/>
                <w:szCs w:val="24"/>
              </w:rPr>
              <w:t>根据第四条第二项“《规定》或《通知》实施前已经建设的旧（祖）屋，实施后进行重建、加建、改建、扩建，导致扩大建筑基底范围或建筑面积超过480平方米的，以及《规定》或《通知》实施后空地上新建设的私房”，具有以上情形的土地、建（构）筑物、配套设施不得纳入旧屋村范围。我司认为上述关于建筑物的条款，在对原农村土地认定的实际操作中可能存在问题。例如，湾厦村位于南山区蛇口街道，该村为1993年前已形成的自然村落，占地面积约15公顷。原村民虽因改善居住条件，对部分旧屋村进行了重建、加建、改建、扩建，但原农村土地的性质并没有发生变化，且建筑物基底面积基本不变。根据《认定办法（修订稿）》第四条第二项，湾厦村可认定的旧屋村范围面积极少，无法保障原农村土地权益。故我司认为《认定办法（修订稿）》中关于对建筑面积不超过480平方米的约定存在不妥之处。我司建议只对旧屋村用地进行认定，建筑物以市场行为或土地整备的方式进行补偿，以保证原村民的居住权益。</w:t>
            </w:r>
          </w:p>
        </w:tc>
        <w:tc>
          <w:tcPr>
            <w:tcW w:w="3827" w:type="dxa"/>
            <w:vAlign w:val="center"/>
          </w:tcPr>
          <w:p w:rsidR="003C7178" w:rsidRDefault="003C7178" w:rsidP="003C7178">
            <w:pPr>
              <w:jc w:val="center"/>
              <w:rPr>
                <w:rFonts w:ascii="仿宋" w:eastAsia="仿宋" w:hAnsi="仿宋"/>
                <w:sz w:val="24"/>
                <w:szCs w:val="24"/>
              </w:rPr>
            </w:pPr>
            <w:r>
              <w:rPr>
                <w:rFonts w:ascii="仿宋" w:eastAsia="仿宋" w:hAnsi="仿宋" w:hint="eastAsia"/>
                <w:sz w:val="24"/>
                <w:szCs w:val="24"/>
              </w:rPr>
              <w:t>解释。旧（祖）屋为我市城市化土地历史遗留问题。依据《深圳市宝安、龙岗两区城市化土地管理办法》，原农村</w:t>
            </w:r>
            <w:r w:rsidRPr="002872E1">
              <w:rPr>
                <w:rFonts w:ascii="仿宋" w:eastAsia="仿宋" w:hAnsi="仿宋" w:hint="eastAsia"/>
                <w:sz w:val="24"/>
                <w:szCs w:val="24"/>
              </w:rPr>
              <w:t>居住用地建筑面积不超过480</w:t>
            </w:r>
            <w:r>
              <w:rPr>
                <w:rFonts w:ascii="仿宋" w:eastAsia="仿宋" w:hAnsi="仿宋" w:hint="eastAsia"/>
                <w:sz w:val="24"/>
                <w:szCs w:val="24"/>
              </w:rPr>
              <w:t>平方米。为保证全市域层面公平公正，经过多次讨论、多方论证，限定旧祖屋“</w:t>
            </w:r>
            <w:r w:rsidRPr="00353BA4">
              <w:rPr>
                <w:rFonts w:ascii="仿宋" w:eastAsia="仿宋" w:hAnsi="仿宋" w:hint="eastAsia"/>
                <w:sz w:val="24"/>
                <w:szCs w:val="24"/>
              </w:rPr>
              <w:t>实施后进行重建、加建、改建、扩建</w:t>
            </w:r>
            <w:r>
              <w:rPr>
                <w:rFonts w:ascii="仿宋" w:eastAsia="仿宋" w:hAnsi="仿宋" w:hint="eastAsia"/>
                <w:sz w:val="24"/>
                <w:szCs w:val="24"/>
              </w:rPr>
              <w:t>的，</w:t>
            </w:r>
            <w:r w:rsidRPr="00353BA4">
              <w:rPr>
                <w:rFonts w:ascii="仿宋" w:eastAsia="仿宋" w:hAnsi="仿宋" w:hint="eastAsia"/>
                <w:sz w:val="24"/>
                <w:szCs w:val="24"/>
              </w:rPr>
              <w:t>总建筑面积不超过480</w:t>
            </w:r>
            <w:r>
              <w:rPr>
                <w:rFonts w:ascii="仿宋" w:eastAsia="仿宋" w:hAnsi="仿宋" w:hint="eastAsia"/>
                <w:sz w:val="24"/>
                <w:szCs w:val="24"/>
              </w:rPr>
              <w:t>平方米”的，可纳入旧屋村范围。</w:t>
            </w:r>
          </w:p>
        </w:tc>
      </w:tr>
      <w:tr w:rsidR="003C7178" w:rsidRPr="00340600" w:rsidTr="00FE61A5">
        <w:trPr>
          <w:trHeight w:val="1007"/>
        </w:trPr>
        <w:tc>
          <w:tcPr>
            <w:tcW w:w="1101" w:type="dxa"/>
            <w:vAlign w:val="center"/>
          </w:tcPr>
          <w:p w:rsidR="003C7178" w:rsidRPr="00340600" w:rsidRDefault="003C7178" w:rsidP="003C7178">
            <w:pPr>
              <w:jc w:val="center"/>
              <w:rPr>
                <w:rFonts w:ascii="仿宋" w:eastAsia="仿宋" w:hAnsi="仿宋"/>
                <w:b/>
                <w:sz w:val="24"/>
                <w:szCs w:val="24"/>
              </w:rPr>
            </w:pPr>
            <w:r>
              <w:rPr>
                <w:rFonts w:ascii="仿宋" w:eastAsia="仿宋" w:hAnsi="仿宋" w:hint="eastAsia"/>
                <w:b/>
                <w:sz w:val="24"/>
                <w:szCs w:val="24"/>
              </w:rPr>
              <w:t>第四条</w:t>
            </w:r>
          </w:p>
        </w:tc>
        <w:tc>
          <w:tcPr>
            <w:tcW w:w="1559" w:type="dxa"/>
            <w:vAlign w:val="center"/>
          </w:tcPr>
          <w:p w:rsidR="003C7178" w:rsidRPr="00340600" w:rsidRDefault="003C7178" w:rsidP="003C7178">
            <w:pPr>
              <w:jc w:val="center"/>
              <w:rPr>
                <w:rFonts w:ascii="仿宋" w:eastAsia="仿宋" w:hAnsi="仿宋"/>
                <w:b/>
                <w:sz w:val="24"/>
                <w:szCs w:val="24"/>
              </w:rPr>
            </w:pPr>
            <w:r w:rsidRPr="00340600">
              <w:rPr>
                <w:rFonts w:ascii="仿宋" w:eastAsia="仿宋" w:hAnsi="仿宋" w:hint="eastAsia"/>
                <w:b/>
                <w:sz w:val="24"/>
                <w:szCs w:val="24"/>
              </w:rPr>
              <w:t>深圳市南头城实业股份有限公司</w:t>
            </w:r>
          </w:p>
        </w:tc>
        <w:tc>
          <w:tcPr>
            <w:tcW w:w="7229" w:type="dxa"/>
            <w:vAlign w:val="center"/>
          </w:tcPr>
          <w:p w:rsidR="003C7178" w:rsidRDefault="003C7178" w:rsidP="003C7178">
            <w:pPr>
              <w:jc w:val="left"/>
              <w:rPr>
                <w:rFonts w:ascii="仿宋" w:eastAsia="仿宋" w:hAnsi="仿宋"/>
                <w:sz w:val="24"/>
                <w:szCs w:val="24"/>
              </w:rPr>
            </w:pPr>
            <w:r>
              <w:rPr>
                <w:rFonts w:ascii="仿宋" w:eastAsia="仿宋" w:hAnsi="仿宋" w:hint="eastAsia"/>
                <w:sz w:val="24"/>
                <w:szCs w:val="24"/>
              </w:rPr>
              <w:t>结合我司正在申报同乐村城市更新项目（已完成全体股东大会及街道办的备案工作）存在的实际情况，谈一些想法和建议：认定办法第四条的第一、第二种情形，本着尊重历史，公平施策，实事求是的原则，上述两种情形应纳入旧屋村范围。理由如下：</w:t>
            </w:r>
          </w:p>
          <w:p w:rsidR="003C7178" w:rsidRDefault="003C7178" w:rsidP="003C7178">
            <w:pPr>
              <w:jc w:val="left"/>
              <w:rPr>
                <w:rFonts w:ascii="仿宋" w:eastAsia="仿宋" w:hAnsi="仿宋"/>
                <w:sz w:val="24"/>
                <w:szCs w:val="24"/>
              </w:rPr>
            </w:pPr>
            <w:r>
              <w:rPr>
                <w:rFonts w:ascii="仿宋" w:eastAsia="仿宋" w:hAnsi="仿宋" w:hint="eastAsia"/>
                <w:sz w:val="24"/>
                <w:szCs w:val="24"/>
              </w:rPr>
              <w:t>一、村集体的厂房及其他生产经营性用房均位于旧屋村集中分布区域的核心位置。无法完成与村旧（祖）屋剥离，且土地利用规划已确定为住宅用地，不能单独划定工业升级改造单元。本着整村统筹，不留死角划定城市更新单元的原则也应纳入旧（祖）屋村认定范围。</w:t>
            </w:r>
          </w:p>
          <w:p w:rsidR="003C7178" w:rsidRDefault="003C7178" w:rsidP="003C7178">
            <w:pPr>
              <w:jc w:val="left"/>
              <w:rPr>
                <w:rFonts w:ascii="仿宋" w:eastAsia="仿宋" w:hAnsi="仿宋"/>
                <w:sz w:val="24"/>
                <w:szCs w:val="24"/>
              </w:rPr>
            </w:pPr>
            <w:r>
              <w:rPr>
                <w:rFonts w:ascii="仿宋" w:eastAsia="仿宋" w:hAnsi="仿宋" w:hint="eastAsia"/>
                <w:sz w:val="24"/>
                <w:szCs w:val="24"/>
              </w:rPr>
              <w:t>二、自1992年特区内开始实施农村城市化以来，村集体及农民已无地可种，全市大部分的村集体及村民都是靠逐渐通过重建、加建、改建、扩建房屋和厂房收取租金生活。随着城市化快速发展，普遍存在“扩大旧（祖）屋建筑基底范围和重建、加建、改建、扩建后总建筑面积超过480平方米”的问题，而这些扩大旧（祖）屋建筑基底范围和扩建后总建筑面积超过480平方米的用地始终没有超出原农村旧（祖）屋的集中分布区域。如果这条认定办法不能放宽，全市大部分城中村更新项目还是没有办法完成旧屋村范围认定。本着加快推进城市更新工作的原则，我司认为应重点考虑旧屋村是否超出《规定》或《通知》实施前已经形成的原农村旧（祖）屋集中分布的用地区域，而不是单一的建筑基底范围和建筑量，建筑量应该是在后续的城市更新专项规划中综合拆建比再予以考虑。</w:t>
            </w:r>
          </w:p>
          <w:p w:rsidR="003C7178" w:rsidRDefault="003C7178" w:rsidP="003C7178">
            <w:pPr>
              <w:jc w:val="left"/>
              <w:rPr>
                <w:rFonts w:ascii="仿宋" w:eastAsia="仿宋" w:hAnsi="仿宋"/>
                <w:sz w:val="24"/>
                <w:szCs w:val="24"/>
              </w:rPr>
            </w:pPr>
            <w:r>
              <w:rPr>
                <w:rFonts w:ascii="仿宋" w:eastAsia="仿宋" w:hAnsi="仿宋" w:hint="eastAsia"/>
                <w:sz w:val="24"/>
                <w:szCs w:val="24"/>
              </w:rPr>
              <w:t>三、依据政策上述两种用地原本是可以划定村集体红线用地的。由于部分经营部家底薄，实在没有余钱完成划定村集体红线的测绘工作，所以导致目前村集体红线不完整的尴尬局面，且这种用地范围的建筑物大部分都已申报了两规处理手续。因此，纳入旧（祖）屋村认定范围有利于加快推进旧城旧村改造工作。</w:t>
            </w:r>
          </w:p>
          <w:p w:rsidR="003C7178" w:rsidRPr="006D5663" w:rsidRDefault="003C7178" w:rsidP="003C7178">
            <w:pPr>
              <w:jc w:val="left"/>
              <w:rPr>
                <w:rFonts w:ascii="仿宋" w:eastAsia="仿宋" w:hAnsi="仿宋"/>
                <w:sz w:val="24"/>
                <w:szCs w:val="24"/>
              </w:rPr>
            </w:pPr>
            <w:r>
              <w:rPr>
                <w:rFonts w:ascii="仿宋" w:eastAsia="仿宋" w:hAnsi="仿宋" w:hint="eastAsia"/>
                <w:sz w:val="24"/>
                <w:szCs w:val="24"/>
              </w:rPr>
              <w:t>四、上述两种用地上的建筑物均已超过30年，存在严重的安全及消防隐患。村集体及村民都有着强烈的改造意愿，纳入旧屋村认定范围，符合市政府关于扩大旧屋村政策适用范围，且不损害国家利益，否则会形成新的城中村问题。</w:t>
            </w:r>
          </w:p>
        </w:tc>
        <w:tc>
          <w:tcPr>
            <w:tcW w:w="3827" w:type="dxa"/>
            <w:vAlign w:val="center"/>
          </w:tcPr>
          <w:p w:rsidR="003C7178" w:rsidRPr="00F95C5E" w:rsidRDefault="003C7178" w:rsidP="003C7178">
            <w:pPr>
              <w:rPr>
                <w:rFonts w:ascii="仿宋" w:eastAsia="仿宋" w:hAnsi="仿宋"/>
                <w:sz w:val="24"/>
                <w:szCs w:val="24"/>
              </w:rPr>
            </w:pPr>
            <w:r>
              <w:rPr>
                <w:rFonts w:ascii="仿宋" w:eastAsia="仿宋" w:hAnsi="仿宋" w:hint="eastAsia"/>
                <w:sz w:val="24"/>
                <w:szCs w:val="24"/>
              </w:rPr>
              <w:t>解释。关于第四条第一款，《认定办法》对旧屋村范围认定、保障原农村权益，是遵循对“旧（祖）屋”权益予以保障的基本原则或思路，旧屋村的概念及其范围的划定均以旧（祖）屋集中居住区域为核心，旧（祖）屋及为生活服务的公共服务设施应纳入旧屋村范围，而厂房及其他生产经营性用房则与此基本原则不符，将其划入旧屋村范围缺乏依据。</w:t>
            </w:r>
          </w:p>
          <w:p w:rsidR="003C7178" w:rsidRPr="00420AA7" w:rsidRDefault="003C7178" w:rsidP="003C7178">
            <w:pPr>
              <w:rPr>
                <w:rFonts w:ascii="仿宋" w:eastAsia="仿宋" w:hAnsi="仿宋"/>
                <w:sz w:val="24"/>
                <w:szCs w:val="24"/>
              </w:rPr>
            </w:pPr>
            <w:r>
              <w:rPr>
                <w:rFonts w:ascii="仿宋" w:eastAsia="仿宋" w:hAnsi="仿宋" w:hint="eastAsia"/>
                <w:sz w:val="24"/>
                <w:szCs w:val="24"/>
              </w:rPr>
              <w:t>关于第四条第二款，见上一条反馈。</w:t>
            </w:r>
          </w:p>
        </w:tc>
      </w:tr>
      <w:tr w:rsidR="003C7178" w:rsidRPr="00340600" w:rsidTr="00FE61A5">
        <w:trPr>
          <w:trHeight w:val="2067"/>
        </w:trPr>
        <w:tc>
          <w:tcPr>
            <w:tcW w:w="1101" w:type="dxa"/>
            <w:vAlign w:val="center"/>
          </w:tcPr>
          <w:p w:rsidR="003C7178" w:rsidRPr="00D65928" w:rsidRDefault="003C7178" w:rsidP="003C7178">
            <w:pPr>
              <w:jc w:val="center"/>
              <w:rPr>
                <w:rFonts w:ascii="仿宋" w:eastAsia="仿宋" w:hAnsi="仿宋"/>
                <w:b/>
                <w:sz w:val="24"/>
                <w:szCs w:val="24"/>
              </w:rPr>
            </w:pPr>
            <w:r>
              <w:rPr>
                <w:rFonts w:ascii="仿宋" w:eastAsia="仿宋" w:hAnsi="仿宋" w:hint="eastAsia"/>
                <w:b/>
                <w:sz w:val="24"/>
                <w:szCs w:val="24"/>
              </w:rPr>
              <w:t>第六条</w:t>
            </w:r>
          </w:p>
        </w:tc>
        <w:tc>
          <w:tcPr>
            <w:tcW w:w="1559" w:type="dxa"/>
            <w:vAlign w:val="center"/>
          </w:tcPr>
          <w:p w:rsidR="003C7178" w:rsidRPr="00D65928" w:rsidRDefault="003C7178" w:rsidP="003C7178">
            <w:pPr>
              <w:jc w:val="center"/>
              <w:rPr>
                <w:rFonts w:ascii="仿宋" w:eastAsia="仿宋" w:hAnsi="仿宋"/>
                <w:b/>
                <w:sz w:val="24"/>
                <w:szCs w:val="24"/>
              </w:rPr>
            </w:pPr>
            <w:r>
              <w:rPr>
                <w:rFonts w:ascii="仿宋" w:eastAsia="仿宋" w:hAnsi="仿宋" w:hint="eastAsia"/>
                <w:b/>
                <w:sz w:val="24"/>
                <w:szCs w:val="24"/>
              </w:rPr>
              <w:t>个人</w:t>
            </w:r>
          </w:p>
        </w:tc>
        <w:tc>
          <w:tcPr>
            <w:tcW w:w="7229" w:type="dxa"/>
            <w:vAlign w:val="center"/>
          </w:tcPr>
          <w:p w:rsidR="003C7178" w:rsidRPr="00D65928" w:rsidRDefault="003C7178" w:rsidP="003C7178">
            <w:pPr>
              <w:jc w:val="left"/>
              <w:rPr>
                <w:rFonts w:ascii="仿宋" w:eastAsia="仿宋" w:hAnsi="仿宋"/>
                <w:sz w:val="24"/>
                <w:szCs w:val="24"/>
              </w:rPr>
            </w:pPr>
            <w:r w:rsidRPr="00C72446">
              <w:rPr>
                <w:rFonts w:ascii="仿宋" w:eastAsia="仿宋" w:hAnsi="仿宋" w:hint="eastAsia"/>
                <w:sz w:val="24"/>
                <w:szCs w:val="24"/>
              </w:rPr>
              <w:t>建议取消街道办对旧屋村范围图的审查意见一项目，因为关于旧屋村认定的资料街道办没有，93年地形图，房产证信息等主要审查资料都在上级部门，街道办无没能力进行审查，只是增加了企业的办理流程。建议调整为街街道配合区更新局对旧屋村进行现场核查。</w:t>
            </w:r>
          </w:p>
        </w:tc>
        <w:tc>
          <w:tcPr>
            <w:tcW w:w="3827" w:type="dxa"/>
            <w:vAlign w:val="center"/>
          </w:tcPr>
          <w:p w:rsidR="003C7178" w:rsidRPr="00A307A4" w:rsidRDefault="003C7178" w:rsidP="003C7178">
            <w:pPr>
              <w:rPr>
                <w:rFonts w:ascii="仿宋" w:eastAsia="仿宋" w:hAnsi="仿宋"/>
                <w:sz w:val="24"/>
                <w:szCs w:val="24"/>
              </w:rPr>
            </w:pPr>
            <w:r>
              <w:rPr>
                <w:rFonts w:ascii="仿宋" w:eastAsia="仿宋" w:hAnsi="仿宋" w:hint="eastAsia"/>
                <w:sz w:val="24"/>
                <w:szCs w:val="24"/>
              </w:rPr>
              <w:t>解释。街道办是基层最重要的社会组织，全面、深入了解与掌握基层各方面情况，为确保旧屋村认定工作严谨全面、公平公正、避免错漏，妥善起见，</w:t>
            </w:r>
            <w:r w:rsidRPr="004531E4">
              <w:rPr>
                <w:rFonts w:ascii="仿宋" w:eastAsia="仿宋" w:hAnsi="仿宋" w:hint="eastAsia"/>
                <w:sz w:val="24"/>
                <w:szCs w:val="24"/>
              </w:rPr>
              <w:t>旧屋村范围报审图</w:t>
            </w:r>
            <w:r>
              <w:rPr>
                <w:rFonts w:ascii="仿宋" w:eastAsia="仿宋" w:hAnsi="仿宋" w:hint="eastAsia"/>
                <w:sz w:val="24"/>
                <w:szCs w:val="24"/>
              </w:rPr>
              <w:t>需经过</w:t>
            </w:r>
            <w:r w:rsidRPr="004531E4">
              <w:rPr>
                <w:rFonts w:ascii="仿宋" w:eastAsia="仿宋" w:hAnsi="仿宋" w:hint="eastAsia"/>
                <w:sz w:val="24"/>
                <w:szCs w:val="24"/>
              </w:rPr>
              <w:t>街道办</w:t>
            </w:r>
            <w:r>
              <w:rPr>
                <w:rFonts w:ascii="仿宋" w:eastAsia="仿宋" w:hAnsi="仿宋" w:hint="eastAsia"/>
                <w:sz w:val="24"/>
                <w:szCs w:val="24"/>
              </w:rPr>
              <w:t>审查。</w:t>
            </w:r>
          </w:p>
        </w:tc>
      </w:tr>
    </w:tbl>
    <w:p w:rsidR="003C7178" w:rsidRPr="003C7178" w:rsidRDefault="003C7178" w:rsidP="003C7178"/>
    <w:p w:rsidR="002B51F4" w:rsidRDefault="002B51F4">
      <w:pPr>
        <w:widowControl/>
        <w:jc w:val="left"/>
        <w:rPr>
          <w:rFonts w:ascii="仿宋" w:eastAsia="仿宋" w:hAnsi="仿宋"/>
          <w:b/>
          <w:sz w:val="30"/>
          <w:szCs w:val="30"/>
        </w:rPr>
      </w:pPr>
    </w:p>
    <w:sectPr w:rsidR="002B51F4" w:rsidSect="00862A95">
      <w:pgSz w:w="16838" w:h="11906" w:orient="landscape" w:code="9"/>
      <w:pgMar w:top="1797" w:right="1440" w:bottom="1797" w:left="1440"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454" w:rsidRDefault="000B1454" w:rsidP="00CB77D1">
      <w:r>
        <w:separator/>
      </w:r>
    </w:p>
  </w:endnote>
  <w:endnote w:type="continuationSeparator" w:id="0">
    <w:p w:rsidR="000B1454" w:rsidRDefault="000B1454" w:rsidP="00CB7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76821"/>
      <w:docPartObj>
        <w:docPartGallery w:val="Page Numbers (Bottom of Page)"/>
        <w:docPartUnique/>
      </w:docPartObj>
    </w:sdtPr>
    <w:sdtEndPr/>
    <w:sdtContent>
      <w:p w:rsidR="005D7160" w:rsidRDefault="005D7160" w:rsidP="00CC104D">
        <w:pPr>
          <w:pStyle w:val="a4"/>
          <w:jc w:val="center"/>
        </w:pPr>
        <w:r>
          <w:fldChar w:fldCharType="begin"/>
        </w:r>
        <w:r>
          <w:instrText>PAGE   \* MERGEFORMAT</w:instrText>
        </w:r>
        <w:r>
          <w:fldChar w:fldCharType="separate"/>
        </w:r>
        <w:r w:rsidR="000B1454" w:rsidRPr="000B1454">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454" w:rsidRDefault="000B1454" w:rsidP="00CB77D1">
      <w:r>
        <w:separator/>
      </w:r>
    </w:p>
  </w:footnote>
  <w:footnote w:type="continuationSeparator" w:id="0">
    <w:p w:rsidR="000B1454" w:rsidRDefault="000B1454" w:rsidP="00CB77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920E9"/>
    <w:multiLevelType w:val="hybridMultilevel"/>
    <w:tmpl w:val="4BA8035C"/>
    <w:lvl w:ilvl="0" w:tplc="47CCC1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DD5483"/>
    <w:multiLevelType w:val="hybridMultilevel"/>
    <w:tmpl w:val="99A01612"/>
    <w:lvl w:ilvl="0" w:tplc="F51487F4">
      <w:start w:val="1"/>
      <w:numFmt w:val="japaneseCounting"/>
      <w:lvlText w:val="第%1条"/>
      <w:lvlJc w:val="left"/>
      <w:pPr>
        <w:ind w:left="2501" w:hanging="1650"/>
      </w:pPr>
      <w:rPr>
        <w:rFonts w:hint="default"/>
        <w:b/>
        <w:lang w:val="en-US"/>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1B886E28"/>
    <w:multiLevelType w:val="hybridMultilevel"/>
    <w:tmpl w:val="07F80D96"/>
    <w:lvl w:ilvl="0" w:tplc="F51487F4">
      <w:start w:val="1"/>
      <w:numFmt w:val="japaneseCounting"/>
      <w:lvlText w:val="第%1条"/>
      <w:lvlJc w:val="left"/>
      <w:pPr>
        <w:ind w:left="3210" w:hanging="1650"/>
      </w:pPr>
      <w:rPr>
        <w:rFonts w:hint="default"/>
        <w:b/>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D0106F7"/>
    <w:multiLevelType w:val="hybridMultilevel"/>
    <w:tmpl w:val="AAE25126"/>
    <w:lvl w:ilvl="0" w:tplc="9ABED52C">
      <w:start w:val="1"/>
      <w:numFmt w:val="decimal"/>
      <w:lvlText w:val="%1、"/>
      <w:lvlJc w:val="left"/>
      <w:pPr>
        <w:ind w:left="1773" w:hanging="1110"/>
      </w:pPr>
      <w:rPr>
        <w:rFonts w:ascii="仿宋" w:eastAsia="仿宋" w:hAnsi="仿宋" w:cs="Calibri"/>
      </w:rPr>
    </w:lvl>
    <w:lvl w:ilvl="1" w:tplc="04090019" w:tentative="1">
      <w:start w:val="1"/>
      <w:numFmt w:val="lowerLetter"/>
      <w:lvlText w:val="%2)"/>
      <w:lvlJc w:val="left"/>
      <w:pPr>
        <w:ind w:left="1503" w:hanging="420"/>
      </w:pPr>
    </w:lvl>
    <w:lvl w:ilvl="2" w:tplc="0409001B" w:tentative="1">
      <w:start w:val="1"/>
      <w:numFmt w:val="lowerRoman"/>
      <w:lvlText w:val="%3."/>
      <w:lvlJc w:val="right"/>
      <w:pPr>
        <w:ind w:left="1923" w:hanging="420"/>
      </w:pPr>
    </w:lvl>
    <w:lvl w:ilvl="3" w:tplc="0409000F" w:tentative="1">
      <w:start w:val="1"/>
      <w:numFmt w:val="decimal"/>
      <w:lvlText w:val="%4."/>
      <w:lvlJc w:val="left"/>
      <w:pPr>
        <w:ind w:left="2343" w:hanging="420"/>
      </w:pPr>
    </w:lvl>
    <w:lvl w:ilvl="4" w:tplc="04090019" w:tentative="1">
      <w:start w:val="1"/>
      <w:numFmt w:val="lowerLetter"/>
      <w:lvlText w:val="%5)"/>
      <w:lvlJc w:val="left"/>
      <w:pPr>
        <w:ind w:left="2763" w:hanging="420"/>
      </w:pPr>
    </w:lvl>
    <w:lvl w:ilvl="5" w:tplc="0409001B" w:tentative="1">
      <w:start w:val="1"/>
      <w:numFmt w:val="lowerRoman"/>
      <w:lvlText w:val="%6."/>
      <w:lvlJc w:val="right"/>
      <w:pPr>
        <w:ind w:left="3183" w:hanging="420"/>
      </w:pPr>
    </w:lvl>
    <w:lvl w:ilvl="6" w:tplc="0409000F" w:tentative="1">
      <w:start w:val="1"/>
      <w:numFmt w:val="decimal"/>
      <w:lvlText w:val="%7."/>
      <w:lvlJc w:val="left"/>
      <w:pPr>
        <w:ind w:left="3603" w:hanging="420"/>
      </w:pPr>
    </w:lvl>
    <w:lvl w:ilvl="7" w:tplc="04090019" w:tentative="1">
      <w:start w:val="1"/>
      <w:numFmt w:val="lowerLetter"/>
      <w:lvlText w:val="%8)"/>
      <w:lvlJc w:val="left"/>
      <w:pPr>
        <w:ind w:left="4023" w:hanging="420"/>
      </w:pPr>
    </w:lvl>
    <w:lvl w:ilvl="8" w:tplc="0409001B" w:tentative="1">
      <w:start w:val="1"/>
      <w:numFmt w:val="lowerRoman"/>
      <w:lvlText w:val="%9."/>
      <w:lvlJc w:val="right"/>
      <w:pPr>
        <w:ind w:left="4443" w:hanging="420"/>
      </w:pPr>
    </w:lvl>
  </w:abstractNum>
  <w:abstractNum w:abstractNumId="4">
    <w:nsid w:val="4A8B7DC4"/>
    <w:multiLevelType w:val="hybridMultilevel"/>
    <w:tmpl w:val="E5A215B0"/>
    <w:lvl w:ilvl="0" w:tplc="219E334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4452A68"/>
    <w:multiLevelType w:val="hybridMultilevel"/>
    <w:tmpl w:val="60B8EBF8"/>
    <w:lvl w:ilvl="0" w:tplc="43BC0B4A">
      <w:start w:val="1"/>
      <w:numFmt w:val="japaneseCounting"/>
      <w:lvlText w:val="第%1条"/>
      <w:lvlJc w:val="left"/>
      <w:pPr>
        <w:ind w:left="3210" w:hanging="1650"/>
      </w:pPr>
      <w:rPr>
        <w:rFonts w:hint="default"/>
        <w:b/>
        <w:lang w:val="en-US"/>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nsid w:val="67DB7C2E"/>
    <w:multiLevelType w:val="hybridMultilevel"/>
    <w:tmpl w:val="99A01612"/>
    <w:lvl w:ilvl="0" w:tplc="F51487F4">
      <w:start w:val="1"/>
      <w:numFmt w:val="japaneseCounting"/>
      <w:lvlText w:val="第%1条"/>
      <w:lvlJc w:val="left"/>
      <w:pPr>
        <w:ind w:left="2501" w:hanging="1650"/>
      </w:pPr>
      <w:rPr>
        <w:rFonts w:hint="default"/>
        <w:b/>
        <w:lang w:val="en-US"/>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3"/>
  </w:num>
  <w:num w:numId="2">
    <w:abstractNumId w:val="4"/>
  </w:num>
  <w:num w:numId="3">
    <w:abstractNumId w:val="6"/>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ED8"/>
    <w:rsid w:val="0001423F"/>
    <w:rsid w:val="000355F8"/>
    <w:rsid w:val="0004395D"/>
    <w:rsid w:val="00052414"/>
    <w:rsid w:val="00063C1F"/>
    <w:rsid w:val="000665A9"/>
    <w:rsid w:val="0008313F"/>
    <w:rsid w:val="00090F3A"/>
    <w:rsid w:val="00095E23"/>
    <w:rsid w:val="000A0ED8"/>
    <w:rsid w:val="000B1454"/>
    <w:rsid w:val="000B445A"/>
    <w:rsid w:val="000C6577"/>
    <w:rsid w:val="00107F52"/>
    <w:rsid w:val="00140245"/>
    <w:rsid w:val="001450C1"/>
    <w:rsid w:val="001546C4"/>
    <w:rsid w:val="00173D8B"/>
    <w:rsid w:val="00181266"/>
    <w:rsid w:val="00181D71"/>
    <w:rsid w:val="001931AB"/>
    <w:rsid w:val="001A03FC"/>
    <w:rsid w:val="001A1EC7"/>
    <w:rsid w:val="001E2E2A"/>
    <w:rsid w:val="00214AE8"/>
    <w:rsid w:val="00241B8C"/>
    <w:rsid w:val="00245548"/>
    <w:rsid w:val="002504F8"/>
    <w:rsid w:val="002872E1"/>
    <w:rsid w:val="002B51F4"/>
    <w:rsid w:val="002C3B83"/>
    <w:rsid w:val="002E095B"/>
    <w:rsid w:val="002E2902"/>
    <w:rsid w:val="002E465C"/>
    <w:rsid w:val="003726D9"/>
    <w:rsid w:val="0038312C"/>
    <w:rsid w:val="003C2DA2"/>
    <w:rsid w:val="003C7178"/>
    <w:rsid w:val="003D15BB"/>
    <w:rsid w:val="003D3016"/>
    <w:rsid w:val="003F0EC4"/>
    <w:rsid w:val="004146B2"/>
    <w:rsid w:val="00420357"/>
    <w:rsid w:val="00444468"/>
    <w:rsid w:val="00446030"/>
    <w:rsid w:val="004531E4"/>
    <w:rsid w:val="00453A70"/>
    <w:rsid w:val="00460B6F"/>
    <w:rsid w:val="00462679"/>
    <w:rsid w:val="00492BC5"/>
    <w:rsid w:val="004A3472"/>
    <w:rsid w:val="005143D4"/>
    <w:rsid w:val="00522F91"/>
    <w:rsid w:val="00573991"/>
    <w:rsid w:val="00594BB3"/>
    <w:rsid w:val="005B58C6"/>
    <w:rsid w:val="005C2AFD"/>
    <w:rsid w:val="005C7973"/>
    <w:rsid w:val="005D6244"/>
    <w:rsid w:val="005D7160"/>
    <w:rsid w:val="005F38C7"/>
    <w:rsid w:val="005F4AB1"/>
    <w:rsid w:val="00604B8B"/>
    <w:rsid w:val="006134A0"/>
    <w:rsid w:val="00613792"/>
    <w:rsid w:val="00614FAE"/>
    <w:rsid w:val="00622C56"/>
    <w:rsid w:val="006241AD"/>
    <w:rsid w:val="00676FE5"/>
    <w:rsid w:val="00694C28"/>
    <w:rsid w:val="006B6289"/>
    <w:rsid w:val="006C181D"/>
    <w:rsid w:val="006C40A5"/>
    <w:rsid w:val="0074251D"/>
    <w:rsid w:val="00764BC2"/>
    <w:rsid w:val="00770400"/>
    <w:rsid w:val="0079095D"/>
    <w:rsid w:val="00796DFB"/>
    <w:rsid w:val="007B3133"/>
    <w:rsid w:val="007C4D24"/>
    <w:rsid w:val="007F2F29"/>
    <w:rsid w:val="008150D6"/>
    <w:rsid w:val="00855046"/>
    <w:rsid w:val="00862A95"/>
    <w:rsid w:val="00880C3F"/>
    <w:rsid w:val="008F1120"/>
    <w:rsid w:val="00905074"/>
    <w:rsid w:val="00912317"/>
    <w:rsid w:val="00960AD6"/>
    <w:rsid w:val="009625B2"/>
    <w:rsid w:val="00987C96"/>
    <w:rsid w:val="00991348"/>
    <w:rsid w:val="0099236B"/>
    <w:rsid w:val="009C463A"/>
    <w:rsid w:val="009E31C6"/>
    <w:rsid w:val="009F3418"/>
    <w:rsid w:val="00A14B35"/>
    <w:rsid w:val="00A251D5"/>
    <w:rsid w:val="00A2546F"/>
    <w:rsid w:val="00A3619A"/>
    <w:rsid w:val="00A55B32"/>
    <w:rsid w:val="00A948FE"/>
    <w:rsid w:val="00AB2C6D"/>
    <w:rsid w:val="00AC07A9"/>
    <w:rsid w:val="00AC0CBC"/>
    <w:rsid w:val="00B419E6"/>
    <w:rsid w:val="00B42650"/>
    <w:rsid w:val="00B440B9"/>
    <w:rsid w:val="00B734E6"/>
    <w:rsid w:val="00B87A55"/>
    <w:rsid w:val="00BA1B84"/>
    <w:rsid w:val="00BA7F0F"/>
    <w:rsid w:val="00BB6968"/>
    <w:rsid w:val="00BB6E3C"/>
    <w:rsid w:val="00BC0EA2"/>
    <w:rsid w:val="00BD1821"/>
    <w:rsid w:val="00BD5069"/>
    <w:rsid w:val="00C039C2"/>
    <w:rsid w:val="00C11A92"/>
    <w:rsid w:val="00C27178"/>
    <w:rsid w:val="00C340FA"/>
    <w:rsid w:val="00C66D89"/>
    <w:rsid w:val="00C8338B"/>
    <w:rsid w:val="00C92D52"/>
    <w:rsid w:val="00C962A8"/>
    <w:rsid w:val="00CB77D1"/>
    <w:rsid w:val="00CC104D"/>
    <w:rsid w:val="00CD5B12"/>
    <w:rsid w:val="00CD5B18"/>
    <w:rsid w:val="00CE0F11"/>
    <w:rsid w:val="00CE43F7"/>
    <w:rsid w:val="00CF6D58"/>
    <w:rsid w:val="00D1069E"/>
    <w:rsid w:val="00D10B02"/>
    <w:rsid w:val="00D20B07"/>
    <w:rsid w:val="00D37A1B"/>
    <w:rsid w:val="00D37ABF"/>
    <w:rsid w:val="00D43ED6"/>
    <w:rsid w:val="00D5206B"/>
    <w:rsid w:val="00D866FA"/>
    <w:rsid w:val="00DA2A39"/>
    <w:rsid w:val="00DB2510"/>
    <w:rsid w:val="00E0760B"/>
    <w:rsid w:val="00E126A7"/>
    <w:rsid w:val="00E13AE7"/>
    <w:rsid w:val="00E154B7"/>
    <w:rsid w:val="00E26588"/>
    <w:rsid w:val="00E72602"/>
    <w:rsid w:val="00E852A5"/>
    <w:rsid w:val="00EF162F"/>
    <w:rsid w:val="00F23254"/>
    <w:rsid w:val="00F26035"/>
    <w:rsid w:val="00F34C2B"/>
    <w:rsid w:val="00F81081"/>
    <w:rsid w:val="00F8216E"/>
    <w:rsid w:val="00FA4251"/>
    <w:rsid w:val="00FB190B"/>
    <w:rsid w:val="00FC72AC"/>
    <w:rsid w:val="00FD65CE"/>
    <w:rsid w:val="00FE6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B4265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80C3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77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77D1"/>
    <w:rPr>
      <w:sz w:val="18"/>
      <w:szCs w:val="18"/>
    </w:rPr>
  </w:style>
  <w:style w:type="paragraph" w:styleId="a4">
    <w:name w:val="footer"/>
    <w:basedOn w:val="a"/>
    <w:link w:val="Char0"/>
    <w:uiPriority w:val="99"/>
    <w:unhideWhenUsed/>
    <w:rsid w:val="00CB77D1"/>
    <w:pPr>
      <w:tabs>
        <w:tab w:val="center" w:pos="4153"/>
        <w:tab w:val="right" w:pos="8306"/>
      </w:tabs>
      <w:snapToGrid w:val="0"/>
      <w:jc w:val="left"/>
    </w:pPr>
    <w:rPr>
      <w:sz w:val="18"/>
      <w:szCs w:val="18"/>
    </w:rPr>
  </w:style>
  <w:style w:type="character" w:customStyle="1" w:styleId="Char0">
    <w:name w:val="页脚 Char"/>
    <w:basedOn w:val="a0"/>
    <w:link w:val="a4"/>
    <w:uiPriority w:val="99"/>
    <w:rsid w:val="00CB77D1"/>
    <w:rPr>
      <w:sz w:val="18"/>
      <w:szCs w:val="18"/>
    </w:rPr>
  </w:style>
  <w:style w:type="table" w:styleId="a5">
    <w:name w:val="Table Grid"/>
    <w:basedOn w:val="a1"/>
    <w:uiPriority w:val="59"/>
    <w:rsid w:val="00214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sid w:val="00B42650"/>
    <w:rPr>
      <w:b/>
      <w:bCs/>
      <w:kern w:val="44"/>
      <w:sz w:val="44"/>
      <w:szCs w:val="44"/>
    </w:rPr>
  </w:style>
  <w:style w:type="paragraph" w:styleId="a6">
    <w:name w:val="List Paragraph"/>
    <w:basedOn w:val="a"/>
    <w:uiPriority w:val="34"/>
    <w:qFormat/>
    <w:rsid w:val="00B42650"/>
    <w:pPr>
      <w:ind w:firstLineChars="200" w:firstLine="420"/>
    </w:pPr>
  </w:style>
  <w:style w:type="paragraph" w:styleId="a7">
    <w:name w:val="Balloon Text"/>
    <w:basedOn w:val="a"/>
    <w:link w:val="Char1"/>
    <w:uiPriority w:val="99"/>
    <w:semiHidden/>
    <w:unhideWhenUsed/>
    <w:rsid w:val="00B42650"/>
    <w:rPr>
      <w:sz w:val="18"/>
      <w:szCs w:val="18"/>
    </w:rPr>
  </w:style>
  <w:style w:type="character" w:customStyle="1" w:styleId="Char1">
    <w:name w:val="批注框文本 Char"/>
    <w:basedOn w:val="a0"/>
    <w:link w:val="a7"/>
    <w:uiPriority w:val="99"/>
    <w:semiHidden/>
    <w:rsid w:val="00B42650"/>
    <w:rPr>
      <w:sz w:val="18"/>
      <w:szCs w:val="18"/>
    </w:rPr>
  </w:style>
  <w:style w:type="character" w:styleId="a8">
    <w:name w:val="annotation reference"/>
    <w:basedOn w:val="a0"/>
    <w:uiPriority w:val="99"/>
    <w:semiHidden/>
    <w:unhideWhenUsed/>
    <w:rsid w:val="0038312C"/>
    <w:rPr>
      <w:sz w:val="21"/>
      <w:szCs w:val="21"/>
    </w:rPr>
  </w:style>
  <w:style w:type="paragraph" w:styleId="a9">
    <w:name w:val="annotation text"/>
    <w:basedOn w:val="a"/>
    <w:link w:val="Char2"/>
    <w:uiPriority w:val="99"/>
    <w:semiHidden/>
    <w:unhideWhenUsed/>
    <w:rsid w:val="0038312C"/>
    <w:pPr>
      <w:jc w:val="left"/>
    </w:pPr>
  </w:style>
  <w:style w:type="character" w:customStyle="1" w:styleId="Char2">
    <w:name w:val="批注文字 Char"/>
    <w:basedOn w:val="a0"/>
    <w:link w:val="a9"/>
    <w:uiPriority w:val="99"/>
    <w:semiHidden/>
    <w:rsid w:val="0038312C"/>
  </w:style>
  <w:style w:type="paragraph" w:styleId="aa">
    <w:name w:val="annotation subject"/>
    <w:basedOn w:val="a9"/>
    <w:next w:val="a9"/>
    <w:link w:val="Char3"/>
    <w:uiPriority w:val="99"/>
    <w:semiHidden/>
    <w:unhideWhenUsed/>
    <w:rsid w:val="0038312C"/>
    <w:rPr>
      <w:b/>
      <w:bCs/>
    </w:rPr>
  </w:style>
  <w:style w:type="character" w:customStyle="1" w:styleId="Char3">
    <w:name w:val="批注主题 Char"/>
    <w:basedOn w:val="Char2"/>
    <w:link w:val="aa"/>
    <w:uiPriority w:val="99"/>
    <w:semiHidden/>
    <w:rsid w:val="0038312C"/>
    <w:rPr>
      <w:b/>
      <w:bCs/>
    </w:rPr>
  </w:style>
  <w:style w:type="character" w:customStyle="1" w:styleId="2Char">
    <w:name w:val="标题 2 Char"/>
    <w:basedOn w:val="a0"/>
    <w:link w:val="2"/>
    <w:uiPriority w:val="9"/>
    <w:rsid w:val="00880C3F"/>
    <w:rPr>
      <w:rFonts w:asciiTheme="majorHAnsi" w:eastAsiaTheme="majorEastAsia" w:hAnsiTheme="majorHAnsi" w:cstheme="majorBidi"/>
      <w:b/>
      <w:bCs/>
      <w:sz w:val="32"/>
      <w:szCs w:val="32"/>
    </w:rPr>
  </w:style>
  <w:style w:type="table" w:customStyle="1" w:styleId="10">
    <w:name w:val="网格型1"/>
    <w:basedOn w:val="a1"/>
    <w:next w:val="a5"/>
    <w:uiPriority w:val="59"/>
    <w:rsid w:val="00446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a1"/>
    <w:next w:val="a5"/>
    <w:uiPriority w:val="59"/>
    <w:rsid w:val="00446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next w:val="a5"/>
    <w:uiPriority w:val="59"/>
    <w:rsid w:val="00446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a1"/>
    <w:next w:val="a5"/>
    <w:uiPriority w:val="59"/>
    <w:rsid w:val="00446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a1"/>
    <w:next w:val="a5"/>
    <w:uiPriority w:val="59"/>
    <w:rsid w:val="00E85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B4265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80C3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77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77D1"/>
    <w:rPr>
      <w:sz w:val="18"/>
      <w:szCs w:val="18"/>
    </w:rPr>
  </w:style>
  <w:style w:type="paragraph" w:styleId="a4">
    <w:name w:val="footer"/>
    <w:basedOn w:val="a"/>
    <w:link w:val="Char0"/>
    <w:uiPriority w:val="99"/>
    <w:unhideWhenUsed/>
    <w:rsid w:val="00CB77D1"/>
    <w:pPr>
      <w:tabs>
        <w:tab w:val="center" w:pos="4153"/>
        <w:tab w:val="right" w:pos="8306"/>
      </w:tabs>
      <w:snapToGrid w:val="0"/>
      <w:jc w:val="left"/>
    </w:pPr>
    <w:rPr>
      <w:sz w:val="18"/>
      <w:szCs w:val="18"/>
    </w:rPr>
  </w:style>
  <w:style w:type="character" w:customStyle="1" w:styleId="Char0">
    <w:name w:val="页脚 Char"/>
    <w:basedOn w:val="a0"/>
    <w:link w:val="a4"/>
    <w:uiPriority w:val="99"/>
    <w:rsid w:val="00CB77D1"/>
    <w:rPr>
      <w:sz w:val="18"/>
      <w:szCs w:val="18"/>
    </w:rPr>
  </w:style>
  <w:style w:type="table" w:styleId="a5">
    <w:name w:val="Table Grid"/>
    <w:basedOn w:val="a1"/>
    <w:uiPriority w:val="59"/>
    <w:rsid w:val="00214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sid w:val="00B42650"/>
    <w:rPr>
      <w:b/>
      <w:bCs/>
      <w:kern w:val="44"/>
      <w:sz w:val="44"/>
      <w:szCs w:val="44"/>
    </w:rPr>
  </w:style>
  <w:style w:type="paragraph" w:styleId="a6">
    <w:name w:val="List Paragraph"/>
    <w:basedOn w:val="a"/>
    <w:uiPriority w:val="34"/>
    <w:qFormat/>
    <w:rsid w:val="00B42650"/>
    <w:pPr>
      <w:ind w:firstLineChars="200" w:firstLine="420"/>
    </w:pPr>
  </w:style>
  <w:style w:type="paragraph" w:styleId="a7">
    <w:name w:val="Balloon Text"/>
    <w:basedOn w:val="a"/>
    <w:link w:val="Char1"/>
    <w:uiPriority w:val="99"/>
    <w:semiHidden/>
    <w:unhideWhenUsed/>
    <w:rsid w:val="00B42650"/>
    <w:rPr>
      <w:sz w:val="18"/>
      <w:szCs w:val="18"/>
    </w:rPr>
  </w:style>
  <w:style w:type="character" w:customStyle="1" w:styleId="Char1">
    <w:name w:val="批注框文本 Char"/>
    <w:basedOn w:val="a0"/>
    <w:link w:val="a7"/>
    <w:uiPriority w:val="99"/>
    <w:semiHidden/>
    <w:rsid w:val="00B42650"/>
    <w:rPr>
      <w:sz w:val="18"/>
      <w:szCs w:val="18"/>
    </w:rPr>
  </w:style>
  <w:style w:type="character" w:styleId="a8">
    <w:name w:val="annotation reference"/>
    <w:basedOn w:val="a0"/>
    <w:uiPriority w:val="99"/>
    <w:semiHidden/>
    <w:unhideWhenUsed/>
    <w:rsid w:val="0038312C"/>
    <w:rPr>
      <w:sz w:val="21"/>
      <w:szCs w:val="21"/>
    </w:rPr>
  </w:style>
  <w:style w:type="paragraph" w:styleId="a9">
    <w:name w:val="annotation text"/>
    <w:basedOn w:val="a"/>
    <w:link w:val="Char2"/>
    <w:uiPriority w:val="99"/>
    <w:semiHidden/>
    <w:unhideWhenUsed/>
    <w:rsid w:val="0038312C"/>
    <w:pPr>
      <w:jc w:val="left"/>
    </w:pPr>
  </w:style>
  <w:style w:type="character" w:customStyle="1" w:styleId="Char2">
    <w:name w:val="批注文字 Char"/>
    <w:basedOn w:val="a0"/>
    <w:link w:val="a9"/>
    <w:uiPriority w:val="99"/>
    <w:semiHidden/>
    <w:rsid w:val="0038312C"/>
  </w:style>
  <w:style w:type="paragraph" w:styleId="aa">
    <w:name w:val="annotation subject"/>
    <w:basedOn w:val="a9"/>
    <w:next w:val="a9"/>
    <w:link w:val="Char3"/>
    <w:uiPriority w:val="99"/>
    <w:semiHidden/>
    <w:unhideWhenUsed/>
    <w:rsid w:val="0038312C"/>
    <w:rPr>
      <w:b/>
      <w:bCs/>
    </w:rPr>
  </w:style>
  <w:style w:type="character" w:customStyle="1" w:styleId="Char3">
    <w:name w:val="批注主题 Char"/>
    <w:basedOn w:val="Char2"/>
    <w:link w:val="aa"/>
    <w:uiPriority w:val="99"/>
    <w:semiHidden/>
    <w:rsid w:val="0038312C"/>
    <w:rPr>
      <w:b/>
      <w:bCs/>
    </w:rPr>
  </w:style>
  <w:style w:type="character" w:customStyle="1" w:styleId="2Char">
    <w:name w:val="标题 2 Char"/>
    <w:basedOn w:val="a0"/>
    <w:link w:val="2"/>
    <w:uiPriority w:val="9"/>
    <w:rsid w:val="00880C3F"/>
    <w:rPr>
      <w:rFonts w:asciiTheme="majorHAnsi" w:eastAsiaTheme="majorEastAsia" w:hAnsiTheme="majorHAnsi" w:cstheme="majorBidi"/>
      <w:b/>
      <w:bCs/>
      <w:sz w:val="32"/>
      <w:szCs w:val="32"/>
    </w:rPr>
  </w:style>
  <w:style w:type="table" w:customStyle="1" w:styleId="10">
    <w:name w:val="网格型1"/>
    <w:basedOn w:val="a1"/>
    <w:next w:val="a5"/>
    <w:uiPriority w:val="59"/>
    <w:rsid w:val="00446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a1"/>
    <w:next w:val="a5"/>
    <w:uiPriority w:val="59"/>
    <w:rsid w:val="00446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next w:val="a5"/>
    <w:uiPriority w:val="59"/>
    <w:rsid w:val="00446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a1"/>
    <w:next w:val="a5"/>
    <w:uiPriority w:val="59"/>
    <w:rsid w:val="00446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a1"/>
    <w:next w:val="a5"/>
    <w:uiPriority w:val="59"/>
    <w:rsid w:val="00E85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928">
      <w:bodyDiv w:val="1"/>
      <w:marLeft w:val="0"/>
      <w:marRight w:val="0"/>
      <w:marTop w:val="0"/>
      <w:marBottom w:val="0"/>
      <w:divBdr>
        <w:top w:val="none" w:sz="0" w:space="0" w:color="auto"/>
        <w:left w:val="none" w:sz="0" w:space="0" w:color="auto"/>
        <w:bottom w:val="none" w:sz="0" w:space="0" w:color="auto"/>
        <w:right w:val="none" w:sz="0" w:space="0" w:color="auto"/>
      </w:divBdr>
    </w:div>
    <w:div w:id="110054182">
      <w:bodyDiv w:val="1"/>
      <w:marLeft w:val="0"/>
      <w:marRight w:val="0"/>
      <w:marTop w:val="0"/>
      <w:marBottom w:val="0"/>
      <w:divBdr>
        <w:top w:val="none" w:sz="0" w:space="0" w:color="auto"/>
        <w:left w:val="none" w:sz="0" w:space="0" w:color="auto"/>
        <w:bottom w:val="none" w:sz="0" w:space="0" w:color="auto"/>
        <w:right w:val="none" w:sz="0" w:space="0" w:color="auto"/>
      </w:divBdr>
    </w:div>
    <w:div w:id="182324031">
      <w:bodyDiv w:val="1"/>
      <w:marLeft w:val="0"/>
      <w:marRight w:val="0"/>
      <w:marTop w:val="0"/>
      <w:marBottom w:val="0"/>
      <w:divBdr>
        <w:top w:val="none" w:sz="0" w:space="0" w:color="auto"/>
        <w:left w:val="none" w:sz="0" w:space="0" w:color="auto"/>
        <w:bottom w:val="none" w:sz="0" w:space="0" w:color="auto"/>
        <w:right w:val="none" w:sz="0" w:space="0" w:color="auto"/>
      </w:divBdr>
    </w:div>
    <w:div w:id="195654467">
      <w:bodyDiv w:val="1"/>
      <w:marLeft w:val="0"/>
      <w:marRight w:val="0"/>
      <w:marTop w:val="0"/>
      <w:marBottom w:val="0"/>
      <w:divBdr>
        <w:top w:val="none" w:sz="0" w:space="0" w:color="auto"/>
        <w:left w:val="none" w:sz="0" w:space="0" w:color="auto"/>
        <w:bottom w:val="none" w:sz="0" w:space="0" w:color="auto"/>
        <w:right w:val="none" w:sz="0" w:space="0" w:color="auto"/>
      </w:divBdr>
    </w:div>
    <w:div w:id="656225038">
      <w:bodyDiv w:val="1"/>
      <w:marLeft w:val="0"/>
      <w:marRight w:val="0"/>
      <w:marTop w:val="0"/>
      <w:marBottom w:val="0"/>
      <w:divBdr>
        <w:top w:val="none" w:sz="0" w:space="0" w:color="auto"/>
        <w:left w:val="none" w:sz="0" w:space="0" w:color="auto"/>
        <w:bottom w:val="none" w:sz="0" w:space="0" w:color="auto"/>
        <w:right w:val="none" w:sz="0" w:space="0" w:color="auto"/>
      </w:divBdr>
    </w:div>
    <w:div w:id="817304529">
      <w:bodyDiv w:val="1"/>
      <w:marLeft w:val="0"/>
      <w:marRight w:val="0"/>
      <w:marTop w:val="0"/>
      <w:marBottom w:val="0"/>
      <w:divBdr>
        <w:top w:val="none" w:sz="0" w:space="0" w:color="auto"/>
        <w:left w:val="none" w:sz="0" w:space="0" w:color="auto"/>
        <w:bottom w:val="none" w:sz="0" w:space="0" w:color="auto"/>
        <w:right w:val="none" w:sz="0" w:space="0" w:color="auto"/>
      </w:divBdr>
    </w:div>
    <w:div w:id="826671362">
      <w:bodyDiv w:val="1"/>
      <w:marLeft w:val="0"/>
      <w:marRight w:val="0"/>
      <w:marTop w:val="0"/>
      <w:marBottom w:val="0"/>
      <w:divBdr>
        <w:top w:val="none" w:sz="0" w:space="0" w:color="auto"/>
        <w:left w:val="none" w:sz="0" w:space="0" w:color="auto"/>
        <w:bottom w:val="none" w:sz="0" w:space="0" w:color="auto"/>
        <w:right w:val="none" w:sz="0" w:space="0" w:color="auto"/>
      </w:divBdr>
    </w:div>
    <w:div w:id="871916402">
      <w:bodyDiv w:val="1"/>
      <w:marLeft w:val="0"/>
      <w:marRight w:val="0"/>
      <w:marTop w:val="0"/>
      <w:marBottom w:val="0"/>
      <w:divBdr>
        <w:top w:val="none" w:sz="0" w:space="0" w:color="auto"/>
        <w:left w:val="none" w:sz="0" w:space="0" w:color="auto"/>
        <w:bottom w:val="none" w:sz="0" w:space="0" w:color="auto"/>
        <w:right w:val="none" w:sz="0" w:space="0" w:color="auto"/>
      </w:divBdr>
    </w:div>
    <w:div w:id="1642880024">
      <w:bodyDiv w:val="1"/>
      <w:marLeft w:val="0"/>
      <w:marRight w:val="0"/>
      <w:marTop w:val="0"/>
      <w:marBottom w:val="0"/>
      <w:divBdr>
        <w:top w:val="none" w:sz="0" w:space="0" w:color="auto"/>
        <w:left w:val="none" w:sz="0" w:space="0" w:color="auto"/>
        <w:bottom w:val="none" w:sz="0" w:space="0" w:color="auto"/>
        <w:right w:val="none" w:sz="0" w:space="0" w:color="auto"/>
      </w:divBdr>
    </w:div>
    <w:div w:id="1699693242">
      <w:bodyDiv w:val="1"/>
      <w:marLeft w:val="0"/>
      <w:marRight w:val="0"/>
      <w:marTop w:val="0"/>
      <w:marBottom w:val="0"/>
      <w:divBdr>
        <w:top w:val="none" w:sz="0" w:space="0" w:color="auto"/>
        <w:left w:val="none" w:sz="0" w:space="0" w:color="auto"/>
        <w:bottom w:val="none" w:sz="0" w:space="0" w:color="auto"/>
        <w:right w:val="none" w:sz="0" w:space="0" w:color="auto"/>
      </w:divBdr>
    </w:div>
    <w:div w:id="206105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D19E3-5560-44DE-A070-143BF27BD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485</Words>
  <Characters>2766</Characters>
  <Application>Microsoft Office Word</Application>
  <DocSecurity>0</DocSecurity>
  <Lines>23</Lines>
  <Paragraphs>6</Paragraphs>
  <ScaleCrop>false</ScaleCrop>
  <Company>Chinese ORG</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null</cp:lastModifiedBy>
  <cp:revision>3</cp:revision>
  <cp:lastPrinted>2018-08-15T09:32:00Z</cp:lastPrinted>
  <dcterms:created xsi:type="dcterms:W3CDTF">2018-08-15T09:31:00Z</dcterms:created>
  <dcterms:modified xsi:type="dcterms:W3CDTF">2018-08-15T09:41:00Z</dcterms:modified>
</cp:coreProperties>
</file>