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42" w:rsidRPr="007D1A04" w:rsidRDefault="00B72B09" w:rsidP="007D1A04">
      <w:pPr>
        <w:spacing w:line="600" w:lineRule="exact"/>
        <w:jc w:val="center"/>
        <w:rPr>
          <w:rFonts w:ascii="方正小标宋简体" w:eastAsia="方正小标宋简体" w:hAnsi="宋体" w:cs="Times New Roman"/>
          <w:sz w:val="44"/>
          <w:szCs w:val="44"/>
        </w:rPr>
      </w:pPr>
      <w:r w:rsidRPr="007D1A04">
        <w:rPr>
          <w:rFonts w:ascii="方正小标宋简体" w:eastAsia="方正小标宋简体" w:hAnsi="宋体" w:cs="Times New Roman" w:hint="eastAsia"/>
          <w:sz w:val="44"/>
          <w:szCs w:val="44"/>
        </w:rPr>
        <w:t>市规划国土委关于《</w:t>
      </w:r>
      <w:r w:rsidR="004F7930" w:rsidRPr="007D1A04">
        <w:rPr>
          <w:rFonts w:ascii="方正小标宋简体" w:eastAsia="方正小标宋简体" w:hAnsi="宋体" w:cs="Times New Roman" w:hint="eastAsia"/>
          <w:sz w:val="44"/>
          <w:szCs w:val="44"/>
        </w:rPr>
        <w:t>深圳市</w:t>
      </w:r>
      <w:r w:rsidRPr="007D1A04">
        <w:rPr>
          <w:rFonts w:ascii="方正小标宋简体" w:eastAsia="方正小标宋简体" w:hAnsi="宋体" w:cs="Times New Roman" w:hint="eastAsia"/>
          <w:sz w:val="44"/>
          <w:szCs w:val="44"/>
        </w:rPr>
        <w:t>土地整备利益统筹项目管理办法（征求意见稿）》向社会征求意见收集及采纳情况的说明</w:t>
      </w:r>
    </w:p>
    <w:p w:rsidR="00B72B09" w:rsidRPr="007D1A04" w:rsidRDefault="00B72B09" w:rsidP="007D1A04">
      <w:pPr>
        <w:spacing w:line="600" w:lineRule="exact"/>
        <w:jc w:val="center"/>
        <w:rPr>
          <w:rFonts w:ascii="方正小标宋简体" w:eastAsia="方正小标宋简体" w:hAnsi="宋体" w:cs="Times New Roman"/>
          <w:sz w:val="44"/>
          <w:szCs w:val="44"/>
        </w:rPr>
      </w:pPr>
    </w:p>
    <w:p w:rsidR="00B72B09" w:rsidRPr="007D1A04" w:rsidRDefault="007D1A04" w:rsidP="007D1A04">
      <w:pPr>
        <w:spacing w:before="170" w:line="540" w:lineRule="exact"/>
        <w:ind w:right="284"/>
        <w:jc w:val="left"/>
        <w:rPr>
          <w:rFonts w:ascii="仿宋_GB2312" w:eastAsia="仿宋_GB2312" w:hAnsi="Times New Roman" w:cs="Times New Roman"/>
          <w:sz w:val="32"/>
          <w:szCs w:val="24"/>
        </w:rPr>
      </w:pPr>
      <w:r>
        <w:rPr>
          <w:rFonts w:hint="eastAsia"/>
          <w:sz w:val="32"/>
          <w:szCs w:val="32"/>
        </w:rPr>
        <w:t xml:space="preserve">   </w:t>
      </w:r>
      <w:r w:rsidR="00B72B09" w:rsidRPr="007D1A04">
        <w:rPr>
          <w:rFonts w:ascii="仿宋_GB2312" w:eastAsia="仿宋_GB2312" w:hAnsi="Times New Roman" w:cs="Times New Roman" w:hint="eastAsia"/>
          <w:sz w:val="32"/>
          <w:szCs w:val="24"/>
        </w:rPr>
        <w:t>市规划</w:t>
      </w:r>
      <w:proofErr w:type="gramStart"/>
      <w:r w:rsidR="00B72B09" w:rsidRPr="007D1A04">
        <w:rPr>
          <w:rFonts w:ascii="仿宋_GB2312" w:eastAsia="仿宋_GB2312" w:hAnsi="Times New Roman" w:cs="Times New Roman" w:hint="eastAsia"/>
          <w:sz w:val="32"/>
          <w:szCs w:val="24"/>
        </w:rPr>
        <w:t>国土委</w:t>
      </w:r>
      <w:proofErr w:type="gramEnd"/>
      <w:r w:rsidR="00B72B09" w:rsidRPr="007D1A04">
        <w:rPr>
          <w:rFonts w:ascii="仿宋_GB2312" w:eastAsia="仿宋_GB2312" w:hAnsi="Times New Roman" w:cs="Times New Roman" w:hint="eastAsia"/>
          <w:sz w:val="32"/>
          <w:szCs w:val="24"/>
        </w:rPr>
        <w:t>于2018年5月31日发布《市规划国土委关于公开征求&lt;深圳市土地整备利益统筹项目管理办法(征求意见稿）&gt;意见的通告》,得到了市民及有关单位的关注</w:t>
      </w:r>
      <w:r w:rsidR="00B16423" w:rsidRPr="007D1A04">
        <w:rPr>
          <w:rFonts w:ascii="仿宋_GB2312" w:eastAsia="仿宋_GB2312" w:hAnsi="Times New Roman" w:cs="Times New Roman" w:hint="eastAsia"/>
          <w:sz w:val="32"/>
          <w:szCs w:val="24"/>
        </w:rPr>
        <w:t>。</w:t>
      </w:r>
      <w:r w:rsidR="00B72B09" w:rsidRPr="007D1A04">
        <w:rPr>
          <w:rFonts w:ascii="仿宋_GB2312" w:eastAsia="仿宋_GB2312" w:hAnsi="Times New Roman" w:cs="Times New Roman" w:hint="eastAsia"/>
          <w:sz w:val="32"/>
          <w:szCs w:val="24"/>
        </w:rPr>
        <w:t>根据《深圳市行政机关规范性文件管理规定》（市政府令第305号）第十三条规定，现就公开征求意见期间收集到的公众意见及处理情况说明如下：</w:t>
      </w:r>
      <w:bookmarkStart w:id="0" w:name="_GoBack"/>
      <w:bookmarkEnd w:id="0"/>
    </w:p>
    <w:p w:rsidR="0093748B" w:rsidRDefault="0093748B" w:rsidP="00B72B09">
      <w:pPr>
        <w:widowControl/>
        <w:jc w:val="left"/>
        <w:rPr>
          <w:rFonts w:ascii="仿宋_GB2312" w:eastAsia="仿宋_GB2312"/>
          <w:sz w:val="32"/>
          <w:szCs w:val="32"/>
        </w:rPr>
      </w:pPr>
    </w:p>
    <w:tbl>
      <w:tblPr>
        <w:tblStyle w:val="a5"/>
        <w:tblW w:w="8636" w:type="dxa"/>
        <w:jc w:val="center"/>
        <w:tblLook w:val="04A0" w:firstRow="1" w:lastRow="0" w:firstColumn="1" w:lastColumn="0" w:noHBand="0" w:noVBand="1"/>
      </w:tblPr>
      <w:tblGrid>
        <w:gridCol w:w="816"/>
        <w:gridCol w:w="671"/>
        <w:gridCol w:w="5534"/>
        <w:gridCol w:w="1615"/>
      </w:tblGrid>
      <w:tr w:rsidR="0093748B" w:rsidRPr="0093748B" w:rsidTr="0093748B">
        <w:trPr>
          <w:cantSplit/>
          <w:tblHeader/>
          <w:jc w:val="center"/>
        </w:trPr>
        <w:tc>
          <w:tcPr>
            <w:tcW w:w="768" w:type="dxa"/>
            <w:vAlign w:val="center"/>
          </w:tcPr>
          <w:p w:rsidR="0093748B" w:rsidRPr="0093748B" w:rsidRDefault="0093748B" w:rsidP="0093748B">
            <w:pPr>
              <w:spacing w:line="460" w:lineRule="exact"/>
              <w:jc w:val="center"/>
              <w:rPr>
                <w:rFonts w:ascii="华文仿宋" w:eastAsia="华文仿宋" w:hAnsi="华文仿宋"/>
                <w:b/>
                <w:sz w:val="24"/>
                <w:szCs w:val="24"/>
              </w:rPr>
            </w:pPr>
            <w:r w:rsidRPr="0093748B">
              <w:rPr>
                <w:rFonts w:ascii="华文仿宋" w:eastAsia="华文仿宋" w:hAnsi="华文仿宋" w:hint="eastAsia"/>
                <w:b/>
                <w:sz w:val="24"/>
                <w:szCs w:val="24"/>
              </w:rPr>
              <w:t>单位及个人</w:t>
            </w:r>
          </w:p>
        </w:tc>
        <w:tc>
          <w:tcPr>
            <w:tcW w:w="673" w:type="dxa"/>
            <w:vAlign w:val="center"/>
          </w:tcPr>
          <w:p w:rsidR="0093748B" w:rsidRPr="0093748B" w:rsidRDefault="0093748B" w:rsidP="0093748B">
            <w:pPr>
              <w:spacing w:line="360" w:lineRule="auto"/>
              <w:jc w:val="center"/>
              <w:rPr>
                <w:rFonts w:ascii="华文仿宋" w:eastAsia="华文仿宋" w:hAnsi="华文仿宋"/>
                <w:b/>
                <w:sz w:val="24"/>
                <w:szCs w:val="24"/>
              </w:rPr>
            </w:pPr>
            <w:r w:rsidRPr="0093748B">
              <w:rPr>
                <w:rFonts w:ascii="华文仿宋" w:eastAsia="华文仿宋" w:hAnsi="华文仿宋" w:hint="eastAsia"/>
                <w:b/>
                <w:sz w:val="24"/>
                <w:szCs w:val="24"/>
              </w:rPr>
              <w:t>序号</w:t>
            </w:r>
          </w:p>
        </w:tc>
        <w:tc>
          <w:tcPr>
            <w:tcW w:w="5572" w:type="dxa"/>
            <w:vAlign w:val="center"/>
          </w:tcPr>
          <w:p w:rsidR="0093748B" w:rsidRPr="0093748B" w:rsidRDefault="0093748B" w:rsidP="0093748B">
            <w:pPr>
              <w:spacing w:line="360" w:lineRule="auto"/>
              <w:jc w:val="center"/>
              <w:rPr>
                <w:rFonts w:ascii="华文仿宋" w:eastAsia="华文仿宋" w:hAnsi="华文仿宋"/>
                <w:b/>
                <w:sz w:val="24"/>
                <w:szCs w:val="24"/>
              </w:rPr>
            </w:pPr>
            <w:r w:rsidRPr="0093748B">
              <w:rPr>
                <w:rFonts w:ascii="华文仿宋" w:eastAsia="华文仿宋" w:hAnsi="华文仿宋" w:hint="eastAsia"/>
                <w:b/>
                <w:sz w:val="24"/>
                <w:szCs w:val="24"/>
              </w:rPr>
              <w:t>反馈意见</w:t>
            </w:r>
          </w:p>
        </w:tc>
        <w:tc>
          <w:tcPr>
            <w:tcW w:w="1623" w:type="dxa"/>
            <w:vAlign w:val="center"/>
          </w:tcPr>
          <w:p w:rsidR="0093748B" w:rsidRPr="0093748B" w:rsidRDefault="0093748B" w:rsidP="0093748B">
            <w:pPr>
              <w:spacing w:line="360" w:lineRule="auto"/>
              <w:jc w:val="center"/>
              <w:rPr>
                <w:rFonts w:ascii="华文仿宋" w:eastAsia="华文仿宋" w:hAnsi="华文仿宋"/>
                <w:b/>
                <w:sz w:val="24"/>
                <w:szCs w:val="24"/>
              </w:rPr>
            </w:pPr>
            <w:r w:rsidRPr="0093748B">
              <w:rPr>
                <w:rFonts w:ascii="华文仿宋" w:eastAsia="华文仿宋" w:hAnsi="华文仿宋" w:hint="eastAsia"/>
                <w:b/>
                <w:sz w:val="24"/>
                <w:szCs w:val="24"/>
              </w:rPr>
              <w:t>处理情况</w:t>
            </w:r>
          </w:p>
        </w:tc>
      </w:tr>
      <w:tr w:rsidR="0093748B" w:rsidRPr="0093748B" w:rsidTr="0093748B">
        <w:trPr>
          <w:cantSplit/>
          <w:jc w:val="center"/>
        </w:trPr>
        <w:tc>
          <w:tcPr>
            <w:tcW w:w="768" w:type="dxa"/>
            <w:vAlign w:val="center"/>
          </w:tcPr>
          <w:p w:rsidR="0093748B" w:rsidRPr="0093748B" w:rsidRDefault="0093748B" w:rsidP="007D1A04">
            <w:pPr>
              <w:spacing w:line="440" w:lineRule="exact"/>
              <w:rPr>
                <w:rFonts w:ascii="华文仿宋" w:eastAsia="华文仿宋" w:hAnsi="华文仿宋"/>
                <w:b/>
                <w:sz w:val="24"/>
                <w:szCs w:val="24"/>
              </w:rPr>
            </w:pPr>
            <w:r w:rsidRPr="007D1A04">
              <w:rPr>
                <w:rFonts w:ascii="仿宋" w:eastAsia="仿宋" w:hAnsi="仿宋"/>
                <w:sz w:val="24"/>
                <w:szCs w:val="28"/>
              </w:rPr>
              <w:t>E</w:t>
            </w:r>
            <w:r w:rsidRPr="007D1A04">
              <w:rPr>
                <w:rFonts w:ascii="仿宋" w:eastAsia="仿宋" w:hAnsi="仿宋" w:hint="eastAsia"/>
                <w:sz w:val="24"/>
                <w:szCs w:val="28"/>
              </w:rPr>
              <w:t>mail用户特烦</w:t>
            </w: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1</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建议《办法》第14条【房屋拆除和土地清理】最后一句：“按照法定程序选择确定的留用土地开发主体可以参与房屋拆除和土地清理工作”修改为“按照法定程序选择确定的留用土地开发主体可以参与项目范围内建（构）筑物及青苗、附着物的补偿、拆除和土地清理工作”</w:t>
            </w:r>
          </w:p>
          <w:p w:rsidR="0093748B" w:rsidRPr="0093748B" w:rsidRDefault="0093748B" w:rsidP="0093748B">
            <w:pPr>
              <w:spacing w:line="440" w:lineRule="exact"/>
              <w:rPr>
                <w:rFonts w:ascii="仿宋" w:eastAsia="仿宋" w:hAnsi="仿宋"/>
                <w:sz w:val="24"/>
                <w:szCs w:val="28"/>
              </w:rPr>
            </w:pP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采纳。将研究制定细则明确各方的拆除和清理责任。</w:t>
            </w:r>
          </w:p>
        </w:tc>
      </w:tr>
      <w:tr w:rsidR="0093748B" w:rsidRPr="0093748B" w:rsidTr="0093748B">
        <w:trPr>
          <w:cantSplit/>
          <w:jc w:val="center"/>
        </w:trPr>
        <w:tc>
          <w:tcPr>
            <w:tcW w:w="768" w:type="dxa"/>
            <w:vMerge w:val="restart"/>
            <w:vAlign w:val="center"/>
          </w:tcPr>
          <w:p w:rsidR="0093748B" w:rsidRPr="0093748B" w:rsidRDefault="0093748B" w:rsidP="007D1A04">
            <w:pPr>
              <w:spacing w:line="440" w:lineRule="exact"/>
              <w:rPr>
                <w:rFonts w:ascii="仿宋" w:eastAsia="仿宋" w:hAnsi="仿宋"/>
                <w:b/>
                <w:sz w:val="24"/>
                <w:szCs w:val="28"/>
              </w:rPr>
            </w:pPr>
            <w:r w:rsidRPr="007D1A04">
              <w:rPr>
                <w:rFonts w:ascii="仿宋" w:eastAsia="仿宋" w:hAnsi="仿宋" w:hint="eastAsia"/>
                <w:sz w:val="24"/>
                <w:szCs w:val="28"/>
              </w:rPr>
              <w:t>国</w:t>
            </w:r>
            <w:proofErr w:type="gramStart"/>
            <w:r w:rsidRPr="007D1A04">
              <w:rPr>
                <w:rFonts w:ascii="仿宋" w:eastAsia="仿宋" w:hAnsi="仿宋" w:hint="eastAsia"/>
                <w:sz w:val="24"/>
                <w:szCs w:val="28"/>
              </w:rPr>
              <w:t>房土地</w:t>
            </w:r>
            <w:proofErr w:type="gramEnd"/>
            <w:r w:rsidRPr="007D1A04">
              <w:rPr>
                <w:rFonts w:ascii="仿宋" w:eastAsia="仿宋" w:hAnsi="仿宋" w:hint="eastAsia"/>
                <w:sz w:val="24"/>
                <w:szCs w:val="28"/>
              </w:rPr>
              <w:t>房地产评估咨询有</w:t>
            </w:r>
            <w:r w:rsidRPr="007D1A04">
              <w:rPr>
                <w:rFonts w:ascii="仿宋" w:eastAsia="仿宋" w:hAnsi="仿宋" w:hint="eastAsia"/>
                <w:sz w:val="24"/>
                <w:szCs w:val="28"/>
              </w:rPr>
              <w:lastRenderedPageBreak/>
              <w:t>限公司</w:t>
            </w: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lastRenderedPageBreak/>
              <w:t>1</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关于第二条中“利益统筹项目应纳入全市计划，并报市政府批准。”的修改建议:因为第十二条已明确实施方案由区政府审批，为充分体现“强区放权”，是否可将利益统筹项目纳入计划交由区政府批准，并报市政府备案即可；</w:t>
            </w: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解释说明。根据市政府相关文件，土地整备计划仍然由市政府负责审批。</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2</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关于“第五条土地整备资金安排”的修改建议:</w:t>
            </w:r>
            <w:proofErr w:type="gramStart"/>
            <w:r w:rsidRPr="0093748B">
              <w:rPr>
                <w:rFonts w:ascii="仿宋" w:eastAsia="仿宋" w:hAnsi="仿宋" w:hint="eastAsia"/>
                <w:sz w:val="24"/>
                <w:szCs w:val="28"/>
              </w:rPr>
              <w:t>明确建</w:t>
            </w:r>
            <w:proofErr w:type="gramEnd"/>
            <w:r w:rsidRPr="0093748B">
              <w:rPr>
                <w:rFonts w:ascii="仿宋" w:eastAsia="仿宋" w:hAnsi="仿宋" w:hint="eastAsia"/>
                <w:sz w:val="24"/>
                <w:szCs w:val="28"/>
              </w:rPr>
              <w:t>(构)筑物重置价是否包含室内二次装修装饰的价值，同时明确室内二次装修装饰、搬迁费、安置费等其他房屋搬迁可能产生费用的核算标准(可明确参照房屋征收补偿标准)，一并作为土地整备资金;</w:t>
            </w: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解释说明。利益统筹项目按照政府与社区算大帐的思路实施，资金核算规则与房屋征收有所区别，不能直接参照适用。</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3</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第六条中“包括项目范围内已批..…利益共享用地”的建议修改为:根据项目范围内已批…利益共享用地进行核算;</w:t>
            </w:r>
          </w:p>
        </w:tc>
        <w:tc>
          <w:tcPr>
            <w:tcW w:w="1623" w:type="dxa"/>
            <w:vAlign w:val="center"/>
          </w:tcPr>
          <w:p w:rsidR="0093748B" w:rsidRPr="0093748B" w:rsidRDefault="00E61BB4" w:rsidP="0093748B">
            <w:pPr>
              <w:spacing w:line="440" w:lineRule="exact"/>
              <w:rPr>
                <w:rFonts w:ascii="仿宋" w:eastAsia="仿宋" w:hAnsi="仿宋"/>
                <w:sz w:val="24"/>
                <w:szCs w:val="28"/>
              </w:rPr>
            </w:pPr>
            <w:r w:rsidRPr="00E61BB4">
              <w:rPr>
                <w:rFonts w:ascii="仿宋" w:eastAsia="仿宋" w:hAnsi="仿宋" w:hint="eastAsia"/>
                <w:sz w:val="24"/>
                <w:szCs w:val="28"/>
              </w:rPr>
              <w:t>解释说明。修改意见表述有歧义。</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4</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第六条第2点“可在项目范围内安排落实”建议修改为:可在项目范围内等面积安排落实;</w:t>
            </w: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解释说明。项目范围外调入的合法指标应按照各区的非农管理办法等相关规定进行核算后落实。</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5</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第六条表1中核算比例是“不大于”，项目实施中到底按什么比例核算，如何确定?考虑文件中第八条是支持无法安排的留用地可以调走，所以建议修改为:核算比例为确定值，即第1</w:t>
            </w:r>
            <w:proofErr w:type="gramStart"/>
            <w:r w:rsidRPr="0093748B">
              <w:rPr>
                <w:rFonts w:ascii="仿宋" w:eastAsia="仿宋" w:hAnsi="仿宋" w:hint="eastAsia"/>
                <w:sz w:val="24"/>
                <w:szCs w:val="28"/>
              </w:rPr>
              <w:t>档</w:t>
            </w:r>
            <w:proofErr w:type="gramEnd"/>
            <w:r w:rsidRPr="0093748B">
              <w:rPr>
                <w:rFonts w:ascii="仿宋" w:eastAsia="仿宋" w:hAnsi="仿宋" w:hint="eastAsia"/>
                <w:sz w:val="24"/>
                <w:szCs w:val="28"/>
              </w:rPr>
              <w:t>20%、第2</w:t>
            </w:r>
            <w:proofErr w:type="gramStart"/>
            <w:r w:rsidRPr="0093748B">
              <w:rPr>
                <w:rFonts w:ascii="仿宋" w:eastAsia="仿宋" w:hAnsi="仿宋" w:hint="eastAsia"/>
                <w:sz w:val="24"/>
                <w:szCs w:val="28"/>
              </w:rPr>
              <w:t>档</w:t>
            </w:r>
            <w:proofErr w:type="gramEnd"/>
            <w:r w:rsidRPr="0093748B">
              <w:rPr>
                <w:rFonts w:ascii="仿宋" w:eastAsia="仿宋" w:hAnsi="仿宋" w:hint="eastAsia"/>
                <w:sz w:val="24"/>
                <w:szCs w:val="28"/>
              </w:rPr>
              <w:t>20%+x、第3</w:t>
            </w:r>
            <w:proofErr w:type="gramStart"/>
            <w:r w:rsidRPr="0093748B">
              <w:rPr>
                <w:rFonts w:ascii="仿宋" w:eastAsia="仿宋" w:hAnsi="仿宋" w:hint="eastAsia"/>
                <w:sz w:val="24"/>
                <w:szCs w:val="28"/>
              </w:rPr>
              <w:t>档</w:t>
            </w:r>
            <w:proofErr w:type="gramEnd"/>
            <w:r w:rsidRPr="0093748B">
              <w:rPr>
                <w:rFonts w:ascii="仿宋" w:eastAsia="仿宋" w:hAnsi="仿宋" w:hint="eastAsia"/>
                <w:sz w:val="24"/>
                <w:szCs w:val="28"/>
              </w:rPr>
              <w:t>50%。既明确了核算具体标准，又有利于提高股份公司的积极性;</w:t>
            </w: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解释说明。部分项目可能存在项目范围内无法按照上限值留用土地的情况，因此建议保留“不大于”的表述。</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6</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关于第七条“三地”的大小和总量的建议:根据粤国土资</w:t>
            </w:r>
            <w:proofErr w:type="gramStart"/>
            <w:r w:rsidRPr="0093748B">
              <w:rPr>
                <w:rFonts w:ascii="仿宋" w:eastAsia="仿宋" w:hAnsi="仿宋" w:hint="eastAsia"/>
                <w:sz w:val="24"/>
                <w:szCs w:val="28"/>
              </w:rPr>
              <w:t>规</w:t>
            </w:r>
            <w:proofErr w:type="gramEnd"/>
            <w:r w:rsidRPr="0093748B">
              <w:rPr>
                <w:rFonts w:ascii="仿宋" w:eastAsia="仿宋" w:hAnsi="仿宋" w:hint="eastAsia"/>
                <w:sz w:val="24"/>
                <w:szCs w:val="28"/>
              </w:rPr>
              <w:t>字</w:t>
            </w:r>
            <w:proofErr w:type="gramStart"/>
            <w:r w:rsidRPr="0093748B">
              <w:rPr>
                <w:rFonts w:ascii="仿宋" w:eastAsia="仿宋" w:hAnsi="仿宋" w:hint="eastAsia"/>
                <w:sz w:val="24"/>
                <w:szCs w:val="28"/>
              </w:rPr>
              <w:t>〔</w:t>
            </w:r>
            <w:proofErr w:type="gramEnd"/>
            <w:r w:rsidRPr="0093748B">
              <w:rPr>
                <w:rFonts w:ascii="仿宋" w:eastAsia="仿宋" w:hAnsi="仿宋" w:hint="eastAsia"/>
                <w:sz w:val="24"/>
                <w:szCs w:val="28"/>
              </w:rPr>
              <w:t>2018) 3号《广东省国土资源厅关于印发深入推进“三旧”改造工作实施意见的通知》有关规定，“三地”原则上单块面积不超过3亩、累计面积不超过项目主体地块面积10%的边角地、夹心地、插花地等零星土地。现有表述与上述规定存在矛盾，建议按粤国土资</w:t>
            </w:r>
            <w:proofErr w:type="gramStart"/>
            <w:r w:rsidRPr="0093748B">
              <w:rPr>
                <w:rFonts w:ascii="仿宋" w:eastAsia="仿宋" w:hAnsi="仿宋" w:hint="eastAsia"/>
                <w:sz w:val="24"/>
                <w:szCs w:val="28"/>
              </w:rPr>
              <w:t>规</w:t>
            </w:r>
            <w:proofErr w:type="gramEnd"/>
            <w:r w:rsidRPr="0093748B">
              <w:rPr>
                <w:rFonts w:ascii="仿宋" w:eastAsia="仿宋" w:hAnsi="仿宋" w:hint="eastAsia"/>
                <w:sz w:val="24"/>
                <w:szCs w:val="28"/>
              </w:rPr>
              <w:t>字[2018]3号执行，即累计面积不超过10%，单块面积不超过3亩(2000平方米);</w:t>
            </w:r>
          </w:p>
        </w:tc>
        <w:tc>
          <w:tcPr>
            <w:tcW w:w="1623" w:type="dxa"/>
            <w:vAlign w:val="center"/>
          </w:tcPr>
          <w:p w:rsidR="0093748B" w:rsidRPr="0093748B" w:rsidRDefault="00E61BB4" w:rsidP="0093748B">
            <w:pPr>
              <w:spacing w:line="440" w:lineRule="exact"/>
              <w:rPr>
                <w:rFonts w:ascii="仿宋" w:eastAsia="仿宋" w:hAnsi="仿宋"/>
                <w:sz w:val="24"/>
                <w:szCs w:val="28"/>
              </w:rPr>
            </w:pPr>
            <w:r w:rsidRPr="00E61BB4">
              <w:rPr>
                <w:rFonts w:ascii="仿宋" w:eastAsia="仿宋" w:hAnsi="仿宋" w:hint="eastAsia"/>
                <w:sz w:val="24"/>
                <w:szCs w:val="28"/>
              </w:rPr>
              <w:t>解释说明。根据我市城市更新等相关政策，边角地、夹心地、插花地等零星土地一般不超过3000平方米，为保障相关政策一致性，建议维持3000平方米。</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7</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 xml:space="preserve">第八条中“关于留用地在项目范围外落实的，合法用地按现有政策落地是可上浮50%，应考虑政策延续性”建议修改为:合法用地按上浮50%核算;留用地分成两类标准予以安排，不超过原项目规划建设用地面积的55%部分，按上浮50%核算指标，超过55%的部分按等面积核算指标;  </w:t>
            </w:r>
          </w:p>
        </w:tc>
        <w:tc>
          <w:tcPr>
            <w:tcW w:w="1623"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解释说明。从全市政策平衡的角度考虑，建议对于合法用地在建成区安排的，按照等土地面积核算指标。</w:t>
            </w:r>
          </w:p>
        </w:tc>
      </w:tr>
      <w:tr w:rsidR="0093748B" w:rsidRPr="0093748B" w:rsidTr="0093748B">
        <w:trPr>
          <w:cantSplit/>
          <w:jc w:val="center"/>
        </w:trPr>
        <w:tc>
          <w:tcPr>
            <w:tcW w:w="768" w:type="dxa"/>
            <w:vMerge/>
            <w:vAlign w:val="center"/>
          </w:tcPr>
          <w:p w:rsidR="0093748B" w:rsidRPr="0093748B" w:rsidRDefault="0093748B" w:rsidP="0093748B">
            <w:pPr>
              <w:spacing w:line="360" w:lineRule="auto"/>
              <w:jc w:val="center"/>
              <w:rPr>
                <w:rFonts w:ascii="仿宋" w:eastAsia="仿宋" w:hAnsi="仿宋"/>
                <w:sz w:val="24"/>
                <w:szCs w:val="28"/>
              </w:rPr>
            </w:pPr>
          </w:p>
        </w:tc>
        <w:tc>
          <w:tcPr>
            <w:tcW w:w="673" w:type="dxa"/>
            <w:vAlign w:val="center"/>
          </w:tcPr>
          <w:p w:rsidR="0093748B" w:rsidRPr="0093748B" w:rsidRDefault="0093748B" w:rsidP="0093748B">
            <w:pPr>
              <w:spacing w:line="360" w:lineRule="auto"/>
              <w:jc w:val="center"/>
              <w:rPr>
                <w:rFonts w:ascii="仿宋" w:eastAsia="仿宋" w:hAnsi="仿宋"/>
                <w:sz w:val="24"/>
                <w:szCs w:val="28"/>
              </w:rPr>
            </w:pPr>
            <w:r w:rsidRPr="0093748B">
              <w:rPr>
                <w:rFonts w:ascii="仿宋" w:eastAsia="仿宋" w:hAnsi="仿宋" w:hint="eastAsia"/>
                <w:sz w:val="24"/>
                <w:szCs w:val="28"/>
              </w:rPr>
              <w:t>8</w:t>
            </w:r>
          </w:p>
        </w:tc>
        <w:tc>
          <w:tcPr>
            <w:tcW w:w="5572" w:type="dxa"/>
            <w:vAlign w:val="center"/>
          </w:tcPr>
          <w:p w:rsidR="0093748B" w:rsidRPr="0093748B" w:rsidRDefault="0093748B" w:rsidP="0093748B">
            <w:pPr>
              <w:spacing w:line="440" w:lineRule="exact"/>
              <w:rPr>
                <w:rFonts w:ascii="仿宋" w:eastAsia="仿宋" w:hAnsi="仿宋"/>
                <w:sz w:val="24"/>
                <w:szCs w:val="28"/>
              </w:rPr>
            </w:pPr>
            <w:r w:rsidRPr="0093748B">
              <w:rPr>
                <w:rFonts w:ascii="仿宋" w:eastAsia="仿宋" w:hAnsi="仿宋" w:hint="eastAsia"/>
                <w:sz w:val="24"/>
                <w:szCs w:val="28"/>
              </w:rPr>
              <w:t>第十三条“留用土地安排方式和留用土地指标规模等相关内容”建议修改为:留用土地安排方式、留用土地规模、留用土地指标规模等相关内容。</w:t>
            </w:r>
          </w:p>
        </w:tc>
        <w:tc>
          <w:tcPr>
            <w:tcW w:w="1623" w:type="dxa"/>
            <w:vAlign w:val="center"/>
          </w:tcPr>
          <w:p w:rsidR="0093748B" w:rsidRPr="0093748B" w:rsidRDefault="00E61BB4" w:rsidP="0093748B">
            <w:pPr>
              <w:spacing w:line="440" w:lineRule="exact"/>
              <w:rPr>
                <w:rFonts w:ascii="仿宋" w:eastAsia="仿宋" w:hAnsi="仿宋"/>
                <w:sz w:val="24"/>
                <w:szCs w:val="28"/>
              </w:rPr>
            </w:pPr>
            <w:r w:rsidRPr="00E61BB4">
              <w:rPr>
                <w:rFonts w:ascii="仿宋" w:eastAsia="仿宋" w:hAnsi="仿宋" w:hint="eastAsia"/>
                <w:sz w:val="24"/>
                <w:szCs w:val="28"/>
              </w:rPr>
              <w:t>解释说明。留用土地指标规模包含留用土地规模。</w:t>
            </w:r>
          </w:p>
        </w:tc>
      </w:tr>
    </w:tbl>
    <w:p w:rsidR="0093748B" w:rsidRDefault="0093748B" w:rsidP="00B72B09">
      <w:pPr>
        <w:widowControl/>
        <w:jc w:val="left"/>
        <w:rPr>
          <w:sz w:val="32"/>
          <w:szCs w:val="32"/>
        </w:rPr>
      </w:pPr>
    </w:p>
    <w:p w:rsidR="0093748B" w:rsidRDefault="0093748B" w:rsidP="00B72B09">
      <w:pPr>
        <w:widowControl/>
        <w:jc w:val="left"/>
        <w:rPr>
          <w:sz w:val="32"/>
          <w:szCs w:val="32"/>
        </w:rPr>
      </w:pPr>
    </w:p>
    <w:p w:rsidR="0093748B" w:rsidRDefault="0093748B" w:rsidP="00B72B09">
      <w:pPr>
        <w:widowControl/>
        <w:jc w:val="left"/>
        <w:rPr>
          <w:sz w:val="32"/>
          <w:szCs w:val="32"/>
        </w:rPr>
      </w:pPr>
      <w:r>
        <w:rPr>
          <w:rFonts w:hint="eastAsia"/>
          <w:sz w:val="32"/>
          <w:szCs w:val="32"/>
        </w:rPr>
        <w:t xml:space="preserve">                                     </w:t>
      </w:r>
      <w:r>
        <w:rPr>
          <w:rFonts w:hint="eastAsia"/>
          <w:sz w:val="32"/>
          <w:szCs w:val="32"/>
        </w:rPr>
        <w:t>市规划国土委</w:t>
      </w:r>
    </w:p>
    <w:p w:rsidR="0093748B" w:rsidRDefault="0093748B" w:rsidP="00B72B09">
      <w:pPr>
        <w:widowControl/>
        <w:jc w:val="left"/>
        <w:rPr>
          <w:sz w:val="32"/>
          <w:szCs w:val="32"/>
        </w:rPr>
      </w:pPr>
      <w:r>
        <w:rPr>
          <w:rFonts w:hint="eastAsia"/>
          <w:sz w:val="32"/>
          <w:szCs w:val="32"/>
        </w:rPr>
        <w:t xml:space="preserve">                                    2018</w:t>
      </w:r>
      <w:r>
        <w:rPr>
          <w:rFonts w:hint="eastAsia"/>
          <w:sz w:val="32"/>
          <w:szCs w:val="32"/>
        </w:rPr>
        <w:t>年</w:t>
      </w:r>
      <w:r>
        <w:rPr>
          <w:rFonts w:hint="eastAsia"/>
          <w:sz w:val="32"/>
          <w:szCs w:val="32"/>
        </w:rPr>
        <w:t>6</w:t>
      </w:r>
      <w:r>
        <w:rPr>
          <w:rFonts w:hint="eastAsia"/>
          <w:sz w:val="32"/>
          <w:szCs w:val="32"/>
        </w:rPr>
        <w:t>月</w:t>
      </w:r>
      <w:r w:rsidR="007D1A04">
        <w:rPr>
          <w:rFonts w:hint="eastAsia"/>
          <w:sz w:val="32"/>
          <w:szCs w:val="32"/>
        </w:rPr>
        <w:t>22</w:t>
      </w:r>
      <w:r>
        <w:rPr>
          <w:rFonts w:hint="eastAsia"/>
          <w:sz w:val="32"/>
          <w:szCs w:val="32"/>
        </w:rPr>
        <w:t>日</w:t>
      </w:r>
    </w:p>
    <w:p w:rsidR="0093748B" w:rsidRPr="00B72B09" w:rsidRDefault="0093748B" w:rsidP="00B72B09">
      <w:pPr>
        <w:widowControl/>
        <w:jc w:val="left"/>
        <w:rPr>
          <w:sz w:val="32"/>
          <w:szCs w:val="32"/>
        </w:rPr>
      </w:pPr>
    </w:p>
    <w:sectPr w:rsidR="0093748B" w:rsidRPr="00B72B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80" w:rsidRDefault="00E00880" w:rsidP="00B72B09">
      <w:r>
        <w:separator/>
      </w:r>
    </w:p>
  </w:endnote>
  <w:endnote w:type="continuationSeparator" w:id="0">
    <w:p w:rsidR="00E00880" w:rsidRDefault="00E00880" w:rsidP="00B7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80" w:rsidRDefault="00E00880" w:rsidP="00B72B09">
      <w:r>
        <w:separator/>
      </w:r>
    </w:p>
  </w:footnote>
  <w:footnote w:type="continuationSeparator" w:id="0">
    <w:p w:rsidR="00E00880" w:rsidRDefault="00E00880" w:rsidP="00B72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FC"/>
    <w:rsid w:val="000018B7"/>
    <w:rsid w:val="000524E2"/>
    <w:rsid w:val="000840B3"/>
    <w:rsid w:val="00091B0C"/>
    <w:rsid w:val="000E637E"/>
    <w:rsid w:val="00242073"/>
    <w:rsid w:val="002468D0"/>
    <w:rsid w:val="002D333D"/>
    <w:rsid w:val="002F11EE"/>
    <w:rsid w:val="003266EB"/>
    <w:rsid w:val="0033521C"/>
    <w:rsid w:val="003410CB"/>
    <w:rsid w:val="00373C5E"/>
    <w:rsid w:val="003E6142"/>
    <w:rsid w:val="00415AC3"/>
    <w:rsid w:val="00420FC6"/>
    <w:rsid w:val="004479A1"/>
    <w:rsid w:val="004D05A7"/>
    <w:rsid w:val="004F7930"/>
    <w:rsid w:val="005170A8"/>
    <w:rsid w:val="005A7682"/>
    <w:rsid w:val="005D1CB2"/>
    <w:rsid w:val="005E04D9"/>
    <w:rsid w:val="005F1E0E"/>
    <w:rsid w:val="0062245E"/>
    <w:rsid w:val="006804FA"/>
    <w:rsid w:val="007146E2"/>
    <w:rsid w:val="00784B5E"/>
    <w:rsid w:val="007A4456"/>
    <w:rsid w:val="007B00EE"/>
    <w:rsid w:val="007D1A04"/>
    <w:rsid w:val="007D5735"/>
    <w:rsid w:val="007F082C"/>
    <w:rsid w:val="007F53E8"/>
    <w:rsid w:val="0081295A"/>
    <w:rsid w:val="008166AF"/>
    <w:rsid w:val="00844BAE"/>
    <w:rsid w:val="008C443C"/>
    <w:rsid w:val="008D6525"/>
    <w:rsid w:val="00912739"/>
    <w:rsid w:val="0093314D"/>
    <w:rsid w:val="0093748B"/>
    <w:rsid w:val="00940116"/>
    <w:rsid w:val="00947411"/>
    <w:rsid w:val="00960EBB"/>
    <w:rsid w:val="0098430D"/>
    <w:rsid w:val="00986EAB"/>
    <w:rsid w:val="009D5F3C"/>
    <w:rsid w:val="00A0315C"/>
    <w:rsid w:val="00A30C6C"/>
    <w:rsid w:val="00A34988"/>
    <w:rsid w:val="00A436FC"/>
    <w:rsid w:val="00A50062"/>
    <w:rsid w:val="00AD7660"/>
    <w:rsid w:val="00AE7DF5"/>
    <w:rsid w:val="00B16423"/>
    <w:rsid w:val="00B52626"/>
    <w:rsid w:val="00B72B09"/>
    <w:rsid w:val="00B9652B"/>
    <w:rsid w:val="00BF776C"/>
    <w:rsid w:val="00C01959"/>
    <w:rsid w:val="00C320EC"/>
    <w:rsid w:val="00C9317A"/>
    <w:rsid w:val="00D13083"/>
    <w:rsid w:val="00D662C8"/>
    <w:rsid w:val="00D71387"/>
    <w:rsid w:val="00DB7B5C"/>
    <w:rsid w:val="00DC2A1D"/>
    <w:rsid w:val="00DC61A6"/>
    <w:rsid w:val="00DE0E41"/>
    <w:rsid w:val="00DE30EB"/>
    <w:rsid w:val="00E00880"/>
    <w:rsid w:val="00E31FD2"/>
    <w:rsid w:val="00E53F76"/>
    <w:rsid w:val="00E61BB4"/>
    <w:rsid w:val="00E802F0"/>
    <w:rsid w:val="00EA21F1"/>
    <w:rsid w:val="00EA468F"/>
    <w:rsid w:val="00EC09A3"/>
    <w:rsid w:val="00EE7C63"/>
    <w:rsid w:val="00EF130D"/>
    <w:rsid w:val="00EF4E9C"/>
    <w:rsid w:val="00EF5EB7"/>
    <w:rsid w:val="00F8419E"/>
    <w:rsid w:val="00FE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B09"/>
    <w:rPr>
      <w:sz w:val="18"/>
      <w:szCs w:val="18"/>
    </w:rPr>
  </w:style>
  <w:style w:type="paragraph" w:styleId="a4">
    <w:name w:val="footer"/>
    <w:basedOn w:val="a"/>
    <w:link w:val="Char0"/>
    <w:uiPriority w:val="99"/>
    <w:unhideWhenUsed/>
    <w:rsid w:val="00B72B09"/>
    <w:pPr>
      <w:tabs>
        <w:tab w:val="center" w:pos="4153"/>
        <w:tab w:val="right" w:pos="8306"/>
      </w:tabs>
      <w:snapToGrid w:val="0"/>
      <w:jc w:val="left"/>
    </w:pPr>
    <w:rPr>
      <w:sz w:val="18"/>
      <w:szCs w:val="18"/>
    </w:rPr>
  </w:style>
  <w:style w:type="character" w:customStyle="1" w:styleId="Char0">
    <w:name w:val="页脚 Char"/>
    <w:basedOn w:val="a0"/>
    <w:link w:val="a4"/>
    <w:uiPriority w:val="99"/>
    <w:rsid w:val="00B72B09"/>
    <w:rPr>
      <w:sz w:val="18"/>
      <w:szCs w:val="18"/>
    </w:rPr>
  </w:style>
  <w:style w:type="table" w:styleId="a5">
    <w:name w:val="Table Grid"/>
    <w:basedOn w:val="a1"/>
    <w:uiPriority w:val="59"/>
    <w:rsid w:val="0093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60EBB"/>
    <w:rPr>
      <w:sz w:val="18"/>
      <w:szCs w:val="18"/>
    </w:rPr>
  </w:style>
  <w:style w:type="character" w:customStyle="1" w:styleId="Char1">
    <w:name w:val="批注框文本 Char"/>
    <w:basedOn w:val="a0"/>
    <w:link w:val="a6"/>
    <w:uiPriority w:val="99"/>
    <w:semiHidden/>
    <w:rsid w:val="00960E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B09"/>
    <w:rPr>
      <w:sz w:val="18"/>
      <w:szCs w:val="18"/>
    </w:rPr>
  </w:style>
  <w:style w:type="paragraph" w:styleId="a4">
    <w:name w:val="footer"/>
    <w:basedOn w:val="a"/>
    <w:link w:val="Char0"/>
    <w:uiPriority w:val="99"/>
    <w:unhideWhenUsed/>
    <w:rsid w:val="00B72B09"/>
    <w:pPr>
      <w:tabs>
        <w:tab w:val="center" w:pos="4153"/>
        <w:tab w:val="right" w:pos="8306"/>
      </w:tabs>
      <w:snapToGrid w:val="0"/>
      <w:jc w:val="left"/>
    </w:pPr>
    <w:rPr>
      <w:sz w:val="18"/>
      <w:szCs w:val="18"/>
    </w:rPr>
  </w:style>
  <w:style w:type="character" w:customStyle="1" w:styleId="Char0">
    <w:name w:val="页脚 Char"/>
    <w:basedOn w:val="a0"/>
    <w:link w:val="a4"/>
    <w:uiPriority w:val="99"/>
    <w:rsid w:val="00B72B09"/>
    <w:rPr>
      <w:sz w:val="18"/>
      <w:szCs w:val="18"/>
    </w:rPr>
  </w:style>
  <w:style w:type="table" w:styleId="a5">
    <w:name w:val="Table Grid"/>
    <w:basedOn w:val="a1"/>
    <w:uiPriority w:val="59"/>
    <w:rsid w:val="0093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60EBB"/>
    <w:rPr>
      <w:sz w:val="18"/>
      <w:szCs w:val="18"/>
    </w:rPr>
  </w:style>
  <w:style w:type="character" w:customStyle="1" w:styleId="Char1">
    <w:name w:val="批注框文本 Char"/>
    <w:basedOn w:val="a0"/>
    <w:link w:val="a6"/>
    <w:uiPriority w:val="99"/>
    <w:semiHidden/>
    <w:rsid w:val="00960E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1437</Characters>
  <Application>Microsoft Office Word</Application>
  <DocSecurity>0</DocSecurity>
  <Lines>11</Lines>
  <Paragraphs>3</Paragraphs>
  <ScaleCrop>false</ScaleCrop>
  <Company>Chinese ORG</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罗成宏</dc:creator>
  <cp:lastModifiedBy>罗成宏</cp:lastModifiedBy>
  <cp:revision>5</cp:revision>
  <cp:lastPrinted>2018-06-15T06:49:00Z</cp:lastPrinted>
  <dcterms:created xsi:type="dcterms:W3CDTF">2018-06-22T07:05:00Z</dcterms:created>
  <dcterms:modified xsi:type="dcterms:W3CDTF">2018-06-22T07:07:00Z</dcterms:modified>
</cp:coreProperties>
</file>