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jc w:val="center"/>
        <w:rPr>
          <w:rFonts w:hint="eastAsia" w:ascii="黑体" w:hAnsi="黑体" w:eastAsia="黑体" w:cs="黑体"/>
          <w:b/>
          <w:color w:val="000000"/>
          <w:sz w:val="32"/>
          <w:szCs w:val="32"/>
          <w:highlight w:val="none"/>
        </w:rPr>
      </w:pPr>
      <w:r>
        <w:rPr>
          <w:rFonts w:hint="eastAsia" w:ascii="黑体" w:hAnsi="黑体" w:eastAsia="黑体" w:cs="黑体"/>
          <w:b/>
          <w:color w:val="000000"/>
          <w:sz w:val="44"/>
          <w:szCs w:val="44"/>
          <w:highlight w:val="none"/>
        </w:rPr>
        <w:t>服务类项目采购需求</w:t>
      </w:r>
    </w:p>
    <w:tbl>
      <w:tblPr>
        <w:tblStyle w:val="6"/>
        <w:tblW w:w="8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3"/>
        <w:gridCol w:w="3947"/>
        <w:gridCol w:w="1366"/>
        <w:gridCol w:w="2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393"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bCs w:val="0"/>
                <w:color w:val="000000"/>
                <w:szCs w:val="21"/>
                <w:highlight w:val="none"/>
              </w:rPr>
            </w:pPr>
            <w:r>
              <w:rPr>
                <w:rFonts w:hint="eastAsia" w:ascii="仿宋" w:hAnsi="仿宋" w:eastAsia="仿宋" w:cs="仿宋"/>
                <w:b/>
                <w:bCs w:val="0"/>
                <w:color w:val="000000"/>
                <w:szCs w:val="21"/>
                <w:highlight w:val="none"/>
              </w:rPr>
              <w:t>*项目名称</w:t>
            </w:r>
          </w:p>
        </w:tc>
        <w:tc>
          <w:tcPr>
            <w:tcW w:w="7574" w:type="dxa"/>
            <w:gridSpan w:val="3"/>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深港澳红树林与珊瑚保育调研及科普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393"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bCs w:val="0"/>
                <w:color w:val="000000"/>
                <w:szCs w:val="21"/>
                <w:highlight w:val="none"/>
              </w:rPr>
            </w:pPr>
            <w:r>
              <w:rPr>
                <w:rFonts w:hint="eastAsia" w:ascii="仿宋" w:hAnsi="仿宋" w:eastAsia="仿宋" w:cs="仿宋"/>
                <w:b/>
                <w:bCs w:val="0"/>
                <w:color w:val="000000"/>
                <w:szCs w:val="21"/>
                <w:highlight w:val="none"/>
              </w:rPr>
              <w:t>*采购人名称</w:t>
            </w:r>
          </w:p>
        </w:tc>
        <w:tc>
          <w:tcPr>
            <w:tcW w:w="3947"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color w:val="000000"/>
                <w:szCs w:val="21"/>
                <w:highlight w:val="none"/>
              </w:rPr>
            </w:pPr>
            <w:r>
              <w:rPr>
                <w:rFonts w:hint="eastAsia" w:ascii="仿宋" w:hAnsi="仿宋" w:eastAsia="仿宋" w:cs="仿宋"/>
                <w:color w:val="000000"/>
                <w:szCs w:val="21"/>
                <w:highlight w:val="none"/>
              </w:rPr>
              <w:t>深圳市海洋发展局</w:t>
            </w:r>
          </w:p>
        </w:tc>
        <w:tc>
          <w:tcPr>
            <w:tcW w:w="1366"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bCs w:val="0"/>
                <w:color w:val="000000"/>
                <w:szCs w:val="21"/>
                <w:highlight w:val="none"/>
              </w:rPr>
            </w:pPr>
            <w:r>
              <w:rPr>
                <w:rFonts w:hint="eastAsia" w:ascii="仿宋" w:hAnsi="仿宋" w:eastAsia="仿宋" w:cs="仿宋"/>
                <w:b/>
                <w:bCs w:val="0"/>
                <w:color w:val="000000"/>
                <w:szCs w:val="21"/>
                <w:highlight w:val="none"/>
              </w:rPr>
              <w:t>*采购方式</w:t>
            </w:r>
          </w:p>
        </w:tc>
        <w:tc>
          <w:tcPr>
            <w:tcW w:w="2261" w:type="dxa"/>
            <w:noWrap w:val="0"/>
            <w:vAlign w:val="center"/>
          </w:tcPr>
          <w:p>
            <w:pPr>
              <w:keepNext w:val="0"/>
              <w:keepLines w:val="0"/>
              <w:pageBreakBefore w:val="0"/>
              <w:widowControl w:val="0"/>
              <w:kinsoku/>
              <w:overflowPunct/>
              <w:topLinePunct w:val="0"/>
              <w:autoSpaceDE/>
              <w:autoSpaceDN/>
              <w:bidi w:val="0"/>
              <w:jc w:val="left"/>
              <w:rPr>
                <w:rFonts w:hint="eastAsia" w:ascii="CESI仿宋-GB13000" w:hAnsi="CESI仿宋-GB13000" w:eastAsia="CESI仿宋-GB13000" w:cs="CESI仿宋-GB13000"/>
                <w:color w:val="000000"/>
                <w:szCs w:val="21"/>
                <w:highlight w:val="none"/>
              </w:rPr>
            </w:pPr>
            <w:r>
              <w:rPr>
                <w:rFonts w:hint="eastAsia" w:ascii="CESI仿宋-GB13000" w:hAnsi="CESI仿宋-GB13000" w:eastAsia="CESI仿宋-GB13000" w:cs="CESI仿宋-GB13000"/>
                <w:highlight w:val="none"/>
              </w:rPr>
              <w:t>询价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393"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bCs w:val="0"/>
                <w:color w:val="000000"/>
                <w:szCs w:val="21"/>
                <w:highlight w:val="none"/>
              </w:rPr>
            </w:pPr>
            <w:r>
              <w:rPr>
                <w:rFonts w:hint="eastAsia" w:ascii="仿宋" w:hAnsi="仿宋" w:eastAsia="仿宋" w:cs="仿宋"/>
                <w:b/>
                <w:bCs w:val="0"/>
                <w:color w:val="000000"/>
                <w:szCs w:val="21"/>
                <w:highlight w:val="none"/>
              </w:rPr>
              <w:t>计划立项批文号</w:t>
            </w:r>
          </w:p>
        </w:tc>
        <w:tc>
          <w:tcPr>
            <w:tcW w:w="3947"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color w:val="000000"/>
                <w:szCs w:val="21"/>
                <w:highlight w:val="none"/>
              </w:rPr>
            </w:pPr>
          </w:p>
        </w:tc>
        <w:tc>
          <w:tcPr>
            <w:tcW w:w="1366"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bCs w:val="0"/>
                <w:color w:val="000000"/>
                <w:szCs w:val="21"/>
                <w:highlight w:val="none"/>
              </w:rPr>
            </w:pPr>
            <w:r>
              <w:rPr>
                <w:rFonts w:hint="eastAsia" w:ascii="仿宋" w:hAnsi="仿宋" w:eastAsia="仿宋" w:cs="仿宋"/>
                <w:b/>
                <w:bCs w:val="0"/>
                <w:color w:val="000000"/>
                <w:szCs w:val="21"/>
                <w:highlight w:val="none"/>
              </w:rPr>
              <w:t>*资金来源</w:t>
            </w:r>
          </w:p>
        </w:tc>
        <w:tc>
          <w:tcPr>
            <w:tcW w:w="2261"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color w:val="000000"/>
                <w:szCs w:val="21"/>
                <w:highlight w:val="none"/>
                <w:lang w:eastAsia="zh-CN"/>
              </w:rPr>
            </w:pPr>
            <w:r>
              <w:rPr>
                <w:rFonts w:hint="eastAsia" w:eastAsia="仿宋"/>
                <w:highlight w:val="none"/>
                <w:lang w:eastAsia="zh-CN"/>
              </w:rPr>
              <w:t>一般公共预算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393"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bCs w:val="0"/>
                <w:color w:val="000000"/>
                <w:szCs w:val="21"/>
                <w:highlight w:val="none"/>
              </w:rPr>
            </w:pPr>
            <w:r>
              <w:rPr>
                <w:rFonts w:hint="eastAsia" w:ascii="仿宋" w:hAnsi="仿宋" w:eastAsia="仿宋" w:cs="仿宋"/>
                <w:b/>
                <w:bCs w:val="0"/>
                <w:color w:val="000000"/>
                <w:szCs w:val="21"/>
                <w:highlight w:val="none"/>
              </w:rPr>
              <w:t>*财政预算限额（元）</w:t>
            </w:r>
          </w:p>
        </w:tc>
        <w:tc>
          <w:tcPr>
            <w:tcW w:w="3947" w:type="dxa"/>
            <w:noWrap w:val="0"/>
            <w:vAlign w:val="center"/>
          </w:tcPr>
          <w:p>
            <w:pPr>
              <w:keepNext w:val="0"/>
              <w:keepLines w:val="0"/>
              <w:pageBreakBefore w:val="0"/>
              <w:widowControl w:val="0"/>
              <w:kinsoku/>
              <w:overflowPunct/>
              <w:topLinePunct w:val="0"/>
              <w:autoSpaceDE/>
              <w:autoSpaceDN/>
              <w:bidi w:val="0"/>
              <w:jc w:val="left"/>
              <w:rPr>
                <w:rFonts w:hint="eastAsia" w:ascii="CESI仿宋-GB13000" w:hAnsi="CESI仿宋-GB13000" w:eastAsia="CESI仿宋-GB13000" w:cs="CESI仿宋-GB13000"/>
                <w:color w:val="000000"/>
                <w:szCs w:val="21"/>
                <w:highlight w:val="none"/>
              </w:rPr>
            </w:pPr>
            <w:r>
              <w:rPr>
                <w:rFonts w:hint="eastAsia" w:ascii="CESI仿宋-GB13000" w:hAnsi="CESI仿宋-GB13000" w:eastAsia="CESI仿宋-GB13000" w:cs="CESI仿宋-GB13000"/>
                <w:highlight w:val="none"/>
              </w:rPr>
              <w:t>150,000元（人民币壹拾伍万元整）</w:t>
            </w:r>
          </w:p>
        </w:tc>
        <w:tc>
          <w:tcPr>
            <w:tcW w:w="1366"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color w:val="000000"/>
                <w:szCs w:val="21"/>
                <w:highlight w:val="none"/>
              </w:rPr>
            </w:pPr>
          </w:p>
        </w:tc>
        <w:tc>
          <w:tcPr>
            <w:tcW w:w="2261"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color w:val="00000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393"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bCs w:val="0"/>
                <w:color w:val="000000"/>
                <w:szCs w:val="21"/>
                <w:highlight w:val="none"/>
              </w:rPr>
            </w:pPr>
            <w:r>
              <w:rPr>
                <w:rFonts w:hint="eastAsia" w:ascii="仿宋" w:hAnsi="仿宋" w:eastAsia="仿宋" w:cs="仿宋"/>
                <w:b/>
                <w:bCs w:val="0"/>
                <w:color w:val="000000"/>
                <w:szCs w:val="21"/>
                <w:highlight w:val="none"/>
              </w:rPr>
              <w:t>项目背景</w:t>
            </w:r>
          </w:p>
        </w:tc>
        <w:tc>
          <w:tcPr>
            <w:tcW w:w="7574" w:type="dxa"/>
            <w:gridSpan w:val="3"/>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color w:val="000000"/>
                <w:szCs w:val="21"/>
                <w:highlight w:val="none"/>
              </w:rPr>
            </w:pPr>
            <w:r>
              <w:rPr>
                <w:rFonts w:hint="eastAsia" w:ascii="仿宋" w:hAnsi="仿宋" w:eastAsia="仿宋" w:cs="仿宋"/>
                <w:color w:val="000000"/>
                <w:szCs w:val="21"/>
                <w:highlight w:val="none"/>
                <w:lang w:val="en-US" w:eastAsia="zh-CN"/>
              </w:rPr>
              <w:t xml:space="preserve">    </w:t>
            </w:r>
            <w:r>
              <w:rPr>
                <w:rFonts w:hint="eastAsia" w:ascii="仿宋" w:hAnsi="仿宋" w:eastAsia="仿宋" w:cs="仿宋"/>
                <w:color w:val="000000"/>
                <w:szCs w:val="21"/>
                <w:highlight w:val="none"/>
              </w:rPr>
              <w:t>深港澳三地红树林与珊瑚礁资源富集，是大湾区海洋生态安全的关键支撑。深圳正加快全球海洋中心城市建设，《深圳市海洋发展规划（2023—2035年）》明确要求提升全民海洋意识、发展渔旅科普并建立三地联合共管机制。目前，三地渔民世代积累的传统生态知识缺乏系统记录与转译，现有科普资源碎片化，且普遍横跨三地语境的统一对照式科普产品。</w:t>
            </w:r>
            <w:r>
              <w:rPr>
                <w:rFonts w:hint="eastAsia" w:ascii="仿宋" w:hAnsi="仿宋" w:eastAsia="仿宋" w:cs="仿宋"/>
                <w:color w:val="000000"/>
                <w:szCs w:val="21"/>
                <w:highlight w:val="none"/>
                <w:lang w:eastAsia="zh-CN"/>
              </w:rPr>
              <w:t>在</w:t>
            </w:r>
            <w:r>
              <w:rPr>
                <w:rFonts w:hint="eastAsia" w:ascii="仿宋" w:hAnsi="仿宋" w:eastAsia="仿宋" w:cs="仿宋"/>
                <w:color w:val="000000"/>
                <w:szCs w:val="21"/>
                <w:highlight w:val="none"/>
              </w:rPr>
              <w:t>深港海洋生态合作机制已趋成熟，为协同向公众教育延伸提供制度基础。</w:t>
            </w:r>
          </w:p>
          <w:p>
            <w:pPr>
              <w:keepNext w:val="0"/>
              <w:keepLines w:val="0"/>
              <w:pageBreakBefore w:val="0"/>
              <w:widowControl w:val="0"/>
              <w:kinsoku/>
              <w:overflowPunct/>
              <w:topLinePunct w:val="0"/>
              <w:autoSpaceDE/>
              <w:autoSpaceDN/>
              <w:bidi w:val="0"/>
              <w:jc w:val="left"/>
              <w:rPr>
                <w:rFonts w:hint="eastAsia" w:ascii="仿宋" w:hAnsi="仿宋" w:eastAsia="仿宋" w:cs="仿宋"/>
                <w:color w:val="000000"/>
                <w:szCs w:val="21"/>
                <w:highlight w:val="none"/>
              </w:rPr>
            </w:pPr>
            <w:r>
              <w:rPr>
                <w:rFonts w:hint="eastAsia" w:ascii="仿宋" w:hAnsi="仿宋" w:eastAsia="仿宋" w:cs="仿宋"/>
                <w:color w:val="000000"/>
                <w:szCs w:val="21"/>
                <w:highlight w:val="none"/>
                <w:lang w:val="en-US" w:eastAsia="zh-CN"/>
              </w:rPr>
              <w:t xml:space="preserve">   </w:t>
            </w:r>
            <w:r>
              <w:rPr>
                <w:rFonts w:hint="eastAsia" w:ascii="仿宋" w:hAnsi="仿宋" w:eastAsia="仿宋" w:cs="仿宋"/>
                <w:color w:val="000000"/>
                <w:szCs w:val="21"/>
                <w:highlight w:val="none"/>
              </w:rPr>
              <w:t>本项目旨在系统梳理三地渔民生态守护经验并转化为科普产品，推动深港澳从“科研共管”走向“公众共治”，服务国家海洋生态文明建设与“双碳”目标</w:t>
            </w:r>
            <w:r>
              <w:rPr>
                <w:rFonts w:hint="eastAsia" w:ascii="仿宋" w:hAnsi="仿宋" w:eastAsia="仿宋" w:cs="仿宋"/>
                <w:color w:val="000000"/>
                <w:szCs w:val="21"/>
                <w:highlight w:val="none"/>
                <w:lang w:eastAsia="zh-CN"/>
              </w:rPr>
              <w:t>，</w:t>
            </w:r>
            <w:r>
              <w:rPr>
                <w:rFonts w:hint="eastAsia" w:ascii="仿宋" w:hAnsi="仿宋" w:eastAsia="仿宋" w:cs="仿宋"/>
                <w:color w:val="000000"/>
                <w:szCs w:val="21"/>
                <w:highlight w:val="none"/>
                <w:lang w:val="en-US" w:eastAsia="zh-CN"/>
              </w:rPr>
              <w:t>并</w:t>
            </w:r>
            <w:r>
              <w:rPr>
                <w:rFonts w:hint="eastAsia" w:ascii="仿宋" w:hAnsi="仿宋" w:eastAsia="仿宋" w:cs="仿宋"/>
                <w:color w:val="000000"/>
                <w:szCs w:val="21"/>
                <w:highlight w:val="none"/>
              </w:rPr>
              <w:t>为深港澳海洋生态文明建设与公众科普教育提供支撑。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93" w:type="dxa"/>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b/>
                <w:bCs w:val="0"/>
                <w:color w:val="000000"/>
                <w:szCs w:val="21"/>
                <w:highlight w:val="none"/>
              </w:rPr>
            </w:pPr>
            <w:r>
              <w:rPr>
                <w:rFonts w:hint="eastAsia" w:ascii="仿宋" w:hAnsi="仿宋" w:eastAsia="仿宋" w:cs="仿宋"/>
                <w:b/>
                <w:bCs w:val="0"/>
                <w:color w:val="000000"/>
                <w:szCs w:val="21"/>
                <w:highlight w:val="none"/>
              </w:rPr>
              <w:t>项目前期设计、规划论证单位</w:t>
            </w:r>
          </w:p>
        </w:tc>
        <w:tc>
          <w:tcPr>
            <w:tcW w:w="7574" w:type="dxa"/>
            <w:gridSpan w:val="3"/>
            <w:noWrap w:val="0"/>
            <w:vAlign w:val="center"/>
          </w:tcPr>
          <w:p>
            <w:pPr>
              <w:keepNext w:val="0"/>
              <w:keepLines w:val="0"/>
              <w:pageBreakBefore w:val="0"/>
              <w:widowControl w:val="0"/>
              <w:kinsoku/>
              <w:overflowPunct/>
              <w:topLinePunct w:val="0"/>
              <w:autoSpaceDE/>
              <w:autoSpaceDN/>
              <w:bidi w:val="0"/>
              <w:jc w:val="left"/>
              <w:rPr>
                <w:rFonts w:hint="eastAsia" w:ascii="仿宋" w:hAnsi="仿宋" w:eastAsia="仿宋" w:cs="仿宋"/>
                <w:color w:val="000000"/>
                <w:szCs w:val="21"/>
                <w:highlight w:val="none"/>
              </w:rPr>
            </w:pPr>
            <w:r>
              <w:rPr>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393" w:type="dxa"/>
            <w:noWrap w:val="0"/>
            <w:vAlign w:val="center"/>
          </w:tcPr>
          <w:p>
            <w:pPr>
              <w:keepNext w:val="0"/>
              <w:keepLines w:val="0"/>
              <w:pageBreakBefore w:val="0"/>
              <w:widowControl w:val="0"/>
              <w:kinsoku/>
              <w:overflowPunct/>
              <w:topLinePunct w:val="0"/>
              <w:autoSpaceDE/>
              <w:autoSpaceDN/>
              <w:bidi w:val="0"/>
              <w:jc w:val="center"/>
              <w:rPr>
                <w:rFonts w:hint="eastAsia" w:ascii="仿宋" w:hAnsi="仿宋" w:eastAsia="仿宋" w:cs="仿宋"/>
                <w:b/>
                <w:bCs w:val="0"/>
                <w:color w:val="000000"/>
                <w:szCs w:val="21"/>
                <w:highlight w:val="none"/>
              </w:rPr>
            </w:pPr>
            <w:r>
              <w:rPr>
                <w:rFonts w:hint="eastAsia" w:ascii="仿宋" w:hAnsi="仿宋" w:eastAsia="仿宋" w:cs="仿宋"/>
                <w:b/>
                <w:bCs w:val="0"/>
                <w:color w:val="000000"/>
                <w:kern w:val="0"/>
                <w:szCs w:val="21"/>
                <w:highlight w:val="none"/>
              </w:rPr>
              <w:t>投标人资质要求</w:t>
            </w:r>
          </w:p>
        </w:tc>
        <w:tc>
          <w:tcPr>
            <w:tcW w:w="7574" w:type="dxa"/>
            <w:gridSpan w:val="3"/>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color w:val="auto"/>
                <w:kern w:val="0"/>
                <w:szCs w:val="21"/>
                <w:highlight w:val="none"/>
              </w:rPr>
            </w:pPr>
            <w:r>
              <w:rPr>
                <w:rFonts w:hint="eastAsia" w:ascii="仿宋" w:hAnsi="仿宋" w:eastAsia="仿宋" w:cs="仿宋"/>
                <w:b/>
                <w:color w:val="auto"/>
                <w:kern w:val="0"/>
                <w:szCs w:val="21"/>
                <w:highlight w:val="none"/>
              </w:rPr>
              <w:t>注意：采购人根据项目所需提供明确、具体的资质要求，资质要求的内容必须与项目等级相匹配且符合相关法律规定。（设置的投标人资格要求必须提交有法律法规依据的证明文件，且不具备倾向性）</w:t>
            </w:r>
          </w:p>
          <w:p>
            <w:pPr>
              <w:keepNext w:val="0"/>
              <w:keepLines w:val="0"/>
              <w:widowControl/>
              <w:suppressLineNumbers w:val="0"/>
              <w:jc w:val="both"/>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1.投标人须在中华人民共和国境内注册的具有合法经营资格的独立法人或其他组织（提供营业执照或法人、负责人等证明扫描件，原件备查）。</w:t>
            </w:r>
          </w:p>
          <w:p>
            <w:pPr>
              <w:keepNext w:val="0"/>
              <w:keepLines w:val="0"/>
              <w:widowControl/>
              <w:suppressLineNumbers w:val="0"/>
              <w:jc w:val="both"/>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2</w:t>
            </w:r>
            <w:r>
              <w:rPr>
                <w:rFonts w:hint="default" w:ascii="仿宋" w:hAnsi="仿宋" w:eastAsia="仿宋" w:cs="仿宋"/>
                <w:sz w:val="21"/>
                <w:szCs w:val="21"/>
                <w:lang w:val="en-US" w:eastAsia="zh-CN"/>
              </w:rPr>
              <w:t>.投标人为政府采购注册供应商</w:t>
            </w:r>
            <w:r>
              <w:rPr>
                <w:rFonts w:hint="eastAsia" w:ascii="仿宋" w:hAnsi="仿宋" w:eastAsia="仿宋" w:cs="仿宋"/>
                <w:sz w:val="21"/>
                <w:szCs w:val="21"/>
                <w:lang w:val="en-US" w:eastAsia="zh-CN"/>
              </w:rPr>
              <w:t>。</w:t>
            </w:r>
          </w:p>
          <w:p>
            <w:pPr>
              <w:keepNext w:val="0"/>
              <w:keepLines w:val="0"/>
              <w:widowControl/>
              <w:suppressLineNumbers w:val="0"/>
              <w:jc w:val="both"/>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3</w:t>
            </w:r>
            <w:r>
              <w:rPr>
                <w:rFonts w:hint="default" w:ascii="仿宋" w:hAnsi="仿宋" w:eastAsia="仿宋" w:cs="仿宋"/>
                <w:sz w:val="21"/>
                <w:szCs w:val="21"/>
                <w:lang w:val="en-US" w:eastAsia="zh-CN"/>
              </w:rPr>
              <w:t>.</w:t>
            </w:r>
            <w:r>
              <w:rPr>
                <w:rFonts w:hint="eastAsia" w:ascii="仿宋" w:hAnsi="仿宋" w:eastAsia="仿宋" w:cs="仿宋"/>
                <w:sz w:val="21"/>
                <w:szCs w:val="21"/>
                <w:lang w:val="en-US" w:eastAsia="zh-CN"/>
              </w:rPr>
              <w:t>投标人近三年内无违法犯罪记录。投标人必须承诺参与本项目投标前三年内，在经营活动中没有重大违法记录。</w:t>
            </w:r>
          </w:p>
          <w:p>
            <w:pPr>
              <w:keepNext w:val="0"/>
              <w:keepLines w:val="0"/>
              <w:widowControl/>
              <w:suppressLineNumbers w:val="0"/>
              <w:jc w:val="both"/>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w:t>
            </w:r>
            <w:r>
              <w:rPr>
                <w:rFonts w:hint="default" w:ascii="仿宋" w:hAnsi="仿宋" w:eastAsia="仿宋" w:cs="仿宋"/>
                <w:sz w:val="21"/>
                <w:szCs w:val="21"/>
                <w:lang w:val="en-US" w:eastAsia="zh-CN"/>
              </w:rPr>
              <w:t>.</w:t>
            </w:r>
            <w:r>
              <w:rPr>
                <w:rFonts w:hint="eastAsia" w:ascii="仿宋" w:hAnsi="仿宋" w:eastAsia="仿宋" w:cs="仿宋"/>
                <w:sz w:val="21"/>
                <w:szCs w:val="21"/>
                <w:lang w:val="en-US" w:eastAsia="zh-CN"/>
              </w:rPr>
              <w:t>投标人须提供《政府采购投标及履约承诺函》，否则作废标处理。</w:t>
            </w:r>
          </w:p>
          <w:p>
            <w:pPr>
              <w:keepNext w:val="0"/>
              <w:keepLines w:val="0"/>
              <w:widowControl/>
              <w:suppressLineNumbers w:val="0"/>
              <w:jc w:val="both"/>
              <w:rPr>
                <w:rFonts w:hint="eastAsia" w:ascii="仿宋" w:hAnsi="仿宋" w:eastAsia="仿宋" w:cs="仿宋"/>
                <w:b/>
                <w:color w:val="000000"/>
                <w:kern w:val="0"/>
                <w:szCs w:val="21"/>
                <w:highlight w:val="none"/>
              </w:rPr>
            </w:pPr>
            <w:r>
              <w:rPr>
                <w:rFonts w:hint="eastAsia" w:ascii="仿宋" w:hAnsi="仿宋" w:eastAsia="仿宋" w:cs="仿宋"/>
                <w:sz w:val="21"/>
                <w:szCs w:val="21"/>
                <w:lang w:val="en-US" w:eastAsia="zh-CN"/>
              </w:rPr>
              <w:t>5</w:t>
            </w:r>
            <w:r>
              <w:rPr>
                <w:rFonts w:hint="default" w:ascii="仿宋" w:hAnsi="仿宋" w:eastAsia="仿宋" w:cs="仿宋"/>
                <w:sz w:val="21"/>
                <w:szCs w:val="21"/>
                <w:lang w:val="en-US" w:eastAsia="zh-CN"/>
              </w:rPr>
              <w:t>.</w:t>
            </w:r>
            <w:r>
              <w:rPr>
                <w:rFonts w:hint="eastAsia" w:ascii="仿宋" w:hAnsi="仿宋" w:eastAsia="仿宋" w:cs="仿宋"/>
                <w:sz w:val="21"/>
                <w:szCs w:val="21"/>
                <w:lang w:val="en-US" w:eastAsia="zh-CN"/>
              </w:rPr>
              <w:t>本次采购不接受联合体报名，不接受分包转包。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393" w:type="dxa"/>
            <w:noWrap w:val="0"/>
            <w:vAlign w:val="center"/>
          </w:tcPr>
          <w:p>
            <w:pPr>
              <w:keepNext w:val="0"/>
              <w:keepLines w:val="0"/>
              <w:pageBreakBefore w:val="0"/>
              <w:widowControl w:val="0"/>
              <w:kinsoku/>
              <w:overflowPunct/>
              <w:topLinePunct w:val="0"/>
              <w:autoSpaceDE/>
              <w:autoSpaceDN/>
              <w:bidi w:val="0"/>
              <w:jc w:val="center"/>
              <w:rPr>
                <w:rFonts w:hint="eastAsia" w:ascii="仿宋" w:hAnsi="仿宋" w:eastAsia="仿宋" w:cs="仿宋"/>
                <w:b/>
                <w:bCs w:val="0"/>
                <w:color w:val="000000"/>
                <w:kern w:val="0"/>
                <w:szCs w:val="21"/>
                <w:highlight w:val="none"/>
              </w:rPr>
            </w:pPr>
            <w:r>
              <w:rPr>
                <w:rFonts w:hint="eastAsia" w:ascii="仿宋" w:hAnsi="仿宋" w:eastAsia="仿宋" w:cs="仿宋"/>
                <w:b/>
                <w:bCs w:val="0"/>
                <w:color w:val="000000"/>
                <w:szCs w:val="21"/>
                <w:highlight w:val="none"/>
              </w:rPr>
              <w:t>需求内容</w:t>
            </w:r>
          </w:p>
        </w:tc>
        <w:tc>
          <w:tcPr>
            <w:tcW w:w="7574" w:type="dxa"/>
            <w:gridSpan w:val="3"/>
            <w:noWrap w:val="0"/>
            <w:vAlign w:val="top"/>
          </w:tcPr>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b/>
                <w:bCs w:val="0"/>
                <w:color w:val="auto"/>
                <w:szCs w:val="21"/>
                <w:highlight w:val="none"/>
              </w:rPr>
              <w:t>1</w:t>
            </w:r>
            <w:r>
              <w:rPr>
                <w:rFonts w:hint="eastAsia" w:ascii="仿宋" w:hAnsi="仿宋" w:eastAsia="仿宋" w:cs="仿宋"/>
                <w:sz w:val="21"/>
                <w:szCs w:val="21"/>
                <w:lang w:val="en-US" w:eastAsia="zh-CN"/>
              </w:rPr>
              <w:t>.报价要求</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1.1本项目服务费采用包干制，应包括服务成本、法定税费和企业利润。由供应商根据采购文件所提供的资料自行测算报价，供应商与采购人签定的合同金额，合同期限内不作调整。</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1.2供应商应根据本企业的成本自行决定报价，但不得以低于其企业成本的报价。</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1.3供应商的报价不得超过项目预算金额。</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1.4供应商的报价，应当是本项目采购范围和采购文件及合同条款上所列的各项内容中所述的全部，不得以任何理由予以重复。</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1.5.除非采购人通过修改采购文件予以更正，否则供应商应毫无例外地按合同所列清单中项目和数量填报综合单价和合价。供应商未填综合单价或合价的项目，在实施后，将不得支付，并视作该项费用已包括在其它有价值的综合单价或合价内。</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1.6供应商应先到项目地点踏勘以充分了解项目的位置、情况、道路及任何其它足以影响投标报价的情况，任何因忽视或误解项目情况而导致的索赔或服务期限延长申请将不获批准。</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1.7供应商不得期望通过索赔等方式获取补偿，否则，除可能遭到拒绝外，还可能将被作为不良行为记录在案，并可能影响其以后参加政府采购的项目投标。各投标人在投标报价时，应充分考虑投标报价的风险。</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2.付款方式：</w:t>
            </w:r>
            <w:bookmarkStart w:id="0" w:name="_Hlk132643798"/>
            <w:r>
              <w:rPr>
                <w:rFonts w:hint="eastAsia" w:ascii="仿宋" w:hAnsi="仿宋" w:eastAsia="仿宋" w:cs="仿宋"/>
                <w:sz w:val="21"/>
                <w:szCs w:val="21"/>
                <w:lang w:val="en-US" w:eastAsia="zh-CN"/>
              </w:rPr>
              <w:t>乙方履行合同全部义务后，经甲方验收通过，涉及资产交付的甲方需登记入库后10工作日内，向乙方按结算价一次性支付。</w:t>
            </w:r>
            <w:bookmarkEnd w:id="0"/>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3.履约保证金：无</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4.违约责任：按合同相关约定执行。</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5.服务质量监督和项目验收要求</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5.1按时完成活动策划执行工作。</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5.2根据活动进度推进各项配套宣传。</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5.3该项目成果知识产权属采购方所有，如需使用，须经采购方同意。</w:t>
            </w:r>
          </w:p>
          <w:p>
            <w:pPr>
              <w:keepNext w:val="0"/>
              <w:keepLines w:val="0"/>
              <w:pageBreakBefore w:val="0"/>
              <w:widowControl w:val="0"/>
              <w:numPr>
                <w:ilvl w:val="0"/>
                <w:numId w:val="0"/>
              </w:numPr>
              <w:kinsoku/>
              <w:overflowPunct/>
              <w:topLinePunct w:val="0"/>
              <w:autoSpaceDE/>
              <w:autoSpaceDN/>
              <w:bidi w:val="0"/>
              <w:ind w:left="0" w:leftChars="0" w:firstLine="0" w:firstLineChars="0"/>
              <w:jc w:val="left"/>
              <w:rPr>
                <w:rFonts w:hint="eastAsia" w:ascii="仿宋" w:hAnsi="仿宋" w:eastAsia="仿宋" w:cs="仿宋"/>
                <w:color w:val="000000"/>
                <w:szCs w:val="21"/>
                <w:highlight w:val="none"/>
              </w:rPr>
            </w:pPr>
            <w:r>
              <w:rPr>
                <w:rFonts w:hint="eastAsia" w:ascii="仿宋" w:hAnsi="仿宋" w:eastAsia="仿宋" w:cs="仿宋"/>
                <w:sz w:val="21"/>
                <w:szCs w:val="21"/>
                <w:lang w:val="en-US" w:eastAsia="zh-CN"/>
              </w:rPr>
              <w:t>5.4乙方保证其提供的服务不得侵犯第三方的专利权、商标权、著作权、商业秘密和其他知识产权，一旦出现侵权，由乙方负全部责任。甲方有权追责和停止合作。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1393" w:type="dxa"/>
            <w:noWrap w:val="0"/>
            <w:vAlign w:val="center"/>
          </w:tcPr>
          <w:p>
            <w:pPr>
              <w:keepNext w:val="0"/>
              <w:keepLines w:val="0"/>
              <w:pageBreakBefore w:val="0"/>
              <w:widowControl w:val="0"/>
              <w:kinsoku/>
              <w:overflowPunct/>
              <w:topLinePunct w:val="0"/>
              <w:autoSpaceDE/>
              <w:autoSpaceDN/>
              <w:bidi w:val="0"/>
              <w:jc w:val="center"/>
              <w:rPr>
                <w:rFonts w:hint="eastAsia" w:ascii="仿宋" w:hAnsi="仿宋" w:eastAsia="仿宋" w:cs="仿宋"/>
                <w:b/>
                <w:bCs w:val="0"/>
                <w:color w:val="000000"/>
                <w:kern w:val="0"/>
                <w:szCs w:val="21"/>
                <w:highlight w:val="none"/>
              </w:rPr>
            </w:pPr>
            <w:r>
              <w:rPr>
                <w:rFonts w:hint="eastAsia" w:ascii="仿宋" w:hAnsi="仿宋" w:eastAsia="仿宋" w:cs="仿宋"/>
                <w:b/>
                <w:bCs w:val="0"/>
                <w:color w:val="000000"/>
                <w:kern w:val="0"/>
                <w:szCs w:val="21"/>
                <w:highlight w:val="none"/>
              </w:rPr>
              <w:t>具体技术要求</w:t>
            </w:r>
          </w:p>
        </w:tc>
        <w:tc>
          <w:tcPr>
            <w:tcW w:w="7574" w:type="dxa"/>
            <w:gridSpan w:val="3"/>
            <w:noWrap w:val="0"/>
            <w:vAlign w:val="top"/>
          </w:tcPr>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lang w:val="en-US" w:eastAsia="zh-CN"/>
              </w:rPr>
              <w:t xml:space="preserve">    </w:t>
            </w:r>
            <w:r>
              <w:rPr>
                <w:rFonts w:hint="eastAsia" w:ascii="仿宋" w:hAnsi="仿宋" w:eastAsia="仿宋" w:cs="仿宋"/>
                <w:b w:val="0"/>
                <w:bCs/>
                <w:color w:val="auto"/>
                <w:szCs w:val="21"/>
                <w:highlight w:val="none"/>
              </w:rPr>
              <w:t>1</w:t>
            </w:r>
            <w:r>
              <w:rPr>
                <w:rFonts w:hint="eastAsia" w:ascii="仿宋" w:hAnsi="仿宋" w:eastAsia="仿宋" w:cs="仿宋"/>
                <w:b w:val="0"/>
                <w:bCs/>
                <w:color w:val="auto"/>
                <w:szCs w:val="21"/>
                <w:highlight w:val="none"/>
                <w:lang w:val="en-US" w:eastAsia="zh-CN"/>
              </w:rPr>
              <w:t>.</w:t>
            </w:r>
            <w:r>
              <w:rPr>
                <w:rFonts w:hint="eastAsia" w:ascii="仿宋" w:hAnsi="仿宋" w:eastAsia="仿宋" w:cs="仿宋"/>
                <w:b w:val="0"/>
                <w:bCs/>
                <w:color w:val="auto"/>
                <w:szCs w:val="21"/>
                <w:highlight w:val="none"/>
              </w:rPr>
              <w:t>服务方</w:t>
            </w:r>
            <w:r>
              <w:rPr>
                <w:rFonts w:hint="eastAsia" w:ascii="仿宋" w:hAnsi="仿宋" w:eastAsia="仿宋" w:cs="仿宋"/>
                <w:b w:val="0"/>
                <w:bCs/>
                <w:color w:val="auto"/>
                <w:szCs w:val="21"/>
                <w:highlight w:val="none"/>
                <w:lang w:val="en-US" w:eastAsia="zh-CN"/>
              </w:rPr>
              <w:t>的有关红树林的素材与数据收集范围</w:t>
            </w:r>
            <w:r>
              <w:rPr>
                <w:rFonts w:hint="eastAsia" w:ascii="仿宋" w:hAnsi="仿宋" w:eastAsia="仿宋" w:cs="仿宋"/>
                <w:b w:val="0"/>
                <w:bCs/>
                <w:color w:val="auto"/>
                <w:szCs w:val="21"/>
                <w:highlight w:val="none"/>
              </w:rPr>
              <w:t>应覆盖深圳、香港、澳门三地典型红树林分布区及相关传统渔村，</w:t>
            </w:r>
            <w:r>
              <w:rPr>
                <w:rFonts w:hint="eastAsia" w:ascii="仿宋" w:hAnsi="仿宋" w:eastAsia="仿宋" w:cs="仿宋"/>
                <w:b w:val="0"/>
                <w:bCs/>
                <w:color w:val="auto"/>
                <w:szCs w:val="21"/>
                <w:highlight w:val="none"/>
                <w:lang w:val="en-US" w:eastAsia="zh-CN"/>
              </w:rPr>
              <w:t>涵盖</w:t>
            </w:r>
            <w:r>
              <w:rPr>
                <w:rFonts w:hint="eastAsia" w:ascii="仿宋" w:hAnsi="仿宋" w:eastAsia="仿宋" w:cs="仿宋"/>
                <w:b w:val="0"/>
                <w:bCs/>
                <w:color w:val="auto"/>
                <w:szCs w:val="21"/>
                <w:highlight w:val="none"/>
              </w:rPr>
              <w:t>红树林分布、生境特征、保护管理现状、渔村生产生活、传统生态知识、渔业转型等资料</w:t>
            </w:r>
            <w:r>
              <w:rPr>
                <w:rFonts w:hint="eastAsia" w:ascii="仿宋" w:hAnsi="仿宋" w:eastAsia="仿宋" w:cs="仿宋"/>
                <w:b w:val="0"/>
                <w:bCs/>
                <w:color w:val="auto"/>
                <w:szCs w:val="21"/>
                <w:highlight w:val="none"/>
                <w:lang w:eastAsia="zh-CN"/>
              </w:rPr>
              <w:t>。</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lang w:val="en-US" w:eastAsia="zh-CN"/>
              </w:rPr>
              <w:t xml:space="preserve">    </w:t>
            </w:r>
            <w:r>
              <w:rPr>
                <w:rFonts w:hint="eastAsia" w:ascii="仿宋" w:hAnsi="仿宋" w:eastAsia="仿宋" w:cs="仿宋"/>
                <w:b w:val="0"/>
                <w:bCs/>
                <w:color w:val="auto"/>
                <w:szCs w:val="21"/>
                <w:highlight w:val="none"/>
              </w:rPr>
              <w:t>2.服务方</w:t>
            </w:r>
            <w:r>
              <w:rPr>
                <w:rFonts w:hint="eastAsia" w:ascii="仿宋" w:hAnsi="仿宋" w:eastAsia="仿宋" w:cs="仿宋"/>
                <w:b w:val="0"/>
                <w:bCs/>
                <w:color w:val="auto"/>
                <w:szCs w:val="21"/>
                <w:highlight w:val="none"/>
                <w:lang w:val="en-US" w:eastAsia="zh-CN"/>
              </w:rPr>
              <w:t>的有关珊瑚的素材与数据收集范围涵盖</w:t>
            </w:r>
            <w:r>
              <w:rPr>
                <w:rFonts w:hint="eastAsia" w:ascii="仿宋" w:hAnsi="仿宋" w:eastAsia="仿宋" w:cs="仿宋"/>
                <w:b w:val="0"/>
                <w:bCs/>
                <w:color w:val="auto"/>
                <w:szCs w:val="21"/>
                <w:highlight w:val="none"/>
              </w:rPr>
              <w:t>三地珊瑚群落分布、活珊瑚覆盖状况、主要造礁石珊瑚种类、生境状态、威胁因素及渔村守护经验</w:t>
            </w:r>
            <w:r>
              <w:rPr>
                <w:rFonts w:hint="eastAsia" w:ascii="仿宋" w:hAnsi="仿宋" w:eastAsia="仿宋" w:cs="仿宋"/>
                <w:b w:val="0"/>
                <w:bCs/>
                <w:color w:val="auto"/>
                <w:szCs w:val="21"/>
                <w:highlight w:val="none"/>
                <w:lang w:eastAsia="zh-CN"/>
              </w:rPr>
              <w:t>；</w:t>
            </w:r>
            <w:r>
              <w:rPr>
                <w:rFonts w:hint="eastAsia" w:ascii="仿宋" w:hAnsi="仿宋" w:eastAsia="仿宋" w:cs="仿宋"/>
                <w:b w:val="0"/>
                <w:bCs/>
                <w:color w:val="auto"/>
                <w:szCs w:val="21"/>
                <w:highlight w:val="none"/>
              </w:rPr>
              <w:t>珊瑚生态数据整理应参照海岸带生态系统现状调查与评估相关技术规范，确保口径统一、来源可查。</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lang w:val="en-US" w:eastAsia="zh-CN"/>
              </w:rPr>
              <w:t xml:space="preserve">    </w:t>
            </w:r>
            <w:r>
              <w:rPr>
                <w:rFonts w:hint="eastAsia" w:ascii="仿宋" w:hAnsi="仿宋" w:eastAsia="仿宋" w:cs="仿宋"/>
                <w:b w:val="0"/>
                <w:bCs/>
                <w:color w:val="auto"/>
                <w:szCs w:val="21"/>
                <w:highlight w:val="none"/>
              </w:rPr>
              <w:t>3.影像素材须统一标注拍摄时间、地点、水深、拍摄者、设备型号及简要生态说明。拍摄过程应遵守不触碰、不扰动海洋生物原则；原始素材须保留未经剪辑版本，第三方素材须明确来源及授权情况</w:t>
            </w:r>
            <w:r>
              <w:rPr>
                <w:rFonts w:hint="eastAsia" w:ascii="仿宋" w:hAnsi="仿宋" w:eastAsia="仿宋" w:cs="仿宋"/>
                <w:b w:val="0"/>
                <w:bCs/>
                <w:color w:val="auto"/>
                <w:szCs w:val="21"/>
                <w:highlight w:val="none"/>
                <w:lang w:eastAsia="zh-CN"/>
              </w:rPr>
              <w:t>。</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eastAsia="zh-CN"/>
              </w:rPr>
            </w:pPr>
            <w:r>
              <w:rPr>
                <w:rFonts w:hint="eastAsia" w:ascii="仿宋" w:hAnsi="仿宋" w:eastAsia="仿宋" w:cs="仿宋"/>
                <w:b w:val="0"/>
                <w:bCs/>
                <w:color w:val="auto"/>
                <w:szCs w:val="21"/>
                <w:highlight w:val="none"/>
                <w:lang w:val="en-US" w:eastAsia="zh-CN"/>
              </w:rPr>
              <w:t xml:space="preserve">    </w:t>
            </w:r>
            <w:r>
              <w:rPr>
                <w:rFonts w:hint="eastAsia" w:ascii="仿宋" w:hAnsi="仿宋" w:eastAsia="仿宋" w:cs="仿宋"/>
                <w:b w:val="0"/>
                <w:bCs/>
                <w:color w:val="auto"/>
                <w:szCs w:val="21"/>
                <w:highlight w:val="none"/>
              </w:rPr>
              <w:t>4.</w:t>
            </w:r>
            <w:r>
              <w:rPr>
                <w:rFonts w:hint="eastAsia" w:ascii="仿宋" w:hAnsi="仿宋" w:eastAsia="仿宋" w:cs="仿宋"/>
                <w:b w:val="0"/>
                <w:bCs/>
                <w:color w:val="auto"/>
                <w:szCs w:val="21"/>
                <w:highlight w:val="none"/>
                <w:lang w:val="en-US" w:eastAsia="zh-CN"/>
              </w:rPr>
              <w:t>服务方提交的资料中，</w:t>
            </w:r>
            <w:r>
              <w:rPr>
                <w:rFonts w:hint="eastAsia" w:ascii="仿宋" w:hAnsi="仿宋" w:eastAsia="仿宋" w:cs="仿宋"/>
                <w:b w:val="0"/>
                <w:bCs/>
                <w:color w:val="auto"/>
                <w:szCs w:val="21"/>
                <w:highlight w:val="none"/>
              </w:rPr>
              <w:t>涉及政策文件、合作协议和统计数据的，应优先采用权威发布文本；涉港澳表述须符合国家有关规定</w:t>
            </w:r>
            <w:r>
              <w:rPr>
                <w:rFonts w:hint="eastAsia" w:ascii="仿宋" w:hAnsi="仿宋" w:eastAsia="仿宋" w:cs="仿宋"/>
                <w:b w:val="0"/>
                <w:bCs/>
                <w:color w:val="auto"/>
                <w:szCs w:val="21"/>
                <w:highlight w:val="none"/>
                <w:lang w:eastAsia="zh-CN"/>
              </w:rPr>
              <w:t>。</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lang w:val="en-US" w:eastAsia="zh-CN"/>
              </w:rPr>
              <w:t xml:space="preserve">    </w:t>
            </w:r>
            <w:r>
              <w:rPr>
                <w:rFonts w:hint="eastAsia" w:ascii="仿宋" w:hAnsi="仿宋" w:eastAsia="仿宋" w:cs="仿宋"/>
                <w:b w:val="0"/>
                <w:bCs/>
                <w:color w:val="auto"/>
                <w:szCs w:val="21"/>
                <w:highlight w:val="none"/>
              </w:rPr>
              <w:t>5.</w:t>
            </w:r>
            <w:r>
              <w:rPr>
                <w:rFonts w:hint="eastAsia" w:ascii="仿宋" w:hAnsi="仿宋" w:eastAsia="仿宋" w:cs="仿宋"/>
                <w:b w:val="0"/>
                <w:bCs/>
                <w:color w:val="auto"/>
                <w:szCs w:val="21"/>
                <w:highlight w:val="none"/>
                <w:lang w:val="en-US" w:eastAsia="zh-CN"/>
              </w:rPr>
              <w:t>服务方提交的</w:t>
            </w:r>
            <w:r>
              <w:rPr>
                <w:rFonts w:hint="eastAsia" w:ascii="仿宋" w:hAnsi="仿宋" w:eastAsia="仿宋" w:cs="仿宋"/>
                <w:b w:val="0"/>
                <w:bCs/>
                <w:color w:val="auto"/>
                <w:szCs w:val="21"/>
                <w:highlight w:val="none"/>
              </w:rPr>
              <w:t>多媒体科普视频宜采用MP4格式，分辨率不低于1080P，画面比例16:9，配普通话配音及简体中文字幕。内容须科学准确、通俗易懂，专业术语首次出现时应给出通俗解释；片头片尾应包含项目名称、制作单位、版权说明等信息。发布前须完成科学审核、用语审核、版权审核和涉港澳表述审核。</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rPr>
            </w:pPr>
            <w:r>
              <w:rPr>
                <w:rFonts w:hint="eastAsia" w:ascii="仿宋" w:hAnsi="仿宋" w:eastAsia="仿宋" w:cs="仿宋"/>
                <w:b w:val="0"/>
                <w:bCs/>
                <w:color w:val="auto"/>
                <w:szCs w:val="21"/>
                <w:highlight w:val="none"/>
                <w:lang w:val="en-US" w:eastAsia="zh-CN"/>
              </w:rPr>
              <w:t xml:space="preserve">    6.</w:t>
            </w:r>
            <w:r>
              <w:rPr>
                <w:rFonts w:hint="eastAsia" w:ascii="仿宋" w:hAnsi="仿宋" w:eastAsia="仿宋" w:cs="仿宋"/>
                <w:b w:val="0"/>
                <w:bCs/>
                <w:color w:val="auto"/>
                <w:szCs w:val="21"/>
                <w:highlight w:val="none"/>
              </w:rPr>
              <w:t>质量要求：成果数据真实准确、可追溯；专业术语首次出现时给出通俗解释；涉及第三方素材须明确来源及授权情况；涉港澳相关表述须符合国家有关规定。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7" w:hRule="atLeast"/>
          <w:jc w:val="center"/>
        </w:trPr>
        <w:tc>
          <w:tcPr>
            <w:tcW w:w="1393" w:type="dxa"/>
            <w:noWrap w:val="0"/>
            <w:vAlign w:val="top"/>
          </w:tcPr>
          <w:p>
            <w:pPr>
              <w:keepNext w:val="0"/>
              <w:keepLines w:val="0"/>
              <w:pageBreakBefore w:val="0"/>
              <w:widowControl w:val="0"/>
              <w:kinsoku/>
              <w:overflowPunct/>
              <w:topLinePunct w:val="0"/>
              <w:autoSpaceDE/>
              <w:autoSpaceDN/>
              <w:bidi w:val="0"/>
              <w:jc w:val="left"/>
              <w:rPr>
                <w:rFonts w:hint="eastAsia" w:ascii="仿宋" w:hAnsi="仿宋" w:eastAsia="仿宋" w:cs="仿宋"/>
                <w:b/>
                <w:bCs w:val="0"/>
                <w:color w:val="000000"/>
                <w:kern w:val="0"/>
                <w:szCs w:val="21"/>
                <w:highlight w:val="none"/>
              </w:rPr>
            </w:pPr>
            <w:r>
              <w:rPr>
                <w:rFonts w:hint="eastAsia" w:ascii="仿宋" w:hAnsi="仿宋" w:eastAsia="仿宋" w:cs="仿宋"/>
                <w:b/>
                <w:bCs w:val="0"/>
                <w:color w:val="000000"/>
                <w:kern w:val="0"/>
                <w:szCs w:val="21"/>
                <w:highlight w:val="none"/>
              </w:rPr>
              <w:t>商务需求</w:t>
            </w:r>
          </w:p>
        </w:tc>
        <w:tc>
          <w:tcPr>
            <w:tcW w:w="7574" w:type="dxa"/>
            <w:gridSpan w:val="3"/>
            <w:noWrap w:val="0"/>
            <w:vAlign w:val="top"/>
          </w:tcPr>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 xml:space="preserve">    1.项目概况：本项目围绕深港澳三地红树林与珊瑚保育开展调研及科普，旨在梳理三地协同保育机制、形成科普传播内容，服务深港澳海洋生态文明建设。</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 xml:space="preserve">    2.项目所依据及参考的标准：《中华人民共和国生态环境法典》及科普内容创作的有关规范。</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 xml:space="preserve">    3.项目服务范围：深圳、香港、澳门三地红树林与珊瑚分布区及相关传统渔村；服务内容为红树林与珊瑚保育调研、水下影像采集、典型案例集编写、科普短视频制作与传播。</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 xml:space="preserve">    4.项目服务期限：自合同签订之日起3个月。</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 xml:space="preserve">    5.组织实施要求：供应商应围绕项目目标，建立项目负责人统筹、专业技术团队支撑、质量与合规审核把关的组织实施机制，按照“准备启动—调研采集—产品制作—审核传播与总结验收”四个阶段组织实施，并按阶段提交相应成果。</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 xml:space="preserve">    6.成果要求：调研底稿暨典型案例集（含三地红树林篇、珊瑚篇）1套，科普短视频</w:t>
            </w:r>
            <w:r>
              <w:rPr>
                <w:rFonts w:hint="default" w:ascii="仿宋" w:hAnsi="仿宋" w:eastAsia="仿宋" w:cs="仿宋"/>
                <w:b w:val="0"/>
                <w:bCs/>
                <w:color w:val="auto"/>
                <w:szCs w:val="21"/>
                <w:highlight w:val="none"/>
                <w:lang w:val="en-US" w:eastAsia="zh-CN"/>
              </w:rPr>
              <w:t>2-3</w:t>
            </w:r>
            <w:r>
              <w:rPr>
                <w:rFonts w:hint="eastAsia" w:ascii="仿宋" w:hAnsi="仿宋" w:eastAsia="仿宋" w:cs="仿宋"/>
                <w:b w:val="0"/>
                <w:bCs/>
                <w:color w:val="auto"/>
                <w:szCs w:val="21"/>
                <w:highlight w:val="none"/>
                <w:lang w:val="en-US" w:eastAsia="zh-CN"/>
              </w:rPr>
              <w:t>条及配套图文1套，三地水下影</w:t>
            </w:r>
            <w:bookmarkStart w:id="1" w:name="_GoBack"/>
            <w:bookmarkEnd w:id="1"/>
            <w:r>
              <w:rPr>
                <w:rFonts w:hint="eastAsia" w:ascii="仿宋" w:hAnsi="仿宋" w:eastAsia="仿宋" w:cs="仿宋"/>
                <w:b w:val="0"/>
                <w:bCs/>
                <w:color w:val="auto"/>
                <w:szCs w:val="21"/>
                <w:highlight w:val="none"/>
                <w:lang w:val="en-US" w:eastAsia="zh-CN"/>
              </w:rPr>
              <w:t>像素材库1套，结项汇报资料及配套说明材料1份；成果知识产权及使用约定按服务合同执行。</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 xml:space="preserve">    7.项目人员安排要求：项目团队不少于5人，项目负责人须具有相关项目组织经验，主要成员涵盖海洋生态调研、影像拍摄与后期制作等岗位。</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 xml:space="preserve">    8.售后服务：验收合格后1个月内，供应商对采购人提出的成果修改意见免费提供修改支持。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93" w:type="dxa"/>
            <w:noWrap w:val="0"/>
            <w:vAlign w:val="top"/>
          </w:tcPr>
          <w:p>
            <w:pPr>
              <w:keepNext w:val="0"/>
              <w:keepLines w:val="0"/>
              <w:pageBreakBefore w:val="0"/>
              <w:widowControl w:val="0"/>
              <w:kinsoku/>
              <w:overflowPunct/>
              <w:topLinePunct w:val="0"/>
              <w:autoSpaceDE/>
              <w:autoSpaceDN/>
              <w:bidi w:val="0"/>
              <w:jc w:val="left"/>
              <w:rPr>
                <w:rFonts w:hint="default" w:ascii="仿宋" w:hAnsi="仿宋" w:eastAsia="仿宋" w:cs="仿宋"/>
                <w:b/>
                <w:bCs w:val="0"/>
                <w:color w:val="000000"/>
                <w:kern w:val="0"/>
                <w:szCs w:val="21"/>
                <w:highlight w:val="none"/>
                <w:lang w:val="en-US" w:eastAsia="zh-CN"/>
              </w:rPr>
            </w:pPr>
            <w:r>
              <w:rPr>
                <w:rFonts w:hint="eastAsia" w:ascii="仿宋" w:hAnsi="仿宋" w:eastAsia="仿宋" w:cs="仿宋"/>
                <w:b/>
                <w:bCs w:val="0"/>
                <w:color w:val="000000"/>
                <w:kern w:val="0"/>
                <w:szCs w:val="21"/>
                <w:highlight w:val="none"/>
                <w:lang w:val="en-US" w:eastAsia="zh-CN"/>
              </w:rPr>
              <w:t>投标文件要求</w:t>
            </w:r>
          </w:p>
        </w:tc>
        <w:tc>
          <w:tcPr>
            <w:tcW w:w="7574" w:type="dxa"/>
            <w:gridSpan w:val="3"/>
            <w:noWrap w:val="0"/>
            <w:vAlign w:val="top"/>
          </w:tcPr>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自行实施：</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（1）营业执照，必须提供，原件备查；</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（2）报价函，必须提供，格式自拟，报价明细参照询价通知书附件分项报价表；</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（3）政府采购投标及履约承诺函，必须提供，按照采购人提供的格式提交；</w:t>
            </w:r>
          </w:p>
          <w:p>
            <w:pPr>
              <w:keepNext w:val="0"/>
              <w:keepLines w:val="0"/>
              <w:pageBreakBefore w:val="0"/>
              <w:widowControl w:val="0"/>
              <w:numPr>
                <w:ilvl w:val="0"/>
                <w:numId w:val="0"/>
              </w:numPr>
              <w:kinsoku/>
              <w:overflowPunct/>
              <w:topLinePunct w:val="0"/>
              <w:autoSpaceDE/>
              <w:autoSpaceDN/>
              <w:bidi w:val="0"/>
              <w:jc w:val="left"/>
              <w:rPr>
                <w:rFonts w:hint="eastAsia" w:ascii="仿宋" w:hAnsi="仿宋" w:eastAsia="仿宋" w:cs="仿宋"/>
                <w:b w:val="0"/>
                <w:bCs/>
                <w:color w:val="auto"/>
                <w:szCs w:val="21"/>
                <w:highlight w:val="none"/>
                <w:lang w:val="en-US" w:eastAsia="zh-CN"/>
              </w:rPr>
            </w:pPr>
            <w:r>
              <w:rPr>
                <w:rFonts w:hint="eastAsia" w:ascii="仿宋" w:hAnsi="仿宋" w:eastAsia="仿宋" w:cs="仿宋"/>
                <w:b w:val="0"/>
                <w:bCs/>
                <w:color w:val="auto"/>
                <w:szCs w:val="21"/>
                <w:highlight w:val="none"/>
                <w:lang w:val="en-US" w:eastAsia="zh-CN"/>
              </w:rPr>
              <w:t>（4）供应商基本情况表，必须提供，按照我局提供的格式提交。</w:t>
            </w:r>
          </w:p>
        </w:tc>
      </w:tr>
    </w:tbl>
    <w:p>
      <w:pPr>
        <w:keepNext w:val="0"/>
        <w:keepLines w:val="0"/>
        <w:pageBreakBefore w:val="0"/>
        <w:widowControl w:val="0"/>
        <w:kinsoku/>
        <w:overflowPunct/>
        <w:topLinePunct w:val="0"/>
        <w:autoSpaceDE/>
        <w:autoSpaceDN/>
        <w:bidi w:val="0"/>
        <w:jc w:val="left"/>
        <w:rPr>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Light">
    <w:altName w:val="华文仿宋"/>
    <w:panose1 w:val="02010600030101010101"/>
    <w:charset w:val="00"/>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等线">
    <w:altName w:val="华文仿宋"/>
    <w:panose1 w:val="02010600030101010101"/>
    <w:charset w:val="86"/>
    <w:family w:val="auto"/>
    <w:pitch w:val="default"/>
    <w:sig w:usb0="00000000" w:usb1="00000000" w:usb2="00000016" w:usb3="00000000" w:csb0="0004000F"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ESI仿宋-GB13000">
    <w:panose1 w:val="02000500000000000000"/>
    <w:charset w:val="86"/>
    <w:family w:val="auto"/>
    <w:pitch w:val="default"/>
    <w:sig w:usb0="800002BF" w:usb1="18CF7CF8" w:usb2="00000016" w:usb3="00000000" w:csb0="0004000F"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F9FED"/>
    <w:multiLevelType w:val="multilevel"/>
    <w:tmpl w:val="DFFF9FED"/>
    <w:lvl w:ilvl="0" w:tentative="0">
      <w:start w:val="1"/>
      <w:numFmt w:val="chineseCounting"/>
      <w:suff w:val="nothing"/>
      <w:lvlText w:val="%1、"/>
      <w:lvlJc w:val="left"/>
      <w:pPr>
        <w:ind w:left="0" w:firstLine="0"/>
      </w:pPr>
      <w:rPr>
        <w:rFonts w:hint="eastAsia"/>
      </w:rPr>
    </w:lvl>
    <w:lvl w:ilvl="1" w:tentative="0">
      <w:start w:val="1"/>
      <w:numFmt w:val="chineseCounting"/>
      <w:pStyle w:val="2"/>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6846A3"/>
    <w:rsid w:val="09BC2C2C"/>
    <w:rsid w:val="0FBFAAE7"/>
    <w:rsid w:val="14366080"/>
    <w:rsid w:val="15CD6954"/>
    <w:rsid w:val="22690025"/>
    <w:rsid w:val="346672E6"/>
    <w:rsid w:val="366A124C"/>
    <w:rsid w:val="3D6FC42D"/>
    <w:rsid w:val="40484C3F"/>
    <w:rsid w:val="68EA6DAA"/>
    <w:rsid w:val="6F7B1508"/>
    <w:rsid w:val="7D9F66B2"/>
    <w:rsid w:val="7FA71654"/>
    <w:rsid w:val="7FA94E28"/>
    <w:rsid w:val="D3FFC43C"/>
    <w:rsid w:val="EB4E47B4"/>
    <w:rsid w:val="EE3B9B10"/>
    <w:rsid w:val="EFDF5A2B"/>
    <w:rsid w:val="F7CFCBE1"/>
    <w:rsid w:val="F7EF0B87"/>
    <w:rsid w:val="FF6846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9"/>
    <w:pPr>
      <w:keepNext/>
      <w:keepLines/>
      <w:widowControl/>
      <w:numPr>
        <w:ilvl w:val="1"/>
        <w:numId w:val="1"/>
      </w:numPr>
      <w:spacing w:before="120" w:after="120" w:line="415" w:lineRule="auto"/>
      <w:jc w:val="left"/>
      <w:outlineLvl w:val="1"/>
    </w:pPr>
    <w:rPr>
      <w:rFonts w:ascii="等线 Light" w:hAnsi="等线 Light" w:eastAsia="宋体" w:cs="Times New Roman"/>
      <w:b/>
      <w:bCs/>
      <w:kern w:val="0"/>
      <w:sz w:val="28"/>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spacing w:after="160" w:line="259" w:lineRule="auto"/>
    </w:pPr>
    <w:rPr>
      <w:rFonts w:ascii="等线" w:hAnsi="等线" w:eastAsia="等线" w:cs="Times New Roman"/>
      <w:kern w:val="0"/>
      <w:sz w:val="22"/>
    </w:rPr>
  </w:style>
  <w:style w:type="paragraph" w:styleId="4">
    <w:name w:val="Body Text"/>
    <w:basedOn w:val="1"/>
    <w:next w:val="5"/>
    <w:qFormat/>
    <w:uiPriority w:val="0"/>
    <w:pPr>
      <w:widowControl w:val="0"/>
      <w:spacing w:before="61"/>
      <w:ind w:left="102"/>
    </w:pPr>
    <w:rPr>
      <w:rFonts w:ascii="宋体" w:hAnsi="宋体" w:eastAsia="宋体"/>
      <w:kern w:val="0"/>
      <w:sz w:val="28"/>
      <w:szCs w:val="28"/>
      <w:lang w:eastAsia="en-US"/>
    </w:rPr>
  </w:style>
  <w:style w:type="paragraph" w:styleId="5">
    <w:name w:val="Title"/>
    <w:basedOn w:val="1"/>
    <w:next w:val="1"/>
    <w:qFormat/>
    <w:uiPriority w:val="0"/>
    <w:pPr>
      <w:spacing w:before="240" w:after="60"/>
      <w:jc w:val="center"/>
      <w:outlineLvl w:val="0"/>
    </w:pPr>
    <w:rPr>
      <w:rFonts w:ascii="Cambria" w:hAnsi="Cambria" w:eastAsia="宋体"/>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7432</Words>
  <Characters>8022</Characters>
  <Lines>0</Lines>
  <Paragraphs>0</Paragraphs>
  <TotalTime>2</TotalTime>
  <ScaleCrop>false</ScaleCrop>
  <LinksUpToDate>false</LinksUpToDate>
  <CharactersWithSpaces>8022</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2026-10-12T17:22:00Z</dcterms:created>
  <dc:creator>lyb-HKQ</dc:creator>
  <cp:lastModifiedBy>lyb-HKQ</cp:lastModifiedBy>
  <cp:lastPrinted>2026-10-22T15:05:00Z</cp:lastPrinted>
  <dcterms:modified xsi:type="dcterms:W3CDTF">2026-10-27T17:21:26Z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DAD4C27C96EC4164993F25C85835DB8B_13</vt:lpwstr>
  </property>
  <property fmtid="{D5CDD505-2E9C-101B-9397-08002B2CF9AE}" pid="4" name="KSOTemplateDocerSaveRecord">
    <vt:lpwstr>eyJoZGlkIjoiOGVmY2I1ZmRlMWFkODUxODg5OWFhMjdkODIxMGE0OGIiLCJ1c2VySWQiOiIxMTI4Mjk4MjI3In0=</vt:lpwstr>
  </property>
</Properties>
</file>