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auto"/>
        <w:jc w:val="center"/>
        <w:rPr>
          <w:rFonts w:ascii="宋体" w:hAnsi="宋体"/>
          <w:b/>
          <w:sz w:val="44"/>
          <w:szCs w:val="44"/>
        </w:rPr>
      </w:pPr>
      <w:bookmarkStart w:id="0" w:name="_Toc338923035"/>
      <w:bookmarkStart w:id="1" w:name="_Toc265518541"/>
      <w:bookmarkStart w:id="2" w:name="_Toc269474238"/>
    </w:p>
    <w:p>
      <w:pPr>
        <w:spacing w:line="720" w:lineRule="auto"/>
        <w:jc w:val="center"/>
        <w:rPr>
          <w:rFonts w:ascii="宋体" w:hAnsi="宋体"/>
          <w:b/>
          <w:sz w:val="44"/>
          <w:szCs w:val="44"/>
        </w:rPr>
      </w:pPr>
    </w:p>
    <w:p>
      <w:pPr>
        <w:spacing w:line="720" w:lineRule="auto"/>
        <w:jc w:val="center"/>
        <w:rPr>
          <w:rFonts w:ascii="宋体" w:hAnsi="宋体"/>
          <w:b/>
          <w:sz w:val="44"/>
          <w:szCs w:val="44"/>
        </w:rPr>
      </w:pPr>
      <w:r>
        <w:rPr>
          <w:rFonts w:hint="eastAsia" w:ascii="宋体" w:hAnsi="宋体"/>
          <w:b/>
          <w:sz w:val="44"/>
          <w:szCs w:val="44"/>
        </w:rPr>
        <w:t>深圳大鹏半岛国家地质自然公园</w:t>
      </w:r>
    </w:p>
    <w:p>
      <w:pPr>
        <w:spacing w:line="720" w:lineRule="auto"/>
        <w:jc w:val="center"/>
        <w:rPr>
          <w:rFonts w:hint="eastAsia" w:ascii="宋体" w:hAnsi="宋体"/>
          <w:b/>
          <w:sz w:val="44"/>
          <w:szCs w:val="44"/>
        </w:rPr>
      </w:pPr>
      <w:r>
        <w:rPr>
          <w:rFonts w:hint="eastAsia" w:ascii="宋体" w:hAnsi="宋体"/>
          <w:b/>
          <w:sz w:val="44"/>
          <w:szCs w:val="44"/>
        </w:rPr>
        <w:t>绿地养护、登山道设施维护及林地保洁</w:t>
      </w:r>
    </w:p>
    <w:p>
      <w:pPr>
        <w:spacing w:line="720" w:lineRule="auto"/>
        <w:jc w:val="center"/>
        <w:rPr>
          <w:rFonts w:ascii="宋体" w:hAnsi="宋体"/>
          <w:b/>
          <w:sz w:val="44"/>
          <w:szCs w:val="44"/>
        </w:rPr>
      </w:pPr>
      <w:r>
        <w:rPr>
          <w:rFonts w:hint="eastAsia" w:ascii="宋体" w:hAnsi="宋体"/>
          <w:b/>
          <w:sz w:val="44"/>
          <w:szCs w:val="44"/>
          <w:lang w:val="en-US" w:eastAsia="zh-CN"/>
        </w:rPr>
        <w:t>项目</w:t>
      </w:r>
      <w:r>
        <w:rPr>
          <w:rFonts w:hint="eastAsia" w:ascii="宋体" w:hAnsi="宋体"/>
          <w:b/>
          <w:sz w:val="44"/>
          <w:szCs w:val="44"/>
        </w:rPr>
        <w:t>合同</w:t>
      </w:r>
    </w:p>
    <w:p>
      <w:pPr>
        <w:jc w:val="center"/>
        <w:rPr>
          <w:rFonts w:ascii="宋体" w:hAnsi="宋体"/>
          <w:b/>
          <w:sz w:val="44"/>
          <w:szCs w:val="44"/>
        </w:rPr>
      </w:pPr>
    </w:p>
    <w:p>
      <w:pPr>
        <w:jc w:val="center"/>
        <w:rPr>
          <w:rFonts w:ascii="宋体" w:hAnsi="宋体"/>
          <w:b/>
          <w:sz w:val="44"/>
          <w:szCs w:val="44"/>
        </w:rPr>
      </w:pPr>
    </w:p>
    <w:p>
      <w:pPr>
        <w:jc w:val="center"/>
        <w:rPr>
          <w:rFonts w:ascii="宋体" w:hAnsi="宋体"/>
          <w:b/>
          <w:sz w:val="44"/>
          <w:szCs w:val="44"/>
        </w:rPr>
      </w:pPr>
    </w:p>
    <w:p>
      <w:pPr>
        <w:jc w:val="center"/>
        <w:rPr>
          <w:rFonts w:ascii="宋体" w:hAnsi="宋体"/>
          <w:b/>
          <w:sz w:val="44"/>
          <w:szCs w:val="44"/>
        </w:rPr>
      </w:pPr>
    </w:p>
    <w:p>
      <w:pPr>
        <w:rPr>
          <w:rFonts w:ascii="宋体" w:hAnsi="宋体"/>
          <w:sz w:val="30"/>
          <w:szCs w:val="30"/>
          <w:lang w:val="zh-CN"/>
        </w:rPr>
      </w:pPr>
      <w:r>
        <w:rPr>
          <w:rFonts w:hint="eastAsia" w:ascii="宋体" w:hAnsi="宋体"/>
          <w:sz w:val="30"/>
          <w:szCs w:val="30"/>
          <w:lang w:val="zh-CN"/>
        </w:rPr>
        <w:t>甲</w:t>
      </w:r>
      <w:r>
        <w:rPr>
          <w:rFonts w:ascii="宋体" w:hAnsi="宋体"/>
          <w:sz w:val="30"/>
          <w:szCs w:val="30"/>
          <w:lang w:val="zh-CN"/>
        </w:rPr>
        <w:t xml:space="preserve">    </w:t>
      </w:r>
      <w:r>
        <w:rPr>
          <w:rFonts w:hint="eastAsia" w:ascii="宋体" w:hAnsi="宋体"/>
          <w:sz w:val="30"/>
          <w:szCs w:val="30"/>
          <w:lang w:val="zh-CN"/>
        </w:rPr>
        <w:t>方：深圳大鹏半岛国家地质自然公园管理处</w:t>
      </w:r>
    </w:p>
    <w:p>
      <w:pPr>
        <w:rPr>
          <w:rFonts w:ascii="宋体" w:hAnsi="宋体"/>
          <w:sz w:val="30"/>
          <w:szCs w:val="30"/>
          <w:lang w:val="zh-CN"/>
        </w:rPr>
      </w:pPr>
      <w:r>
        <w:rPr>
          <w:rFonts w:hint="eastAsia" w:ascii="宋体" w:hAnsi="宋体"/>
          <w:sz w:val="30"/>
          <w:szCs w:val="30"/>
          <w:lang w:val="zh-CN"/>
        </w:rPr>
        <w:t>地</w:t>
      </w:r>
      <w:r>
        <w:rPr>
          <w:rFonts w:ascii="宋体" w:hAnsi="宋体"/>
          <w:sz w:val="30"/>
          <w:szCs w:val="30"/>
          <w:lang w:val="zh-CN"/>
        </w:rPr>
        <w:t xml:space="preserve">    </w:t>
      </w:r>
      <w:r>
        <w:rPr>
          <w:rFonts w:hint="eastAsia" w:ascii="宋体" w:hAnsi="宋体"/>
          <w:sz w:val="30"/>
          <w:szCs w:val="30"/>
          <w:lang w:val="zh-CN"/>
        </w:rPr>
        <w:t>址：深圳大鹏新区深圳大鹏半岛国家地质自然公园</w:t>
      </w:r>
    </w:p>
    <w:p>
      <w:pPr>
        <w:rPr>
          <w:rFonts w:hint="default" w:ascii="宋体" w:hAnsi="宋体" w:eastAsia="宋体"/>
          <w:sz w:val="30"/>
          <w:szCs w:val="30"/>
          <w:lang w:val="en-US" w:eastAsia="zh-CN"/>
        </w:rPr>
      </w:pPr>
      <w:r>
        <w:rPr>
          <w:rFonts w:hint="eastAsia" w:ascii="宋体" w:hAnsi="宋体"/>
          <w:sz w:val="30"/>
          <w:szCs w:val="30"/>
          <w:lang w:val="zh-CN"/>
        </w:rPr>
        <w:t>电</w:t>
      </w:r>
      <w:r>
        <w:rPr>
          <w:rFonts w:ascii="宋体" w:hAnsi="宋体"/>
          <w:sz w:val="30"/>
          <w:szCs w:val="30"/>
          <w:lang w:val="zh-CN"/>
        </w:rPr>
        <w:t xml:space="preserve">    </w:t>
      </w:r>
      <w:r>
        <w:rPr>
          <w:rFonts w:hint="eastAsia" w:ascii="宋体" w:hAnsi="宋体"/>
          <w:sz w:val="30"/>
          <w:szCs w:val="30"/>
          <w:lang w:val="zh-CN"/>
        </w:rPr>
        <w:t>话：</w:t>
      </w:r>
      <w:r>
        <w:rPr>
          <w:rFonts w:ascii="宋体" w:hAnsi="宋体"/>
          <w:sz w:val="30"/>
          <w:szCs w:val="30"/>
        </w:rPr>
        <w:t>0755-84422</w:t>
      </w:r>
      <w:r>
        <w:rPr>
          <w:rFonts w:hint="eastAsia" w:ascii="宋体" w:hAnsi="宋体"/>
          <w:sz w:val="30"/>
          <w:szCs w:val="30"/>
          <w:lang w:val="en-US" w:eastAsia="zh-CN"/>
        </w:rPr>
        <w:t>340</w:t>
      </w:r>
    </w:p>
    <w:p>
      <w:pPr>
        <w:rPr>
          <w:rFonts w:ascii="宋体" w:hAnsi="宋体"/>
          <w:sz w:val="30"/>
          <w:szCs w:val="30"/>
        </w:rPr>
      </w:pPr>
    </w:p>
    <w:p>
      <w:pPr>
        <w:rPr>
          <w:rFonts w:ascii="宋体" w:hAnsi="宋体"/>
          <w:sz w:val="32"/>
          <w:szCs w:val="32"/>
          <w:lang w:val="zh-CN"/>
        </w:rPr>
      </w:pPr>
      <w:r>
        <w:rPr>
          <w:rFonts w:hint="eastAsia" w:ascii="宋体" w:hAnsi="宋体"/>
          <w:sz w:val="32"/>
          <w:szCs w:val="32"/>
          <w:lang w:val="zh-CN"/>
        </w:rPr>
        <w:t>乙</w:t>
      </w:r>
      <w:r>
        <w:rPr>
          <w:rFonts w:ascii="宋体" w:hAnsi="宋体"/>
          <w:sz w:val="32"/>
          <w:szCs w:val="32"/>
          <w:lang w:val="zh-CN"/>
        </w:rPr>
        <w:t xml:space="preserve">    </w:t>
      </w:r>
      <w:r>
        <w:rPr>
          <w:rFonts w:hint="eastAsia" w:ascii="宋体" w:hAnsi="宋体"/>
          <w:sz w:val="32"/>
          <w:szCs w:val="32"/>
          <w:lang w:val="zh-CN"/>
        </w:rPr>
        <w:t>方：深圳滨海之都建设有限公司</w:t>
      </w:r>
    </w:p>
    <w:p>
      <w:pPr>
        <w:ind w:left="1600" w:hanging="1600" w:hangingChars="500"/>
        <w:rPr>
          <w:rFonts w:hint="default" w:ascii="宋体" w:hAnsi="宋体" w:eastAsia="宋体"/>
          <w:sz w:val="32"/>
          <w:szCs w:val="32"/>
          <w:lang w:val="en-US" w:eastAsia="zh-CN"/>
        </w:rPr>
      </w:pPr>
      <w:r>
        <w:rPr>
          <w:rFonts w:hint="eastAsia" w:ascii="宋体" w:hAnsi="宋体"/>
          <w:sz w:val="32"/>
          <w:szCs w:val="32"/>
          <w:lang w:val="zh-CN"/>
        </w:rPr>
        <w:t>地</w:t>
      </w:r>
      <w:r>
        <w:rPr>
          <w:rFonts w:ascii="宋体" w:hAnsi="宋体"/>
          <w:sz w:val="32"/>
          <w:szCs w:val="32"/>
          <w:lang w:val="zh-CN"/>
        </w:rPr>
        <w:t xml:space="preserve">    </w:t>
      </w:r>
      <w:r>
        <w:rPr>
          <w:rFonts w:hint="eastAsia" w:ascii="宋体" w:hAnsi="宋体"/>
          <w:sz w:val="32"/>
          <w:szCs w:val="32"/>
          <w:lang w:val="zh-CN"/>
        </w:rPr>
        <w:t>址：深圳市盐田区海山街道梧桐社区深盐路</w:t>
      </w:r>
      <w:r>
        <w:rPr>
          <w:rFonts w:hint="eastAsia" w:ascii="宋体" w:hAnsi="宋体"/>
          <w:sz w:val="32"/>
          <w:szCs w:val="32"/>
          <w:lang w:val="en-US" w:eastAsia="zh-CN"/>
        </w:rPr>
        <w:t>2158号盐田人力资源大楼605</w:t>
      </w:r>
    </w:p>
    <w:p>
      <w:pPr>
        <w:rPr>
          <w:rFonts w:hint="default" w:ascii="宋体" w:hAnsi="宋体" w:eastAsia="宋体"/>
          <w:sz w:val="32"/>
          <w:szCs w:val="32"/>
          <w:lang w:val="en-US" w:eastAsia="zh-CN"/>
        </w:rPr>
      </w:pPr>
      <w:r>
        <w:rPr>
          <w:rFonts w:hint="eastAsia" w:ascii="宋体" w:hAnsi="宋体"/>
          <w:sz w:val="32"/>
          <w:szCs w:val="32"/>
          <w:lang w:val="zh-CN"/>
        </w:rPr>
        <w:t>电</w:t>
      </w:r>
      <w:r>
        <w:rPr>
          <w:rFonts w:ascii="宋体" w:hAnsi="宋体"/>
          <w:sz w:val="32"/>
          <w:szCs w:val="32"/>
          <w:lang w:val="zh-CN"/>
        </w:rPr>
        <w:t xml:space="preserve">    </w:t>
      </w:r>
      <w:r>
        <w:rPr>
          <w:rFonts w:hint="eastAsia" w:ascii="宋体" w:hAnsi="宋体"/>
          <w:sz w:val="32"/>
          <w:szCs w:val="32"/>
          <w:lang w:val="zh-CN"/>
        </w:rPr>
        <w:t>话：</w:t>
      </w:r>
      <w:bookmarkStart w:id="5" w:name="_GoBack"/>
      <w:bookmarkEnd w:id="5"/>
      <w:r>
        <w:rPr>
          <w:rFonts w:hint="eastAsia" w:ascii="宋体" w:hAnsi="宋体"/>
          <w:sz w:val="32"/>
          <w:szCs w:val="32"/>
          <w:lang w:val="en-US" w:eastAsia="zh-CN"/>
        </w:rPr>
        <w:t>1372522****</w:t>
      </w:r>
    </w:p>
    <w:p>
      <w:pPr>
        <w:rPr>
          <w:rFonts w:ascii="宋体" w:hAnsi="宋体"/>
          <w:sz w:val="30"/>
          <w:szCs w:val="30"/>
          <w:lang w:val="zh-CN"/>
        </w:rPr>
      </w:pPr>
    </w:p>
    <w:p>
      <w:pPr>
        <w:rPr>
          <w:rFonts w:ascii="宋体" w:hAnsi="宋体"/>
          <w:sz w:val="30"/>
          <w:szCs w:val="30"/>
          <w:lang w:val="zh-CN"/>
        </w:rPr>
      </w:pPr>
    </w:p>
    <w:p>
      <w:pPr>
        <w:rPr>
          <w:rFonts w:ascii="宋体" w:hAnsi="宋体"/>
          <w:sz w:val="30"/>
          <w:szCs w:val="30"/>
          <w:lang w:val="zh-CN"/>
        </w:rPr>
      </w:pPr>
    </w:p>
    <w:p>
      <w:pPr>
        <w:keepNext w:val="0"/>
        <w:keepLines w:val="0"/>
        <w:pageBreakBefore w:val="0"/>
        <w:widowControl w:val="0"/>
        <w:kinsoku/>
        <w:wordWrap/>
        <w:overflowPunct/>
        <w:topLinePunct w:val="0"/>
        <w:autoSpaceDE/>
        <w:autoSpaceDN/>
        <w:bidi w:val="0"/>
        <w:adjustRightInd/>
        <w:snapToGrid/>
        <w:spacing w:line="312" w:lineRule="auto"/>
        <w:textAlignment w:val="auto"/>
        <w:rPr>
          <w:rFonts w:ascii="宋体" w:hAnsi="宋体"/>
          <w:szCs w:val="22"/>
        </w:rPr>
      </w:pPr>
      <w:r>
        <w:rPr>
          <w:rFonts w:ascii="宋体" w:hAnsi="宋体"/>
          <w:b/>
          <w:sz w:val="36"/>
          <w:szCs w:val="36"/>
        </w:rPr>
        <w:br w:type="page"/>
      </w:r>
      <w:r>
        <w:rPr>
          <w:rFonts w:hint="eastAsia" w:ascii="宋体" w:hAnsi="宋体"/>
          <w:szCs w:val="22"/>
        </w:rPr>
        <w:t>甲方：深圳大鹏半岛国家地质自然公园管理处</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ascii="宋体" w:hAnsi="宋体"/>
          <w:szCs w:val="22"/>
        </w:rPr>
      </w:pPr>
      <w:r>
        <w:rPr>
          <w:rFonts w:hint="eastAsia" w:ascii="宋体" w:hAnsi="宋体"/>
          <w:szCs w:val="22"/>
        </w:rPr>
        <w:t>乙方：</w:t>
      </w:r>
    </w:p>
    <w:p>
      <w:pPr>
        <w:keepNext w:val="0"/>
        <w:keepLines w:val="0"/>
        <w:pageBreakBefore w:val="0"/>
        <w:widowControl w:val="0"/>
        <w:kinsoku/>
        <w:wordWrap/>
        <w:overflowPunct/>
        <w:topLinePunct w:val="0"/>
        <w:autoSpaceDE/>
        <w:autoSpaceDN/>
        <w:bidi w:val="0"/>
        <w:adjustRightInd/>
        <w:snapToGrid/>
        <w:spacing w:line="312" w:lineRule="auto"/>
        <w:ind w:firstLine="422" w:firstLineChars="200"/>
        <w:textAlignment w:val="auto"/>
        <w:rPr>
          <w:rFonts w:ascii="宋体" w:hAnsi="宋体"/>
          <w:b/>
          <w:bCs/>
          <w:szCs w:val="22"/>
        </w:rPr>
      </w:pPr>
      <w:r>
        <w:rPr>
          <w:rFonts w:hint="eastAsia" w:ascii="宋体" w:hAnsi="宋体"/>
          <w:b/>
          <w:bCs/>
          <w:szCs w:val="22"/>
        </w:rPr>
        <w:t>第一条 项目名称</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eastAsia="宋体"/>
          <w:szCs w:val="22"/>
          <w:lang w:val="en-US" w:eastAsia="zh-CN"/>
        </w:rPr>
      </w:pPr>
      <w:r>
        <w:rPr>
          <w:rFonts w:hint="eastAsia" w:ascii="宋体" w:hAnsi="宋体"/>
          <w:szCs w:val="22"/>
        </w:rPr>
        <w:t>深圳大鹏半岛国家地质自然公园绿地养护、登山道设施维护及林地保洁</w:t>
      </w:r>
      <w:r>
        <w:rPr>
          <w:rFonts w:hint="eastAsia" w:ascii="宋体" w:hAnsi="宋体"/>
          <w:szCs w:val="22"/>
          <w:lang w:val="en-US" w:eastAsia="zh-CN"/>
        </w:rPr>
        <w:t>项目</w:t>
      </w:r>
    </w:p>
    <w:p>
      <w:pPr>
        <w:keepNext w:val="0"/>
        <w:keepLines w:val="0"/>
        <w:pageBreakBefore w:val="0"/>
        <w:widowControl w:val="0"/>
        <w:kinsoku/>
        <w:wordWrap/>
        <w:overflowPunct/>
        <w:topLinePunct w:val="0"/>
        <w:autoSpaceDE/>
        <w:autoSpaceDN/>
        <w:bidi w:val="0"/>
        <w:adjustRightInd/>
        <w:snapToGrid/>
        <w:spacing w:line="312" w:lineRule="auto"/>
        <w:ind w:firstLine="422" w:firstLineChars="200"/>
        <w:textAlignment w:val="auto"/>
        <w:rPr>
          <w:rFonts w:ascii="宋体" w:hAnsi="宋体"/>
          <w:b/>
          <w:bCs/>
          <w:szCs w:val="22"/>
        </w:rPr>
      </w:pPr>
      <w:r>
        <w:rPr>
          <w:rFonts w:hint="eastAsia" w:ascii="宋体" w:hAnsi="宋体"/>
          <w:b/>
          <w:bCs/>
          <w:szCs w:val="22"/>
        </w:rPr>
        <w:t>第二条 项目范围</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宋体" w:hAnsi="宋体"/>
          <w:szCs w:val="22"/>
          <w:highlight w:val="none"/>
        </w:rPr>
      </w:pPr>
      <w:r>
        <w:rPr>
          <w:rFonts w:hint="eastAsia" w:ascii="宋体" w:hAnsi="宋体"/>
          <w:szCs w:val="22"/>
          <w:highlight w:val="none"/>
        </w:rPr>
        <w:t>详见附件</w:t>
      </w:r>
      <w:r>
        <w:rPr>
          <w:rFonts w:hint="eastAsia" w:ascii="宋体" w:hAnsi="宋体"/>
          <w:szCs w:val="22"/>
          <w:highlight w:val="none"/>
          <w:lang w:val="en-US" w:eastAsia="zh-CN"/>
        </w:rPr>
        <w:t>1</w:t>
      </w:r>
    </w:p>
    <w:p>
      <w:pPr>
        <w:keepNext w:val="0"/>
        <w:keepLines w:val="0"/>
        <w:pageBreakBefore w:val="0"/>
        <w:widowControl w:val="0"/>
        <w:kinsoku/>
        <w:wordWrap/>
        <w:overflowPunct/>
        <w:topLinePunct w:val="0"/>
        <w:autoSpaceDE/>
        <w:autoSpaceDN/>
        <w:bidi w:val="0"/>
        <w:adjustRightInd/>
        <w:snapToGrid/>
        <w:spacing w:line="312" w:lineRule="auto"/>
        <w:ind w:firstLine="422" w:firstLineChars="200"/>
        <w:textAlignment w:val="auto"/>
        <w:rPr>
          <w:rFonts w:ascii="宋体" w:hAnsi="宋体"/>
          <w:b/>
          <w:bCs/>
          <w:szCs w:val="22"/>
        </w:rPr>
      </w:pPr>
      <w:r>
        <w:rPr>
          <w:rFonts w:hint="eastAsia" w:ascii="宋体" w:hAnsi="宋体"/>
          <w:b/>
          <w:bCs/>
          <w:szCs w:val="22"/>
        </w:rPr>
        <w:t>第三条 项目期限</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宋体" w:hAnsi="宋体" w:eastAsia="宋体"/>
          <w:szCs w:val="22"/>
          <w:lang w:val="en-US" w:eastAsia="zh-CN"/>
        </w:rPr>
      </w:pPr>
      <w:bookmarkStart w:id="3" w:name="OLE_LINK9"/>
      <w:r>
        <w:rPr>
          <w:rFonts w:hint="eastAsia"/>
        </w:rPr>
        <w:t>本项目服务期限为合同签订之日起1年，服务期满后，根据</w:t>
      </w:r>
      <w:r>
        <w:rPr>
          <w:rFonts w:hint="eastAsia"/>
          <w:lang w:eastAsia="zh-CN"/>
        </w:rPr>
        <w:t>乙方</w:t>
      </w:r>
      <w:r>
        <w:rPr>
          <w:rFonts w:hint="eastAsia"/>
        </w:rPr>
        <w:t>履约及考核情况确定是否续签，续签不超过两次（一年一签），长期服务政府采购合同履行期限最长不得超过三十六个月，如</w:t>
      </w:r>
      <w:r>
        <w:rPr>
          <w:rFonts w:hint="eastAsia"/>
          <w:lang w:eastAsia="zh-CN"/>
        </w:rPr>
        <w:t>甲方</w:t>
      </w:r>
      <w:r>
        <w:rPr>
          <w:rFonts w:hint="eastAsia"/>
        </w:rPr>
        <w:t>对履约情况不满意，</w:t>
      </w:r>
      <w:r>
        <w:rPr>
          <w:rFonts w:hint="eastAsia"/>
          <w:lang w:eastAsia="zh-CN"/>
        </w:rPr>
        <w:t>甲方</w:t>
      </w:r>
      <w:r>
        <w:rPr>
          <w:rFonts w:hint="eastAsia"/>
        </w:rPr>
        <w:t>不再续约。</w:t>
      </w:r>
      <w:bookmarkEnd w:id="3"/>
      <w:r>
        <w:rPr>
          <w:rFonts w:hint="eastAsia"/>
          <w:lang w:val="en-US" w:eastAsia="zh-CN"/>
        </w:rPr>
        <w:t xml:space="preserve">  </w:t>
      </w:r>
    </w:p>
    <w:bookmarkEnd w:id="0"/>
    <w:bookmarkEnd w:id="1"/>
    <w:bookmarkEnd w:id="2"/>
    <w:p>
      <w:pPr>
        <w:keepNext w:val="0"/>
        <w:keepLines w:val="0"/>
        <w:pageBreakBefore w:val="0"/>
        <w:widowControl w:val="0"/>
        <w:kinsoku/>
        <w:wordWrap/>
        <w:overflowPunct/>
        <w:topLinePunct w:val="0"/>
        <w:autoSpaceDE/>
        <w:autoSpaceDN/>
        <w:bidi w:val="0"/>
        <w:adjustRightInd/>
        <w:snapToGrid/>
        <w:spacing w:line="312" w:lineRule="auto"/>
        <w:ind w:firstLine="422" w:firstLineChars="200"/>
        <w:textAlignment w:val="auto"/>
        <w:rPr>
          <w:rFonts w:ascii="宋体" w:hAnsi="宋体"/>
          <w:b/>
          <w:bCs/>
          <w:szCs w:val="22"/>
        </w:rPr>
      </w:pPr>
      <w:r>
        <w:rPr>
          <w:rFonts w:hint="eastAsia" w:ascii="宋体" w:hAnsi="宋体"/>
          <w:b/>
          <w:bCs/>
          <w:szCs w:val="22"/>
        </w:rPr>
        <w:t>第四条 项目合同金额及支付方式</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宋体" w:hAnsi="宋体"/>
        </w:rPr>
      </w:pPr>
      <w:r>
        <w:rPr>
          <w:rFonts w:hint="eastAsia" w:ascii="宋体" w:hAnsi="宋体"/>
        </w:rPr>
        <w:t>（一）项目合同金额：</w:t>
      </w:r>
      <w:r>
        <w:rPr>
          <w:rFonts w:hint="eastAsia" w:ascii="宋体" w:hAnsi="宋体"/>
          <w:lang w:val="en-US" w:eastAsia="zh-CN"/>
        </w:rPr>
        <w:t>1818820.00元</w:t>
      </w:r>
      <w:r>
        <w:rPr>
          <w:rFonts w:hint="eastAsia" w:ascii="宋体" w:hAnsi="宋体"/>
        </w:rPr>
        <w:t>（大写：人民币壹佰捌拾壹万捌仟捌佰贰拾元）。</w:t>
      </w:r>
      <w:r>
        <w:rPr>
          <w:rFonts w:ascii="宋体" w:hAnsi="宋体"/>
        </w:rPr>
        <w:t>合同价格为全包价且为本合同的支付上限价格。</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宋体" w:hAnsi="宋体"/>
          <w:szCs w:val="22"/>
        </w:rPr>
      </w:pPr>
      <w:r>
        <w:rPr>
          <w:rFonts w:hint="eastAsia" w:ascii="宋体" w:hAnsi="宋体"/>
        </w:rPr>
        <w:t>（二）履约担保：</w:t>
      </w:r>
      <w:r>
        <w:rPr>
          <w:rFonts w:hint="eastAsia" w:ascii="宋体" w:hAnsi="宋体" w:cs="宋体"/>
          <w:szCs w:val="21"/>
          <w:highlight w:val="none"/>
          <w:lang w:eastAsia="zh-CN"/>
        </w:rPr>
        <w:t>乙方</w:t>
      </w:r>
      <w:r>
        <w:rPr>
          <w:rFonts w:hint="eastAsia" w:ascii="宋体" w:hAnsi="宋体" w:cs="宋体"/>
          <w:szCs w:val="21"/>
          <w:highlight w:val="none"/>
        </w:rPr>
        <w:t>在取得中标通知书的十个工作日内须向</w:t>
      </w:r>
      <w:r>
        <w:rPr>
          <w:rFonts w:hint="eastAsia" w:ascii="宋体" w:hAnsi="宋体" w:cs="宋体"/>
          <w:szCs w:val="21"/>
          <w:highlight w:val="none"/>
          <w:lang w:eastAsia="zh-CN"/>
        </w:rPr>
        <w:t>甲方</w:t>
      </w:r>
      <w:r>
        <w:rPr>
          <w:rFonts w:hint="eastAsia" w:ascii="宋体" w:hAnsi="宋体" w:cs="宋体"/>
          <w:szCs w:val="21"/>
          <w:highlight w:val="none"/>
        </w:rPr>
        <w:t>提供合同金额5％的履约保证金，投标人自主选择以支票、汇票、本票、保函等非现金形式缴纳或提交。履约保证金在</w:t>
      </w:r>
      <w:r>
        <w:rPr>
          <w:rFonts w:hint="eastAsia" w:ascii="宋体" w:hAnsi="宋体" w:cs="宋体"/>
          <w:szCs w:val="21"/>
          <w:highlight w:val="none"/>
          <w:lang w:eastAsia="zh-CN"/>
        </w:rPr>
        <w:t>乙方</w:t>
      </w:r>
      <w:r>
        <w:rPr>
          <w:rFonts w:hint="eastAsia" w:ascii="宋体" w:hAnsi="宋体" w:cs="宋体"/>
          <w:szCs w:val="21"/>
          <w:highlight w:val="none"/>
        </w:rPr>
        <w:t>履行完成合同约定权利义务事项后，在合同期满之日起30日内按原方式退还，不计利息。因</w:t>
      </w:r>
      <w:r>
        <w:rPr>
          <w:rFonts w:hint="eastAsia" w:ascii="宋体" w:hAnsi="宋体" w:cs="宋体"/>
          <w:szCs w:val="21"/>
          <w:highlight w:val="none"/>
          <w:lang w:eastAsia="zh-CN"/>
        </w:rPr>
        <w:t>乙方</w:t>
      </w:r>
      <w:r>
        <w:rPr>
          <w:rFonts w:hint="eastAsia" w:ascii="宋体" w:hAnsi="宋体" w:cs="宋体"/>
          <w:szCs w:val="21"/>
          <w:highlight w:val="none"/>
        </w:rPr>
        <w:t>原因而未能达到本项目验收标准或验收不通过的，履约保证金不予退还。</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cs="宋体"/>
          <w:szCs w:val="21"/>
          <w:highlight w:val="none"/>
        </w:rPr>
      </w:pPr>
      <w:r>
        <w:rPr>
          <w:rFonts w:hint="eastAsia" w:ascii="宋体" w:hAnsi="宋体"/>
          <w:szCs w:val="22"/>
        </w:rPr>
        <w:t>（三）服务项目费用支付方式：</w:t>
      </w:r>
      <w:r>
        <w:rPr>
          <w:rFonts w:hint="eastAsia" w:ascii="宋体" w:hAnsi="宋体" w:cs="宋体"/>
          <w:szCs w:val="21"/>
          <w:highlight w:val="none"/>
        </w:rPr>
        <w:t>本项目服务经费按双月为单位进行付款，于单数月份（即1月、3月、5月、7月、9月、11月）的月初进行支付。</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cs="宋体"/>
          <w:szCs w:val="21"/>
          <w:highlight w:val="none"/>
        </w:rPr>
      </w:pPr>
      <w:r>
        <w:rPr>
          <w:rFonts w:hint="eastAsia" w:ascii="宋体" w:hAnsi="宋体" w:cs="宋体"/>
          <w:szCs w:val="21"/>
          <w:highlight w:val="none"/>
        </w:rPr>
        <w:t>如遇重大节假日和寒暑假，</w:t>
      </w:r>
      <w:r>
        <w:rPr>
          <w:rFonts w:hint="eastAsia" w:ascii="宋体" w:hAnsi="宋体" w:cs="宋体"/>
          <w:szCs w:val="21"/>
          <w:highlight w:val="none"/>
          <w:lang w:eastAsia="zh-CN"/>
        </w:rPr>
        <w:t>乙方</w:t>
      </w:r>
      <w:r>
        <w:rPr>
          <w:rFonts w:hint="eastAsia" w:ascii="宋体" w:hAnsi="宋体" w:cs="宋体"/>
          <w:szCs w:val="21"/>
          <w:highlight w:val="none"/>
        </w:rPr>
        <w:t>可根据项目实际情况提出提前支付下一次服务费的申请，经</w:t>
      </w:r>
      <w:r>
        <w:rPr>
          <w:rFonts w:hint="eastAsia" w:ascii="宋体" w:hAnsi="宋体" w:cs="宋体"/>
          <w:szCs w:val="21"/>
          <w:highlight w:val="none"/>
          <w:lang w:eastAsia="zh-CN"/>
        </w:rPr>
        <w:t>甲方</w:t>
      </w:r>
      <w:r>
        <w:rPr>
          <w:rFonts w:hint="eastAsia" w:ascii="宋体" w:hAnsi="宋体" w:cs="宋体"/>
          <w:szCs w:val="21"/>
          <w:highlight w:val="none"/>
        </w:rPr>
        <w:t>同意后，可提前支付。</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szCs w:val="22"/>
          <w:highlight w:val="none"/>
        </w:rPr>
      </w:pPr>
      <w:r>
        <w:rPr>
          <w:rFonts w:hint="eastAsia" w:ascii="宋体" w:hAnsi="宋体" w:cs="宋体"/>
          <w:szCs w:val="21"/>
          <w:highlight w:val="none"/>
        </w:rPr>
        <w:t>1月至10月期间产生的扣款在支付下一次服务费时予以扣除，11月至12月产生的扣款在履约保证金中扣除。</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rPr>
      </w:pPr>
      <w:r>
        <w:rPr>
          <w:rFonts w:hint="eastAsia" w:ascii="宋体" w:hAnsi="宋体"/>
        </w:rPr>
        <w:t>乙方须在每</w:t>
      </w:r>
      <w:r>
        <w:rPr>
          <w:rFonts w:hint="eastAsia" w:ascii="宋体" w:hAnsi="宋体"/>
          <w:lang w:val="en-US" w:eastAsia="zh-CN"/>
        </w:rPr>
        <w:t>单数月份月初的前</w:t>
      </w:r>
      <w:r>
        <w:rPr>
          <w:rFonts w:hint="eastAsia" w:ascii="宋体" w:hAnsi="宋体"/>
        </w:rPr>
        <w:t>5个工作日内提交支付申请和等额发票等支付相关资料。</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rPr>
      </w:pPr>
      <w:r>
        <w:rPr>
          <w:rFonts w:hint="eastAsia" w:ascii="宋体" w:hAnsi="宋体"/>
        </w:rPr>
        <w:t>（四）除双方重新达成协议外，本合同履行过程中的款项支付均通过本合同中指定的银行账户进行。</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宋体" w:hAnsi="宋体"/>
          <w:szCs w:val="22"/>
        </w:rPr>
      </w:pPr>
      <w:r>
        <w:rPr>
          <w:rFonts w:ascii="宋体" w:hAnsi="宋体"/>
          <w:szCs w:val="22"/>
        </w:rPr>
        <w:t xml:space="preserve">      开户银行：</w:t>
      </w:r>
      <w:r>
        <w:rPr>
          <w:rFonts w:hint="eastAsia" w:ascii="宋体" w:hAnsi="宋体"/>
          <w:szCs w:val="22"/>
          <w:lang w:eastAsia="zh-CN"/>
        </w:rPr>
        <w:t>中国建设银行股份有限公司深圳园岭支行</w:t>
      </w:r>
      <w:r>
        <w:rPr>
          <w:rFonts w:hint="eastAsia" w:ascii="宋体" w:hAnsi="宋体"/>
          <w:szCs w:val="22"/>
        </w:rPr>
        <w:t xml:space="preserve"> </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eastAsia="宋体"/>
          <w:szCs w:val="22"/>
          <w:lang w:eastAsia="zh-CN"/>
        </w:rPr>
      </w:pPr>
      <w:r>
        <w:rPr>
          <w:rFonts w:ascii="宋体" w:hAnsi="宋体"/>
          <w:szCs w:val="22"/>
        </w:rPr>
        <w:t xml:space="preserve">      账户名称：</w:t>
      </w:r>
      <w:r>
        <w:rPr>
          <w:rFonts w:hint="eastAsia" w:ascii="宋体" w:hAnsi="宋体"/>
          <w:szCs w:val="22"/>
        </w:rPr>
        <w:t xml:space="preserve"> </w:t>
      </w:r>
      <w:r>
        <w:rPr>
          <w:rFonts w:hint="eastAsia" w:ascii="宋体" w:hAnsi="宋体"/>
          <w:szCs w:val="22"/>
          <w:lang w:eastAsia="zh-CN"/>
        </w:rPr>
        <w:t>深圳滨海之都建设有限公司</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宋体" w:hAnsi="宋体" w:eastAsia="宋体"/>
          <w:szCs w:val="22"/>
          <w:lang w:val="en-US" w:eastAsia="zh-CN"/>
        </w:rPr>
      </w:pPr>
      <w:r>
        <w:rPr>
          <w:rFonts w:ascii="宋体" w:hAnsi="宋体"/>
          <w:szCs w:val="22"/>
        </w:rPr>
        <w:t xml:space="preserve">      开户账号：</w:t>
      </w:r>
      <w:r>
        <w:rPr>
          <w:rFonts w:hint="eastAsia" w:ascii="宋体" w:hAnsi="宋体"/>
          <w:szCs w:val="22"/>
        </w:rPr>
        <w:t xml:space="preserve"> </w:t>
      </w:r>
      <w:r>
        <w:rPr>
          <w:rFonts w:hint="eastAsia" w:ascii="宋体" w:hAnsi="宋体"/>
          <w:szCs w:val="22"/>
          <w:lang w:val="en-US" w:eastAsia="zh-CN"/>
        </w:rPr>
        <w:t>44250100013600002408</w:t>
      </w:r>
    </w:p>
    <w:p>
      <w:pPr>
        <w:keepNext w:val="0"/>
        <w:keepLines w:val="0"/>
        <w:pageBreakBefore w:val="0"/>
        <w:widowControl w:val="0"/>
        <w:kinsoku/>
        <w:wordWrap/>
        <w:overflowPunct/>
        <w:topLinePunct w:val="0"/>
        <w:autoSpaceDE/>
        <w:autoSpaceDN/>
        <w:bidi w:val="0"/>
        <w:adjustRightInd/>
        <w:snapToGrid/>
        <w:spacing w:line="312" w:lineRule="auto"/>
        <w:ind w:firstLine="422" w:firstLineChars="200"/>
        <w:textAlignment w:val="auto"/>
        <w:rPr>
          <w:rFonts w:ascii="宋体" w:hAnsi="宋体"/>
          <w:b/>
          <w:bCs/>
          <w:szCs w:val="22"/>
        </w:rPr>
      </w:pPr>
      <w:r>
        <w:rPr>
          <w:rFonts w:hint="eastAsia" w:ascii="宋体" w:hAnsi="宋体"/>
          <w:b/>
          <w:bCs/>
          <w:szCs w:val="22"/>
        </w:rPr>
        <w:t>第五条 项目要求</w:t>
      </w:r>
    </w:p>
    <w:p>
      <w:pPr>
        <w:keepNext w:val="0"/>
        <w:keepLines w:val="0"/>
        <w:pageBreakBefore w:val="0"/>
        <w:widowControl w:val="0"/>
        <w:kinsoku/>
        <w:wordWrap/>
        <w:overflowPunct/>
        <w:topLinePunct w:val="0"/>
        <w:autoSpaceDE/>
        <w:autoSpaceDN/>
        <w:bidi w:val="0"/>
        <w:adjustRightInd/>
        <w:snapToGrid/>
        <w:spacing w:line="312" w:lineRule="auto"/>
        <w:ind w:firstLine="422" w:firstLineChars="200"/>
        <w:textAlignment w:val="auto"/>
        <w:rPr>
          <w:rFonts w:ascii="宋体" w:hAnsi="宋体"/>
          <w:b/>
          <w:bCs/>
          <w:szCs w:val="22"/>
        </w:rPr>
      </w:pPr>
      <w:r>
        <w:rPr>
          <w:rFonts w:hint="eastAsia" w:ascii="宋体" w:hAnsi="宋体"/>
          <w:b/>
          <w:bCs/>
          <w:szCs w:val="22"/>
        </w:rPr>
        <w:t>（一）项目背景</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宋体" w:hAnsi="宋体"/>
          <w:szCs w:val="22"/>
        </w:rPr>
      </w:pPr>
      <w:r>
        <w:rPr>
          <w:rFonts w:hint="eastAsia" w:ascii="宋体" w:hAnsi="宋体"/>
          <w:szCs w:val="22"/>
        </w:rPr>
        <w:t>本项目位于深圳大鹏半岛国家地质自然公园园区内</w:t>
      </w:r>
      <w:r>
        <w:rPr>
          <w:rFonts w:ascii="宋体" w:hAnsi="宋体"/>
          <w:szCs w:val="22"/>
        </w:rPr>
        <w:t>,主要是对园区内公共绿地、园内道路、铺装场地等区域进行绿化养护与环境卫生保洁工作。乙方须自行解决与管养保洁相关的一切事宜（包括管养保洁车辆在该区域内通行、管养保洁材料存放、用水用电、管养保洁人员基地及其</w:t>
      </w:r>
      <w:r>
        <w:rPr>
          <w:rFonts w:hint="eastAsia" w:ascii="宋体" w:hAnsi="宋体"/>
          <w:szCs w:val="22"/>
        </w:rPr>
        <w:t>它</w:t>
      </w:r>
      <w:r>
        <w:rPr>
          <w:rFonts w:ascii="宋体" w:hAnsi="宋体"/>
          <w:szCs w:val="22"/>
        </w:rPr>
        <w:t>管养保洁问题），按照国家及地方相关规定做好安全文明施工措施，不得在管养保洁区域内堆放材料及作驻扎生活基地，严格按照安全规范相关规定采取预防事故的措施，确保</w:t>
      </w:r>
      <w:r>
        <w:rPr>
          <w:rFonts w:hint="eastAsia" w:ascii="宋体" w:hAnsi="宋体"/>
          <w:szCs w:val="22"/>
        </w:rPr>
        <w:t>作业</w:t>
      </w:r>
      <w:r>
        <w:rPr>
          <w:rFonts w:ascii="宋体" w:hAnsi="宋体"/>
          <w:szCs w:val="22"/>
        </w:rPr>
        <w:t>安全及周边安全。</w:t>
      </w:r>
    </w:p>
    <w:p>
      <w:pPr>
        <w:keepNext w:val="0"/>
        <w:keepLines w:val="0"/>
        <w:pageBreakBefore w:val="0"/>
        <w:widowControl w:val="0"/>
        <w:kinsoku/>
        <w:wordWrap/>
        <w:overflowPunct/>
        <w:topLinePunct w:val="0"/>
        <w:autoSpaceDE/>
        <w:autoSpaceDN/>
        <w:bidi w:val="0"/>
        <w:adjustRightInd/>
        <w:snapToGrid/>
        <w:spacing w:line="312" w:lineRule="auto"/>
        <w:ind w:firstLine="422" w:firstLineChars="200"/>
        <w:textAlignment w:val="auto"/>
        <w:rPr>
          <w:rFonts w:ascii="宋体" w:hAnsi="宋体"/>
          <w:b/>
          <w:bCs/>
          <w:szCs w:val="22"/>
        </w:rPr>
      </w:pPr>
      <w:r>
        <w:rPr>
          <w:rFonts w:hint="eastAsia" w:ascii="宋体" w:hAnsi="宋体"/>
          <w:b/>
          <w:bCs/>
          <w:szCs w:val="22"/>
        </w:rPr>
        <w:t>（二）</w:t>
      </w:r>
      <w:r>
        <w:rPr>
          <w:rFonts w:ascii="宋体" w:hAnsi="宋体"/>
          <w:b/>
          <w:bCs/>
          <w:szCs w:val="22"/>
        </w:rPr>
        <w:t>服务范围</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宋体" w:hAnsi="宋体"/>
          <w:strike/>
          <w:szCs w:val="22"/>
        </w:rPr>
      </w:pPr>
      <w:r>
        <w:rPr>
          <w:rFonts w:hint="eastAsia" w:ascii="宋体" w:hAnsi="宋体"/>
        </w:rPr>
        <w:t>本项目包括了地质自然公园园内道路绿地及公共绿地的各级养护及保洁（具体见附件</w:t>
      </w:r>
      <w:r>
        <w:rPr>
          <w:rFonts w:hint="eastAsia" w:ascii="宋体" w:hAnsi="宋体"/>
          <w:lang w:val="en-US" w:eastAsia="zh-CN"/>
        </w:rPr>
        <w:t>1</w:t>
      </w:r>
      <w:r>
        <w:rPr>
          <w:rFonts w:hint="eastAsia" w:ascii="宋体" w:hAnsi="宋体"/>
        </w:rPr>
        <w:t>）。重点区域为博物馆园区的绿地养护及保洁、两条登山科考线设施维护及保洁。包括：植物养护（含草坪、灌木、乔木、草本花卉、水生植物、盆栽植物等）；园内各类设施的保洁及维护（含垃圾桶等卫生设施、护栏、护树设施、座椅等；金属井盖每年刷漆一次）；博</w:t>
      </w:r>
      <w:r>
        <w:rPr>
          <w:rFonts w:hint="eastAsia" w:ascii="宋体" w:hAnsi="宋体"/>
          <w:highlight w:val="none"/>
        </w:rPr>
        <w:t>物馆建筑以外的铺装地面、</w:t>
      </w:r>
      <w:r>
        <w:rPr>
          <w:rFonts w:hint="eastAsia" w:ascii="宋体" w:hAnsi="宋体"/>
          <w:highlight w:val="none"/>
          <w:lang w:val="en-US" w:eastAsia="zh-CN"/>
        </w:rPr>
        <w:t>设施清洗保洁</w:t>
      </w:r>
      <w:r>
        <w:rPr>
          <w:rFonts w:hint="eastAsia" w:ascii="宋体" w:hAnsi="宋体"/>
          <w:highlight w:val="none"/>
        </w:rPr>
        <w:t>（含</w:t>
      </w:r>
      <w:r>
        <w:rPr>
          <w:rFonts w:hint="eastAsia" w:ascii="宋体" w:hAnsi="宋体"/>
          <w:highlight w:val="none"/>
          <w:lang w:val="en-US" w:eastAsia="zh-CN"/>
        </w:rPr>
        <w:t>坐凳、标识标牌</w:t>
      </w:r>
      <w:r>
        <w:rPr>
          <w:rFonts w:hint="eastAsia" w:ascii="宋体" w:hAnsi="宋体"/>
          <w:highlight w:val="none"/>
        </w:rPr>
        <w:t>等）；园路及铺装的保洁</w:t>
      </w:r>
      <w:r>
        <w:rPr>
          <w:rFonts w:hint="eastAsia" w:ascii="宋体" w:hAnsi="宋体"/>
          <w:highlight w:val="none"/>
          <w:lang w:val="en-US" w:eastAsia="zh-CN"/>
        </w:rPr>
        <w:t>及维护</w:t>
      </w:r>
      <w:r>
        <w:rPr>
          <w:rFonts w:hint="eastAsia" w:ascii="宋体" w:hAnsi="宋体"/>
          <w:highlight w:val="none"/>
        </w:rPr>
        <w:t>（各</w:t>
      </w:r>
      <w:r>
        <w:rPr>
          <w:rFonts w:hint="eastAsia" w:ascii="宋体" w:hAnsi="宋体"/>
        </w:rPr>
        <w:t>级园路、广场、</w:t>
      </w:r>
      <w:r>
        <w:rPr>
          <w:rFonts w:hint="eastAsia" w:ascii="宋体" w:hAnsi="宋体"/>
          <w:lang w:eastAsia="zh-CN"/>
        </w:rPr>
        <w:t>室外</w:t>
      </w:r>
      <w:r>
        <w:rPr>
          <w:rFonts w:hint="eastAsia" w:ascii="宋体" w:hAnsi="宋体"/>
        </w:rPr>
        <w:t>停车场等）；水体及灌溉系统（含喷灌系统、排水沟及水池、溪流等）的养护和维护管理</w:t>
      </w:r>
      <w:r>
        <w:rPr>
          <w:rFonts w:hint="eastAsia" w:ascii="宋体" w:hAnsi="宋体"/>
          <w:lang w:val="en-US" w:eastAsia="zh-CN"/>
        </w:rPr>
        <w:t>等</w:t>
      </w:r>
      <w:r>
        <w:rPr>
          <w:rFonts w:hint="eastAsia" w:ascii="宋体" w:hAnsi="宋体"/>
        </w:rPr>
        <w:t>。</w:t>
      </w:r>
    </w:p>
    <w:p>
      <w:pPr>
        <w:pStyle w:val="19"/>
        <w:keepNext w:val="0"/>
        <w:keepLines w:val="0"/>
        <w:pageBreakBefore w:val="0"/>
        <w:widowControl w:val="0"/>
        <w:kinsoku/>
        <w:wordWrap/>
        <w:overflowPunct/>
        <w:topLinePunct w:val="0"/>
        <w:autoSpaceDE/>
        <w:autoSpaceDN/>
        <w:bidi w:val="0"/>
        <w:adjustRightInd/>
        <w:snapToGrid/>
        <w:spacing w:line="312" w:lineRule="auto"/>
        <w:ind w:firstLine="422"/>
        <w:textAlignment w:val="auto"/>
        <w:rPr>
          <w:rFonts w:ascii="宋体" w:hAnsi="宋体"/>
          <w:b/>
          <w:bCs/>
        </w:rPr>
      </w:pPr>
      <w:r>
        <w:rPr>
          <w:rFonts w:hint="eastAsia" w:ascii="宋体" w:hAnsi="宋体"/>
          <w:b/>
          <w:bCs/>
        </w:rPr>
        <w:t>（三）</w:t>
      </w:r>
      <w:r>
        <w:rPr>
          <w:rFonts w:ascii="宋体" w:hAnsi="宋体"/>
          <w:b/>
          <w:bCs/>
        </w:rPr>
        <w:t>项目技术要求</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ascii="宋体" w:hAnsi="宋体"/>
        </w:rPr>
      </w:pPr>
      <w:r>
        <w:rPr>
          <w:rFonts w:hint="eastAsia" w:ascii="宋体" w:hAnsi="宋体"/>
        </w:rPr>
        <w:t>1、服务标准</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ascii="宋体" w:hAnsi="宋体"/>
        </w:rPr>
      </w:pPr>
      <w:r>
        <w:rPr>
          <w:rFonts w:hint="eastAsia" w:ascii="宋体" w:hAnsi="宋体" w:eastAsia="宋体" w:cs="宋体"/>
          <w:b w:val="0"/>
          <w:bCs w:val="0"/>
          <w:sz w:val="21"/>
          <w:szCs w:val="21"/>
          <w:highlight w:val="none"/>
        </w:rPr>
        <w:t>执行标准规范及办法：《园林绿化管养规范》（DB4403T 87-2020）、《生态景观林抚育规程》（DB4403T 132-2020）、《深圳市公园环境卫生管理规定》（试行）、《深圳市公园绿地管养规定》（试行）、《深圳市绿地养护工作指引（试行）》、《公园园容绿化管理规范》（SZDB/Z 205-2016）、《公园设施维护技术规范》（SZDB/Z 194-2016）、《深圳市综合公园养护标准》、《深圳市薇甘菊防治考核标准》、《深圳市“四害”防治基础设施工作方案》等。所述标准在承包期间如有变动，按照新的标准执行。</w:t>
      </w:r>
    </w:p>
    <w:p>
      <w:pPr>
        <w:pStyle w:val="19"/>
        <w:keepNext w:val="0"/>
        <w:keepLines w:val="0"/>
        <w:pageBreakBefore w:val="0"/>
        <w:widowControl w:val="0"/>
        <w:numPr>
          <w:ilvl w:val="0"/>
          <w:numId w:val="1"/>
        </w:numPr>
        <w:kinsoku/>
        <w:wordWrap/>
        <w:overflowPunct/>
        <w:topLinePunct w:val="0"/>
        <w:autoSpaceDE/>
        <w:autoSpaceDN/>
        <w:bidi w:val="0"/>
        <w:adjustRightInd/>
        <w:snapToGrid/>
        <w:spacing w:line="312" w:lineRule="auto"/>
        <w:textAlignment w:val="auto"/>
        <w:rPr>
          <w:rFonts w:ascii="宋体" w:hAnsi="宋体"/>
        </w:rPr>
      </w:pPr>
      <w:r>
        <w:rPr>
          <w:rFonts w:hint="eastAsia" w:ascii="宋体" w:hAnsi="宋体"/>
        </w:rPr>
        <w:t>项目重点</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ascii="宋体" w:hAnsi="宋体"/>
        </w:rPr>
      </w:pPr>
      <w:r>
        <w:rPr>
          <w:rFonts w:ascii="宋体" w:hAnsi="宋体"/>
        </w:rPr>
        <w:t>（1）博物馆园区</w:t>
      </w:r>
      <w:r>
        <w:rPr>
          <w:rFonts w:hint="eastAsia" w:ascii="宋体" w:hAnsi="宋体"/>
          <w:lang w:eastAsia="zh-CN"/>
        </w:rPr>
        <w:t>、主峰登山线</w:t>
      </w:r>
      <w:r>
        <w:rPr>
          <w:rFonts w:hint="eastAsia" w:ascii="宋体" w:hAnsi="宋体"/>
          <w:lang w:val="en-US" w:eastAsia="zh-CN"/>
        </w:rPr>
        <w:t>广场</w:t>
      </w:r>
      <w:r>
        <w:rPr>
          <w:rFonts w:ascii="宋体" w:hAnsi="宋体"/>
        </w:rPr>
        <w:t>绿地养护及保洁；</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ascii="宋体" w:hAnsi="宋体"/>
        </w:rPr>
      </w:pPr>
      <w:r>
        <w:rPr>
          <w:rFonts w:ascii="宋体" w:hAnsi="宋体"/>
        </w:rPr>
        <w:t>（2）主峰科考线设施维护及保洁；</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ascii="宋体" w:hAnsi="宋体"/>
        </w:rPr>
      </w:pPr>
      <w:r>
        <w:rPr>
          <w:rFonts w:ascii="宋体" w:hAnsi="宋体"/>
        </w:rPr>
        <w:t>（3）鹿雁科考线设施维护及保洁</w:t>
      </w:r>
      <w:r>
        <w:rPr>
          <w:rFonts w:hint="eastAsia" w:ascii="宋体" w:hAnsi="宋体"/>
        </w:rPr>
        <w:t>。</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ascii="宋体" w:hAnsi="宋体"/>
        </w:rPr>
      </w:pPr>
      <w:r>
        <w:rPr>
          <w:rFonts w:hint="eastAsia" w:ascii="宋体" w:hAnsi="宋体"/>
        </w:rPr>
        <w:t>3、养护作业方案</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ascii="宋体" w:hAnsi="宋体"/>
        </w:rPr>
      </w:pPr>
      <w:r>
        <w:rPr>
          <w:rFonts w:hint="eastAsia" w:ascii="宋体" w:hAnsi="宋体"/>
        </w:rPr>
        <w:t>（1）乙方在入场后1</w:t>
      </w:r>
      <w:r>
        <w:rPr>
          <w:rFonts w:ascii="宋体" w:hAnsi="宋体"/>
        </w:rPr>
        <w:t>0</w:t>
      </w:r>
      <w:r>
        <w:rPr>
          <w:rFonts w:hint="eastAsia" w:ascii="宋体" w:hAnsi="宋体"/>
        </w:rPr>
        <w:t>个工作日内，根据地质自然公园实际情况提交年度</w:t>
      </w:r>
      <w:r>
        <w:rPr>
          <w:rFonts w:hint="eastAsia" w:ascii="宋体" w:hAnsi="宋体"/>
          <w:lang w:val="en-US" w:eastAsia="zh-CN"/>
        </w:rPr>
        <w:t>项目作业</w:t>
      </w:r>
      <w:r>
        <w:rPr>
          <w:rFonts w:hint="eastAsia" w:ascii="宋体" w:hAnsi="宋体"/>
        </w:rPr>
        <w:t>方案，报甲方审批后实施。</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ascii="宋体" w:hAnsi="宋体"/>
        </w:rPr>
      </w:pPr>
      <w:r>
        <w:rPr>
          <w:rFonts w:hint="eastAsia" w:ascii="宋体" w:hAnsi="宋体"/>
        </w:rPr>
        <w:t>（2）每月底前5个工作日提交下个月</w:t>
      </w:r>
      <w:r>
        <w:rPr>
          <w:rFonts w:hint="eastAsia" w:ascii="宋体" w:hAnsi="宋体"/>
          <w:lang w:val="en-US" w:eastAsia="zh-CN"/>
        </w:rPr>
        <w:t>项目作业</w:t>
      </w:r>
      <w:r>
        <w:rPr>
          <w:rFonts w:hint="eastAsia" w:ascii="宋体" w:hAnsi="宋体"/>
        </w:rPr>
        <w:t>方案，报甲方审批后实施。</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ascii="宋体" w:hAnsi="宋体"/>
        </w:rPr>
      </w:pPr>
      <w:r>
        <w:rPr>
          <w:rFonts w:hint="eastAsia" w:ascii="宋体" w:hAnsi="宋体"/>
        </w:rPr>
        <w:t>4、</w:t>
      </w:r>
      <w:r>
        <w:rPr>
          <w:rFonts w:ascii="宋体" w:hAnsi="宋体"/>
        </w:rPr>
        <w:t>绿地管养要求</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eastAsia" w:ascii="宋体" w:hAnsi="宋体"/>
        </w:rPr>
      </w:pPr>
      <w:r>
        <w:rPr>
          <w:rFonts w:hint="eastAsia" w:ascii="宋体" w:hAnsi="宋体"/>
        </w:rPr>
        <w:t>（1）灌溉工作：根据植物生长需要及气候情况安排浇水。根据不同植物物种和不同环境条件进行适期适量的灌溉，应保持土壤中的有效水分在服务标准要求范围内。</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eastAsia" w:ascii="宋体" w:hAnsi="宋体"/>
        </w:rPr>
      </w:pPr>
      <w:r>
        <w:rPr>
          <w:rFonts w:hint="eastAsia" w:ascii="宋体" w:hAnsi="宋体"/>
        </w:rPr>
        <w:t>（2）施肥：根据植物生长需要及气候情况安排施肥。肥料须由正规厂家生产，符合国家省市相关文件要求，根据实际需求和</w:t>
      </w:r>
      <w:r>
        <w:rPr>
          <w:rFonts w:hint="eastAsia" w:ascii="宋体" w:hAnsi="宋体"/>
          <w:lang w:eastAsia="zh-CN"/>
        </w:rPr>
        <w:t>甲方</w:t>
      </w:r>
      <w:r>
        <w:rPr>
          <w:rFonts w:hint="eastAsia" w:ascii="宋体" w:hAnsi="宋体"/>
        </w:rPr>
        <w:t>要求进行采购、验收。一般情况下，春夏季、秋冬季各施肥一次。其中，乔木应采用穴施或环施法，以有机肥为主，复合肥为辅。</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eastAsia" w:ascii="宋体" w:hAnsi="宋体"/>
        </w:rPr>
      </w:pPr>
      <w:r>
        <w:rPr>
          <w:rFonts w:hint="eastAsia" w:ascii="宋体" w:hAnsi="宋体"/>
        </w:rPr>
        <w:t>（3）整形修剪工作：根据植物的生长发育特点、景观和安全要求等，对植物进行有计划的整形修剪工作，对高大乔木每年至少一次修剪。对园内树木的枯枝进行及时清理，并做好树木的支撑加固工作。</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eastAsia" w:ascii="宋体" w:hAnsi="宋体"/>
        </w:rPr>
      </w:pPr>
      <w:r>
        <w:rPr>
          <w:rFonts w:hint="eastAsia" w:ascii="宋体" w:hAnsi="宋体"/>
        </w:rPr>
        <w:t>（4）花坛花境的设计及养护工作：根据地方性标准对园区主碑广场花坛、主峰登山广场花境、博物馆景区内的若干花箱、花境等重点景观区域进行设计、种植和养护。</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eastAsia" w:ascii="宋体" w:hAnsi="宋体"/>
        </w:rPr>
      </w:pPr>
      <w:r>
        <w:rPr>
          <w:rFonts w:hint="eastAsia" w:ascii="宋体" w:hAnsi="宋体"/>
        </w:rPr>
        <w:t>（5）中耕除草工作及草坪复壮工作。一级绿地草坪覆盖率达到98%以上，草坪平整无坑洼、积水，冬春季保持常绿。乔木、灌木下的大型野草、藤蔓必须铲除，特别是对树木危害严重的薇甘菊等各类藤蔓。中耕除草应选在适宜天气，保持土壤疏松，不影响其它乔灌木生长。</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eastAsia" w:ascii="宋体" w:hAnsi="宋体"/>
        </w:rPr>
      </w:pPr>
      <w:r>
        <w:rPr>
          <w:rFonts w:hint="eastAsia" w:ascii="宋体" w:hAnsi="宋体"/>
        </w:rPr>
        <w:t>（6）补植、苗木更新与死苗清理：及时补齐缺株苗木、修补黄土裸露，死亡苗木须及时迁移并在5个工作日内换种相同（或相似）规格且品种相同的苗木，对老化植物进行更新改造，补植和更换的苗木规格应与原苗木规格接近，并对草本、球茎、宿根花卉（例如美人蕉、蚌花、风雨花等）每年翻种1次。对博物馆园区、地质公园路、主碑广场、凤凰广场等区域内花箱、花坛、花境内的绿化植物需按</w:t>
      </w:r>
      <w:r>
        <w:rPr>
          <w:rFonts w:hint="eastAsia" w:ascii="宋体" w:hAnsi="宋体"/>
          <w:lang w:eastAsia="zh-CN"/>
        </w:rPr>
        <w:t>甲方</w:t>
      </w:r>
      <w:r>
        <w:rPr>
          <w:rFonts w:hint="eastAsia" w:ascii="宋体" w:hAnsi="宋体"/>
        </w:rPr>
        <w:t>的要求进行补植和更新，更新的频率及具体品种及规格由</w:t>
      </w:r>
      <w:r>
        <w:rPr>
          <w:rFonts w:hint="eastAsia" w:ascii="宋体" w:hAnsi="宋体"/>
          <w:lang w:eastAsia="zh-CN"/>
        </w:rPr>
        <w:t>甲方</w:t>
      </w:r>
      <w:r>
        <w:rPr>
          <w:rFonts w:hint="eastAsia" w:ascii="宋体" w:hAnsi="宋体"/>
        </w:rPr>
        <w:t>确定。补植要按照种植规范进行，保证成活率达95%以上。</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eastAsia" w:ascii="宋体" w:hAnsi="宋体"/>
        </w:rPr>
      </w:pPr>
      <w:r>
        <w:rPr>
          <w:rFonts w:hint="eastAsia" w:ascii="宋体" w:hAnsi="宋体"/>
        </w:rPr>
        <w:t>（7）植物病虫害防治：应根据季节、环境、植物种类等做好病虫害巡查及防治工作，日常管养中发现病虫害须及时进行处理，同时做好档案记录和游客提醒。所有防治病虫害的药剂均必须符合国家及地方的相关规定，且严禁违规施用对人畜有毒害的药剂。</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eastAsia" w:ascii="宋体" w:hAnsi="宋体"/>
        </w:rPr>
      </w:pPr>
      <w:r>
        <w:rPr>
          <w:rFonts w:hint="eastAsia" w:ascii="宋体" w:hAnsi="宋体"/>
        </w:rPr>
        <w:t>（8）安全生产及灾后恢复工作：包括及时巡查、发现和及时消除各类安全隐患，精心看护绿地及各类绿地设施，做好防风、防火、防汛、防寒、防旱等工作，对灾害引起的损坏应及时清理修复。</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（9）绿地保护工作：保护现有绿地不被侵占，及时制止破坏绿化及影响绿化景观的现象，并上报公园管理处和采取有效措施（包括由</w:t>
      </w:r>
      <w:r>
        <w:rPr>
          <w:rFonts w:hint="eastAsia" w:ascii="宋体" w:hAnsi="宋体"/>
          <w:lang w:eastAsia="zh-CN"/>
        </w:rPr>
        <w:t>乙方</w:t>
      </w:r>
      <w:r>
        <w:rPr>
          <w:rFonts w:hint="eastAsia" w:ascii="宋体" w:hAnsi="宋体"/>
        </w:rPr>
        <w:t>自行出资安装防护设施等）。</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ascii="宋体" w:hAnsi="宋体"/>
        </w:rPr>
      </w:pPr>
      <w:r>
        <w:rPr>
          <w:rFonts w:hint="eastAsia" w:ascii="宋体" w:hAnsi="宋体"/>
        </w:rPr>
        <w:t>5、</w:t>
      </w:r>
      <w:r>
        <w:rPr>
          <w:rFonts w:ascii="宋体" w:hAnsi="宋体"/>
        </w:rPr>
        <w:t>环境卫生保洁</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lang w:eastAsia="zh-CN"/>
        </w:rPr>
      </w:pPr>
      <w:r>
        <w:rPr>
          <w:rFonts w:hint="eastAsia" w:ascii="宋体" w:hAnsi="宋体" w:eastAsia="宋体"/>
          <w:lang w:eastAsia="zh-CN"/>
        </w:rPr>
        <w:t>（1）博物馆园区及周边绿地环境清扫保洁，在规定的时间内保持绿地清洁无垃圾杂物，绿地上的枯残枝叶、垃圾等要及时清扫。广场、园路一天打扫两次，早上下午各一次；其他时间连续保洁，随见随扫；应做到无生活垃圾，且无积尘、无积水。</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lang w:eastAsia="zh-CN"/>
        </w:rPr>
      </w:pPr>
      <w:r>
        <w:rPr>
          <w:rFonts w:hint="eastAsia" w:ascii="宋体" w:hAnsi="宋体" w:eastAsia="宋体"/>
          <w:lang w:eastAsia="zh-CN"/>
        </w:rPr>
        <w:t>（2）园内设施（廊亭、坐凳、扶手、围栏、标识牌、垃圾桶等）每天擦拭两次，应做到洁净干爽、无灰尘、无污渍、无乱张贴、无乱涂画、无蛛网。垃圾箱内的垃圾应日产日清，无积压、溢满，周围地面不得有垃圾抛落、堆放。</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lang w:eastAsia="zh-CN"/>
        </w:rPr>
      </w:pPr>
      <w:r>
        <w:rPr>
          <w:rFonts w:hint="eastAsia" w:ascii="宋体" w:hAnsi="宋体" w:eastAsia="宋体"/>
          <w:lang w:eastAsia="zh-CN"/>
        </w:rPr>
        <w:t>（3）广场、园路每半年至少冲洗1次，有明显污迹应立即冲洗。</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lang w:eastAsia="zh-CN"/>
        </w:rPr>
      </w:pPr>
      <w:r>
        <w:rPr>
          <w:rFonts w:hint="eastAsia" w:ascii="宋体" w:hAnsi="宋体" w:eastAsia="宋体"/>
          <w:lang w:eastAsia="zh-CN"/>
        </w:rPr>
        <w:t>（4）景观水池要定期清洗，水池内垃圾及其它漂浮物要及时清理。</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lang w:eastAsia="zh-CN"/>
        </w:rPr>
      </w:pPr>
      <w:r>
        <w:rPr>
          <w:rFonts w:hint="eastAsia" w:ascii="宋体" w:hAnsi="宋体" w:eastAsia="宋体"/>
          <w:lang w:eastAsia="zh-CN"/>
        </w:rPr>
        <w:t>（5）园内排水网管出入口保持畅通,日常及台风暴雨汛期前应提前清理沙井沟下的垃圾、泥沙、落叶。</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lang w:eastAsia="zh-CN"/>
        </w:rPr>
      </w:pPr>
      <w:r>
        <w:rPr>
          <w:rFonts w:hint="eastAsia" w:ascii="宋体" w:hAnsi="宋体" w:eastAsia="宋体"/>
          <w:lang w:eastAsia="zh-CN"/>
        </w:rPr>
        <w:t>（6）科考路线保洁：主峰科考线和鹿雁科考线每周清理不少于5次，每次不少于4人，即每条科考线不少于2人，在每年9月至次年3月的登山高峰期的节假日和周末，应在原有保洁人数和频次的基础上，增加不少于2人加强保洁工作。</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lang w:eastAsia="zh-CN"/>
        </w:rPr>
      </w:pPr>
      <w:r>
        <w:rPr>
          <w:rFonts w:hint="eastAsia" w:ascii="宋体" w:hAnsi="宋体" w:eastAsia="宋体"/>
          <w:lang w:eastAsia="zh-CN"/>
        </w:rPr>
        <w:t>（7）林地保洁：每月清理林地范围内的生活垃圾等，重大节假日根据实际情况增加保洁频率。</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lang w:eastAsia="zh-CN"/>
        </w:rPr>
      </w:pPr>
      <w:r>
        <w:rPr>
          <w:rFonts w:hint="eastAsia" w:ascii="宋体" w:hAnsi="宋体" w:eastAsia="宋体"/>
          <w:lang w:eastAsia="zh-CN"/>
        </w:rPr>
        <w:t>（8）垃圾清运工作：管养范围内的所有垃圾的清运工作需当天清运，包括由于台风、暴雨等不可抗力因素所增加的垃圾清运任务。垃圾必须袋装化，清运时间为早9:00前或晚18:00后，保证日产日清。</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lang w:eastAsia="zh-CN"/>
        </w:rPr>
      </w:pPr>
      <w:r>
        <w:rPr>
          <w:rFonts w:hint="eastAsia" w:ascii="宋体" w:hAnsi="宋体" w:eastAsia="宋体"/>
          <w:lang w:eastAsia="zh-CN"/>
        </w:rPr>
        <w:t>（9）公园环境卫生保洁工作接受社会各界监督，任何组织和个人对管理处环境维护保洁工作提出的不足、意见和建议等，乙方应无条件配合甲方落实。</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lang w:eastAsia="zh-CN"/>
        </w:rPr>
      </w:pPr>
      <w:r>
        <w:rPr>
          <w:rFonts w:hint="eastAsia" w:ascii="宋体" w:hAnsi="宋体" w:eastAsia="宋体"/>
          <w:lang w:eastAsia="zh-CN"/>
        </w:rPr>
        <w:t>（10）逢重大节假日，需及时有效增加员工进行清扫保洁。</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lang w:eastAsia="zh-CN"/>
        </w:rPr>
      </w:pPr>
      <w:r>
        <w:rPr>
          <w:rFonts w:hint="eastAsia" w:ascii="宋体" w:hAnsi="宋体" w:eastAsia="宋体"/>
          <w:lang w:eastAsia="zh-CN"/>
        </w:rPr>
        <w:t>（11）根据工作需要和地质公园保洁工作难度的实际情况，在每年的10月至次年3月登山高峰期须使用无人机对科考线路保洁和林地保洁清理的垃圾进行运输。</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ascii="宋体" w:hAnsi="宋体"/>
        </w:rPr>
      </w:pPr>
      <w:r>
        <w:rPr>
          <w:rFonts w:hint="eastAsia" w:ascii="宋体" w:hAnsi="宋体"/>
        </w:rPr>
        <w:t>6、园区</w:t>
      </w:r>
      <w:r>
        <w:rPr>
          <w:rFonts w:ascii="宋体" w:hAnsi="宋体"/>
        </w:rPr>
        <w:t>设施</w:t>
      </w:r>
      <w:r>
        <w:rPr>
          <w:rFonts w:hint="eastAsia" w:ascii="宋体" w:hAnsi="宋体"/>
        </w:rPr>
        <w:t>及路面</w:t>
      </w:r>
      <w:r>
        <w:rPr>
          <w:rFonts w:ascii="宋体" w:hAnsi="宋体"/>
        </w:rPr>
        <w:t>维护</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rPr>
      </w:pPr>
      <w:r>
        <w:rPr>
          <w:rFonts w:hint="eastAsia" w:ascii="宋体" w:hAnsi="宋体"/>
        </w:rPr>
        <w:t>（1）日常巡查公园内各项设施如花箱、园凳、垃圾桶、栏杆、铺装等，发现问题应在48小时内进行维修，并设置提示标识。</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rPr>
      </w:pPr>
      <w:r>
        <w:rPr>
          <w:rFonts w:hint="eastAsia" w:ascii="宋体" w:hAnsi="宋体"/>
        </w:rPr>
        <w:t>（2）园区内的设施如花箱、园凳、栏杆等木质或金属构件，每年10-11月进行打磨、除锈、刷漆。禾雀台及溪流栈道木构件每年3-4月、10-11月各进行一次打磨、刷漆。</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rPr>
      </w:pPr>
      <w:r>
        <w:rPr>
          <w:rFonts w:hint="eastAsia" w:ascii="宋体" w:hAnsi="宋体"/>
        </w:rPr>
        <w:t>（3）设施存在安全隐患时，应先对现场进围合，并设置警示标志。</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ascii="宋体" w:hAnsi="宋体"/>
        </w:rPr>
      </w:pPr>
      <w:r>
        <w:rPr>
          <w:rFonts w:hint="eastAsia" w:ascii="宋体" w:hAnsi="宋体"/>
        </w:rPr>
        <w:t>（4）园道及硬质铺装的广场如下沉及松动，应局部围闭，设置警示标识并在48小时内进行修复。</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ascii="宋体" w:hAnsi="宋体"/>
        </w:rPr>
      </w:pPr>
      <w:r>
        <w:rPr>
          <w:rFonts w:hint="eastAsia" w:ascii="宋体" w:hAnsi="宋体"/>
        </w:rPr>
        <w:t>7、</w:t>
      </w:r>
      <w:r>
        <w:rPr>
          <w:rFonts w:ascii="宋体" w:hAnsi="宋体"/>
        </w:rPr>
        <w:t>登山道路面维护、绿地管养及设施维护</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rPr>
      </w:pPr>
      <w:r>
        <w:rPr>
          <w:rFonts w:hint="eastAsia" w:ascii="宋体" w:hAnsi="宋体"/>
        </w:rPr>
        <w:t>（1）科考线绿地养护：根据实际需要和</w:t>
      </w:r>
      <w:r>
        <w:rPr>
          <w:rFonts w:hint="eastAsia" w:ascii="宋体" w:hAnsi="宋体"/>
          <w:lang w:eastAsia="zh-CN"/>
        </w:rPr>
        <w:t>甲方</w:t>
      </w:r>
      <w:r>
        <w:rPr>
          <w:rFonts w:hint="eastAsia" w:ascii="宋体" w:hAnsi="宋体"/>
        </w:rPr>
        <w:t>要求，定期开展登山道两侧各5米范围内绿地的养护，包含清除杂草、修剪、登山道排水沟的清理。</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rPr>
      </w:pPr>
      <w:r>
        <w:rPr>
          <w:rFonts w:hint="eastAsia" w:ascii="宋体" w:hAnsi="宋体"/>
        </w:rPr>
        <w:t>（2）科考线路面松动、缺损、沉陷的修复；台阶缺失、松动，木平台破损、变形等情况应在一周内完成修复，金属构件每年9-10月统一安排一次除锈及油漆。</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rPr>
      </w:pPr>
      <w:r>
        <w:rPr>
          <w:rFonts w:hint="eastAsia" w:ascii="宋体" w:hAnsi="宋体"/>
        </w:rPr>
        <w:t>（3）科考线亭子等构筑物保洁及维护：按照科考路线的保洁频率清除亭外周围杂草和杂物；构筑物的破损应在一周内完成修复；每年9-10月对沿线亭子木结构及金属构件统一进行刷漆和除锈。</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ascii="宋体" w:hAnsi="宋体"/>
        </w:rPr>
      </w:pPr>
      <w:r>
        <w:rPr>
          <w:rFonts w:hint="eastAsia" w:ascii="宋体" w:hAnsi="宋体"/>
        </w:rPr>
        <w:t>（4）科考线栏杆的清洁和维护：按照科考路线的保洁频率进行清洁；如破损，应在一周内原样修复或更换栏杆或柱子；每年9-10月对铁链统一进行一次除锈和刷漆。</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ascii="宋体" w:hAnsi="宋体"/>
        </w:rPr>
      </w:pPr>
      <w:r>
        <w:rPr>
          <w:rFonts w:hint="eastAsia" w:ascii="宋体" w:hAnsi="宋体"/>
        </w:rPr>
        <w:t>8、</w:t>
      </w:r>
      <w:r>
        <w:rPr>
          <w:rFonts w:ascii="宋体" w:hAnsi="宋体"/>
        </w:rPr>
        <w:t>除“四害”和白蚁防治要求</w:t>
      </w:r>
    </w:p>
    <w:p>
      <w:pPr>
        <w:pStyle w:val="19"/>
        <w:keepNext w:val="0"/>
        <w:keepLines w:val="0"/>
        <w:pageBreakBefore w:val="0"/>
        <w:widowControl w:val="0"/>
        <w:kinsoku/>
        <w:wordWrap/>
        <w:overflowPunct/>
        <w:topLinePunct w:val="0"/>
        <w:autoSpaceDE/>
        <w:autoSpaceDN/>
        <w:bidi w:val="0"/>
        <w:adjustRightInd/>
        <w:snapToGrid/>
        <w:spacing w:line="312" w:lineRule="auto"/>
        <w:ind w:firstLine="426" w:firstLineChars="0"/>
        <w:textAlignment w:val="auto"/>
        <w:rPr>
          <w:rFonts w:hint="eastAsia" w:ascii="宋体" w:hAnsi="宋体"/>
          <w:bCs/>
        </w:rPr>
      </w:pPr>
      <w:r>
        <w:rPr>
          <w:rFonts w:hint="eastAsia" w:ascii="宋体" w:hAnsi="宋体"/>
          <w:bCs/>
        </w:rPr>
        <w:t>（1）除“四害”和白蚁防治范围主要为室外开放绿地区域，包括博物馆园区内绿地（含花坛）、主峰登山线广场绿地（含主峰广场、凤凰广场、登山口绿地、广场至登山口道路两侧绿地等）</w:t>
      </w:r>
    </w:p>
    <w:p>
      <w:pPr>
        <w:pStyle w:val="19"/>
        <w:keepNext w:val="0"/>
        <w:keepLines w:val="0"/>
        <w:pageBreakBefore w:val="0"/>
        <w:widowControl w:val="0"/>
        <w:kinsoku/>
        <w:wordWrap/>
        <w:overflowPunct/>
        <w:topLinePunct w:val="0"/>
        <w:autoSpaceDE/>
        <w:autoSpaceDN/>
        <w:bidi w:val="0"/>
        <w:adjustRightInd/>
        <w:snapToGrid/>
        <w:spacing w:line="312" w:lineRule="auto"/>
        <w:ind w:firstLine="426" w:firstLineChars="0"/>
        <w:textAlignment w:val="auto"/>
        <w:rPr>
          <w:rFonts w:hint="eastAsia" w:ascii="宋体" w:hAnsi="宋体"/>
          <w:bCs/>
        </w:rPr>
      </w:pPr>
      <w:r>
        <w:rPr>
          <w:rFonts w:hint="eastAsia" w:ascii="宋体" w:hAnsi="宋体"/>
          <w:bCs/>
        </w:rPr>
        <w:t>（2）灭鼠等工作每半月统一进行一次，灭蚊、蝇、蟑螂等工作每周至少进行1次。将“四害”密度控制在全国爱卫会规定的标准之内。</w:t>
      </w:r>
    </w:p>
    <w:p>
      <w:pPr>
        <w:pStyle w:val="19"/>
        <w:keepNext w:val="0"/>
        <w:keepLines w:val="0"/>
        <w:pageBreakBefore w:val="0"/>
        <w:widowControl w:val="0"/>
        <w:kinsoku/>
        <w:wordWrap/>
        <w:overflowPunct/>
        <w:topLinePunct w:val="0"/>
        <w:autoSpaceDE/>
        <w:autoSpaceDN/>
        <w:bidi w:val="0"/>
        <w:adjustRightInd/>
        <w:snapToGrid/>
        <w:spacing w:line="312" w:lineRule="auto"/>
        <w:ind w:firstLine="426" w:firstLineChars="0"/>
        <w:textAlignment w:val="auto"/>
        <w:rPr>
          <w:rFonts w:hint="eastAsia" w:ascii="宋体" w:hAnsi="宋体"/>
          <w:bCs/>
        </w:rPr>
      </w:pPr>
      <w:r>
        <w:rPr>
          <w:rFonts w:hint="eastAsia" w:ascii="宋体" w:hAnsi="宋体"/>
          <w:bCs/>
        </w:rPr>
        <w:t>（3）防白蚁每周进行1次，及时对存在白蚁危害或可能出现白蚁危害的区域进行专业的防白蚁工作，将白蚁危害减至最小。</w:t>
      </w:r>
    </w:p>
    <w:p>
      <w:pPr>
        <w:pStyle w:val="19"/>
        <w:keepNext w:val="0"/>
        <w:keepLines w:val="0"/>
        <w:pageBreakBefore w:val="0"/>
        <w:widowControl w:val="0"/>
        <w:kinsoku/>
        <w:wordWrap/>
        <w:overflowPunct/>
        <w:topLinePunct w:val="0"/>
        <w:autoSpaceDE/>
        <w:autoSpaceDN/>
        <w:bidi w:val="0"/>
        <w:adjustRightInd/>
        <w:snapToGrid/>
        <w:spacing w:line="312" w:lineRule="auto"/>
        <w:ind w:firstLine="426" w:firstLineChars="0"/>
        <w:textAlignment w:val="auto"/>
        <w:rPr>
          <w:rFonts w:hint="eastAsia" w:ascii="宋体" w:hAnsi="宋体"/>
          <w:bCs/>
        </w:rPr>
      </w:pPr>
      <w:r>
        <w:rPr>
          <w:rFonts w:hint="eastAsia" w:ascii="宋体" w:hAnsi="宋体"/>
          <w:bCs/>
        </w:rPr>
        <w:t>（4）</w:t>
      </w:r>
      <w:r>
        <w:rPr>
          <w:rFonts w:hint="eastAsia" w:ascii="宋体" w:hAnsi="宋体"/>
          <w:bCs/>
          <w:lang w:eastAsia="zh-CN"/>
        </w:rPr>
        <w:t>乙方</w:t>
      </w:r>
      <w:r>
        <w:rPr>
          <w:rFonts w:hint="eastAsia" w:ascii="宋体" w:hAnsi="宋体"/>
          <w:bCs/>
        </w:rPr>
        <w:t>所选用的杀虫剂、灭鼠剂等杀虫药剂必须按照国家有关部门、市爱卫办要求规定，有农药登记证的高效低毒药品，有该药剂详细说明，包括名称、化学成分、生产厂家、灭害种类、剂型、使用方法、毒性和注意事项等，并保证杀虫、灭鼠剂的说明中各项均与实际使用相符合。</w:t>
      </w:r>
    </w:p>
    <w:p>
      <w:pPr>
        <w:pStyle w:val="19"/>
        <w:keepNext w:val="0"/>
        <w:keepLines w:val="0"/>
        <w:pageBreakBefore w:val="0"/>
        <w:widowControl w:val="0"/>
        <w:kinsoku/>
        <w:wordWrap/>
        <w:overflowPunct/>
        <w:topLinePunct w:val="0"/>
        <w:autoSpaceDE/>
        <w:autoSpaceDN/>
        <w:bidi w:val="0"/>
        <w:adjustRightInd/>
        <w:snapToGrid/>
        <w:spacing w:line="312" w:lineRule="auto"/>
        <w:ind w:firstLine="426" w:firstLineChars="0"/>
        <w:textAlignment w:val="auto"/>
        <w:rPr>
          <w:rFonts w:hint="eastAsia" w:ascii="宋体" w:hAnsi="宋体"/>
          <w:bCs/>
        </w:rPr>
      </w:pPr>
      <w:r>
        <w:rPr>
          <w:rFonts w:hint="eastAsia" w:ascii="宋体" w:hAnsi="宋体"/>
          <w:bCs/>
        </w:rPr>
        <w:t>（5）</w:t>
      </w:r>
      <w:r>
        <w:rPr>
          <w:rFonts w:hint="eastAsia" w:ascii="宋体" w:hAnsi="宋体"/>
          <w:bCs/>
          <w:lang w:eastAsia="zh-CN"/>
        </w:rPr>
        <w:t>乙方</w:t>
      </w:r>
      <w:r>
        <w:rPr>
          <w:rFonts w:hint="eastAsia" w:ascii="宋体" w:hAnsi="宋体"/>
          <w:bCs/>
        </w:rPr>
        <w:t>服务所使用的药物需将有效的相关登记证书提供给</w:t>
      </w:r>
      <w:r>
        <w:rPr>
          <w:rFonts w:hint="eastAsia" w:ascii="宋体" w:hAnsi="宋体"/>
          <w:bCs/>
          <w:lang w:eastAsia="zh-CN"/>
        </w:rPr>
        <w:t>甲方</w:t>
      </w:r>
      <w:r>
        <w:rPr>
          <w:rFonts w:hint="eastAsia" w:ascii="宋体" w:hAnsi="宋体"/>
          <w:bCs/>
        </w:rPr>
        <w:t>留档。</w:t>
      </w:r>
    </w:p>
    <w:p>
      <w:pPr>
        <w:pStyle w:val="19"/>
        <w:keepNext w:val="0"/>
        <w:keepLines w:val="0"/>
        <w:pageBreakBefore w:val="0"/>
        <w:widowControl w:val="0"/>
        <w:kinsoku/>
        <w:wordWrap/>
        <w:overflowPunct/>
        <w:topLinePunct w:val="0"/>
        <w:autoSpaceDE/>
        <w:autoSpaceDN/>
        <w:bidi w:val="0"/>
        <w:adjustRightInd/>
        <w:snapToGrid/>
        <w:spacing w:line="312" w:lineRule="auto"/>
        <w:ind w:firstLine="426" w:firstLineChars="0"/>
        <w:textAlignment w:val="auto"/>
        <w:rPr>
          <w:rFonts w:hint="eastAsia" w:ascii="宋体" w:hAnsi="宋体"/>
          <w:bCs/>
        </w:rPr>
      </w:pPr>
      <w:r>
        <w:rPr>
          <w:rFonts w:hint="eastAsia" w:ascii="宋体" w:hAnsi="宋体"/>
          <w:bCs/>
        </w:rPr>
        <w:t>（6）</w:t>
      </w:r>
      <w:r>
        <w:rPr>
          <w:rFonts w:hint="eastAsia" w:ascii="宋体" w:hAnsi="宋体"/>
          <w:bCs/>
          <w:lang w:eastAsia="zh-CN"/>
        </w:rPr>
        <w:t>乙方</w:t>
      </w:r>
      <w:r>
        <w:rPr>
          <w:rFonts w:hint="eastAsia" w:ascii="宋体" w:hAnsi="宋体"/>
          <w:bCs/>
        </w:rPr>
        <w:t>自行负责本项目所需消杀设备、工具、材料及消杀技术，按合同规定的消杀服务范围和工作要求，高质量完成各项工作，并严守有关安全作业规定。</w:t>
      </w:r>
    </w:p>
    <w:p>
      <w:pPr>
        <w:pStyle w:val="19"/>
        <w:keepNext w:val="0"/>
        <w:keepLines w:val="0"/>
        <w:pageBreakBefore w:val="0"/>
        <w:widowControl w:val="0"/>
        <w:kinsoku/>
        <w:wordWrap/>
        <w:overflowPunct/>
        <w:topLinePunct w:val="0"/>
        <w:autoSpaceDE/>
        <w:autoSpaceDN/>
        <w:bidi w:val="0"/>
        <w:adjustRightInd/>
        <w:snapToGrid/>
        <w:spacing w:line="312" w:lineRule="auto"/>
        <w:ind w:firstLine="426" w:firstLineChars="0"/>
        <w:textAlignment w:val="auto"/>
        <w:rPr>
          <w:rFonts w:hint="eastAsia" w:ascii="宋体" w:hAnsi="宋体"/>
          <w:bCs/>
        </w:rPr>
      </w:pPr>
      <w:r>
        <w:rPr>
          <w:rFonts w:hint="eastAsia" w:ascii="宋体" w:hAnsi="宋体"/>
          <w:bCs/>
        </w:rPr>
        <w:t>（7）</w:t>
      </w:r>
      <w:r>
        <w:rPr>
          <w:rFonts w:hint="eastAsia" w:ascii="宋体" w:hAnsi="宋体"/>
          <w:bCs/>
          <w:lang w:eastAsia="zh-CN"/>
        </w:rPr>
        <w:t>乙方</w:t>
      </w:r>
      <w:r>
        <w:rPr>
          <w:rFonts w:hint="eastAsia" w:ascii="宋体" w:hAnsi="宋体"/>
          <w:bCs/>
        </w:rPr>
        <w:t>工作人员必须持证上岗，派出的工作人员在工作时间必须统一身着</w:t>
      </w:r>
      <w:r>
        <w:rPr>
          <w:rFonts w:hint="eastAsia" w:ascii="宋体" w:hAnsi="宋体"/>
          <w:bCs/>
          <w:lang w:eastAsia="zh-CN"/>
        </w:rPr>
        <w:t>乙方</w:t>
      </w:r>
      <w:r>
        <w:rPr>
          <w:rFonts w:hint="eastAsia" w:ascii="宋体" w:hAnsi="宋体"/>
          <w:bCs/>
        </w:rPr>
        <w:t>作业工作服，着装整齐有序，并在工作时间内不得随意离开其工作岗位。</w:t>
      </w:r>
    </w:p>
    <w:p>
      <w:pPr>
        <w:pStyle w:val="19"/>
        <w:keepNext w:val="0"/>
        <w:keepLines w:val="0"/>
        <w:pageBreakBefore w:val="0"/>
        <w:widowControl w:val="0"/>
        <w:kinsoku/>
        <w:wordWrap/>
        <w:overflowPunct/>
        <w:topLinePunct w:val="0"/>
        <w:autoSpaceDE/>
        <w:autoSpaceDN/>
        <w:bidi w:val="0"/>
        <w:adjustRightInd/>
        <w:snapToGrid/>
        <w:spacing w:line="312" w:lineRule="auto"/>
        <w:ind w:firstLine="426" w:firstLineChars="0"/>
        <w:textAlignment w:val="auto"/>
        <w:rPr>
          <w:rFonts w:hint="eastAsia" w:ascii="宋体" w:hAnsi="宋体"/>
          <w:bCs/>
        </w:rPr>
      </w:pPr>
      <w:r>
        <w:rPr>
          <w:rFonts w:hint="eastAsia" w:ascii="宋体" w:hAnsi="宋体"/>
          <w:bCs/>
        </w:rPr>
        <w:t>（8）为了克服虫害对杀虫剂、灭鼠剂产生抗药性，</w:t>
      </w:r>
      <w:r>
        <w:rPr>
          <w:rFonts w:hint="eastAsia" w:ascii="宋体" w:hAnsi="宋体"/>
          <w:bCs/>
          <w:lang w:eastAsia="zh-CN"/>
        </w:rPr>
        <w:t>乙方</w:t>
      </w:r>
      <w:r>
        <w:rPr>
          <w:rFonts w:hint="eastAsia" w:ascii="宋体" w:hAnsi="宋体"/>
          <w:bCs/>
        </w:rPr>
        <w:t>应根据虫害生态习性定期更换杀虫剂、灭鼠剂品种，确保杀虫效果。</w:t>
      </w:r>
    </w:p>
    <w:p>
      <w:pPr>
        <w:pStyle w:val="19"/>
        <w:keepNext w:val="0"/>
        <w:keepLines w:val="0"/>
        <w:pageBreakBefore w:val="0"/>
        <w:widowControl w:val="0"/>
        <w:kinsoku/>
        <w:wordWrap/>
        <w:overflowPunct/>
        <w:topLinePunct w:val="0"/>
        <w:autoSpaceDE/>
        <w:autoSpaceDN/>
        <w:bidi w:val="0"/>
        <w:adjustRightInd/>
        <w:snapToGrid/>
        <w:spacing w:line="312" w:lineRule="auto"/>
        <w:ind w:firstLine="426" w:firstLineChars="0"/>
        <w:textAlignment w:val="auto"/>
        <w:rPr>
          <w:rFonts w:hint="eastAsia" w:ascii="宋体" w:hAnsi="宋体"/>
          <w:bCs/>
        </w:rPr>
      </w:pPr>
      <w:r>
        <w:rPr>
          <w:rFonts w:hint="eastAsia" w:ascii="宋体" w:hAnsi="宋体"/>
          <w:bCs/>
        </w:rPr>
        <w:t>（9）园区内如发现白蚁侵害，</w:t>
      </w:r>
      <w:r>
        <w:rPr>
          <w:rFonts w:hint="eastAsia" w:ascii="宋体" w:hAnsi="宋体"/>
          <w:bCs/>
          <w:lang w:eastAsia="zh-CN"/>
        </w:rPr>
        <w:t>乙方</w:t>
      </w:r>
      <w:r>
        <w:rPr>
          <w:rFonts w:hint="eastAsia" w:ascii="宋体" w:hAnsi="宋体"/>
          <w:bCs/>
        </w:rPr>
        <w:t>在接到</w:t>
      </w:r>
      <w:r>
        <w:rPr>
          <w:rFonts w:hint="eastAsia" w:ascii="宋体" w:hAnsi="宋体"/>
          <w:bCs/>
          <w:lang w:eastAsia="zh-CN"/>
        </w:rPr>
        <w:t>甲方</w:t>
      </w:r>
      <w:r>
        <w:rPr>
          <w:rFonts w:hint="eastAsia" w:ascii="宋体" w:hAnsi="宋体"/>
          <w:bCs/>
        </w:rPr>
        <w:t>通知12小时内安排专业人员赶到现场进行防治。</w:t>
      </w:r>
    </w:p>
    <w:p>
      <w:pPr>
        <w:pStyle w:val="19"/>
        <w:keepNext w:val="0"/>
        <w:keepLines w:val="0"/>
        <w:pageBreakBefore w:val="0"/>
        <w:widowControl w:val="0"/>
        <w:kinsoku/>
        <w:wordWrap/>
        <w:overflowPunct/>
        <w:topLinePunct w:val="0"/>
        <w:autoSpaceDE/>
        <w:autoSpaceDN/>
        <w:bidi w:val="0"/>
        <w:adjustRightInd/>
        <w:snapToGrid/>
        <w:spacing w:line="312" w:lineRule="auto"/>
        <w:ind w:firstLine="426" w:firstLineChars="0"/>
        <w:textAlignment w:val="auto"/>
        <w:rPr>
          <w:rFonts w:hint="eastAsia" w:ascii="宋体" w:hAnsi="宋体"/>
          <w:bCs/>
        </w:rPr>
      </w:pPr>
      <w:r>
        <w:rPr>
          <w:rFonts w:hint="eastAsia" w:ascii="宋体" w:hAnsi="宋体"/>
          <w:bCs/>
        </w:rPr>
        <w:t>（10）制定完善的除“四害”及白蚁防治工作方案，上岗服务人员严格遵守技术操作规程，遵守</w:t>
      </w:r>
      <w:r>
        <w:rPr>
          <w:rFonts w:hint="eastAsia" w:ascii="宋体" w:hAnsi="宋体"/>
          <w:bCs/>
          <w:lang w:eastAsia="zh-CN"/>
        </w:rPr>
        <w:t>甲方</w:t>
      </w:r>
      <w:r>
        <w:rPr>
          <w:rFonts w:hint="eastAsia" w:ascii="宋体" w:hAnsi="宋体"/>
          <w:bCs/>
        </w:rPr>
        <w:t>规章制度，认真负责，文明作业。</w:t>
      </w:r>
    </w:p>
    <w:p>
      <w:pPr>
        <w:pStyle w:val="19"/>
        <w:keepNext w:val="0"/>
        <w:keepLines w:val="0"/>
        <w:pageBreakBefore w:val="0"/>
        <w:widowControl w:val="0"/>
        <w:kinsoku/>
        <w:wordWrap/>
        <w:overflowPunct/>
        <w:topLinePunct w:val="0"/>
        <w:autoSpaceDE/>
        <w:autoSpaceDN/>
        <w:bidi w:val="0"/>
        <w:adjustRightInd/>
        <w:snapToGrid/>
        <w:spacing w:line="312" w:lineRule="auto"/>
        <w:ind w:firstLine="426" w:firstLineChars="0"/>
        <w:textAlignment w:val="auto"/>
        <w:rPr>
          <w:rFonts w:hint="eastAsia" w:ascii="宋体" w:hAnsi="宋体"/>
          <w:bCs/>
        </w:rPr>
      </w:pPr>
      <w:r>
        <w:rPr>
          <w:rFonts w:hint="eastAsia" w:ascii="宋体" w:hAnsi="宋体"/>
          <w:bCs/>
        </w:rPr>
        <w:t>（11）根据虫害防治情况及防治效果，针对</w:t>
      </w:r>
      <w:r>
        <w:rPr>
          <w:rFonts w:hint="eastAsia" w:ascii="宋体" w:hAnsi="宋体"/>
          <w:bCs/>
          <w:lang w:eastAsia="zh-CN"/>
        </w:rPr>
        <w:t>甲方</w:t>
      </w:r>
      <w:r>
        <w:rPr>
          <w:rFonts w:hint="eastAsia" w:ascii="宋体" w:hAnsi="宋体"/>
          <w:bCs/>
        </w:rPr>
        <w:t>虫害防治要求，每月呈交一份《虫害处理报告》给予</w:t>
      </w:r>
      <w:r>
        <w:rPr>
          <w:rFonts w:hint="eastAsia" w:ascii="宋体" w:hAnsi="宋体"/>
          <w:bCs/>
          <w:lang w:eastAsia="zh-CN"/>
        </w:rPr>
        <w:t>甲方</w:t>
      </w:r>
      <w:r>
        <w:rPr>
          <w:rFonts w:hint="eastAsia" w:ascii="宋体" w:hAnsi="宋体"/>
          <w:bCs/>
        </w:rPr>
        <w:t>。</w:t>
      </w:r>
    </w:p>
    <w:p>
      <w:pPr>
        <w:pStyle w:val="19"/>
        <w:keepNext w:val="0"/>
        <w:keepLines w:val="0"/>
        <w:pageBreakBefore w:val="0"/>
        <w:widowControl w:val="0"/>
        <w:kinsoku/>
        <w:wordWrap/>
        <w:overflowPunct/>
        <w:topLinePunct w:val="0"/>
        <w:autoSpaceDE/>
        <w:autoSpaceDN/>
        <w:bidi w:val="0"/>
        <w:adjustRightInd/>
        <w:snapToGrid/>
        <w:spacing w:line="312" w:lineRule="auto"/>
        <w:ind w:firstLine="426" w:firstLineChars="0"/>
        <w:textAlignment w:val="auto"/>
        <w:rPr>
          <w:rFonts w:hint="eastAsia" w:ascii="宋体" w:hAnsi="宋体"/>
          <w:bCs/>
        </w:rPr>
      </w:pPr>
      <w:r>
        <w:rPr>
          <w:rFonts w:hint="eastAsia" w:ascii="宋体" w:hAnsi="宋体"/>
          <w:bCs/>
        </w:rPr>
        <w:t>（12）严格执行省政府和市政府关于除“四害”的管理规定，接受市、区、街道办、爱卫办监督检查和考核。</w:t>
      </w:r>
    </w:p>
    <w:p>
      <w:pPr>
        <w:pStyle w:val="19"/>
        <w:keepNext w:val="0"/>
        <w:keepLines w:val="0"/>
        <w:pageBreakBefore w:val="0"/>
        <w:widowControl w:val="0"/>
        <w:kinsoku/>
        <w:wordWrap/>
        <w:overflowPunct/>
        <w:topLinePunct w:val="0"/>
        <w:autoSpaceDE/>
        <w:autoSpaceDN/>
        <w:bidi w:val="0"/>
        <w:adjustRightInd/>
        <w:snapToGrid/>
        <w:spacing w:line="312" w:lineRule="auto"/>
        <w:ind w:firstLine="426" w:firstLineChars="0"/>
        <w:textAlignment w:val="auto"/>
        <w:rPr>
          <w:rFonts w:hint="eastAsia" w:ascii="宋体" w:hAnsi="宋体"/>
          <w:bCs/>
        </w:rPr>
      </w:pPr>
      <w:r>
        <w:rPr>
          <w:rFonts w:hint="eastAsia" w:ascii="宋体" w:hAnsi="宋体"/>
          <w:bCs/>
        </w:rPr>
        <w:t>（13）</w:t>
      </w:r>
      <w:r>
        <w:rPr>
          <w:rFonts w:hint="eastAsia" w:ascii="宋体" w:hAnsi="宋体"/>
          <w:bCs/>
          <w:lang w:eastAsia="zh-CN"/>
        </w:rPr>
        <w:t>乙方</w:t>
      </w:r>
      <w:r>
        <w:rPr>
          <w:rFonts w:hint="eastAsia" w:ascii="宋体" w:hAnsi="宋体"/>
          <w:bCs/>
        </w:rPr>
        <w:t>指定专人负责技术工作，定期抽查四害工作的质量及效果，对急需跟进的项目及时提岀改进及防治方法，并对</w:t>
      </w:r>
      <w:r>
        <w:rPr>
          <w:rFonts w:hint="eastAsia" w:ascii="宋体" w:hAnsi="宋体"/>
          <w:bCs/>
          <w:lang w:eastAsia="zh-CN"/>
        </w:rPr>
        <w:t>甲方</w:t>
      </w:r>
      <w:r>
        <w:rPr>
          <w:rFonts w:hint="eastAsia" w:ascii="宋体" w:hAnsi="宋体"/>
          <w:bCs/>
        </w:rPr>
        <w:t>提岀有关虫害防治的问题给予解答。</w:t>
      </w:r>
    </w:p>
    <w:p>
      <w:pPr>
        <w:pStyle w:val="19"/>
        <w:keepNext w:val="0"/>
        <w:keepLines w:val="0"/>
        <w:pageBreakBefore w:val="0"/>
        <w:widowControl w:val="0"/>
        <w:kinsoku/>
        <w:wordWrap/>
        <w:overflowPunct/>
        <w:topLinePunct w:val="0"/>
        <w:autoSpaceDE/>
        <w:autoSpaceDN/>
        <w:bidi w:val="0"/>
        <w:adjustRightInd/>
        <w:snapToGrid/>
        <w:spacing w:line="312" w:lineRule="auto"/>
        <w:ind w:firstLine="426" w:firstLineChars="0"/>
        <w:textAlignment w:val="auto"/>
        <w:rPr>
          <w:rFonts w:ascii="宋体" w:hAnsi="宋体"/>
          <w:bCs/>
        </w:rPr>
      </w:pPr>
      <w:r>
        <w:rPr>
          <w:rFonts w:hint="eastAsia" w:ascii="宋体" w:hAnsi="宋体"/>
          <w:bCs/>
        </w:rPr>
        <w:t>（14）发生虫害服务安全事故责任由</w:t>
      </w:r>
      <w:r>
        <w:rPr>
          <w:rFonts w:hint="eastAsia" w:ascii="宋体" w:hAnsi="宋体"/>
          <w:bCs/>
          <w:lang w:eastAsia="zh-CN"/>
        </w:rPr>
        <w:t>乙方</w:t>
      </w:r>
      <w:r>
        <w:rPr>
          <w:rFonts w:hint="eastAsia" w:ascii="宋体" w:hAnsi="宋体"/>
          <w:bCs/>
        </w:rPr>
        <w:t>全部承担，造成</w:t>
      </w:r>
      <w:r>
        <w:rPr>
          <w:rFonts w:hint="eastAsia" w:ascii="宋体" w:hAnsi="宋体"/>
          <w:bCs/>
          <w:lang w:eastAsia="zh-CN"/>
        </w:rPr>
        <w:t>甲方</w:t>
      </w:r>
      <w:r>
        <w:rPr>
          <w:rFonts w:hint="eastAsia" w:ascii="宋体" w:hAnsi="宋体"/>
          <w:bCs/>
        </w:rPr>
        <w:t>损失严重的，</w:t>
      </w:r>
      <w:r>
        <w:rPr>
          <w:rFonts w:hint="eastAsia" w:ascii="宋体" w:hAnsi="宋体"/>
          <w:bCs/>
          <w:lang w:eastAsia="zh-CN"/>
        </w:rPr>
        <w:t>甲方</w:t>
      </w:r>
      <w:r>
        <w:rPr>
          <w:rFonts w:hint="eastAsia" w:ascii="宋体" w:hAnsi="宋体"/>
          <w:bCs/>
        </w:rPr>
        <w:t>有权终止合同，并追究责任。</w:t>
      </w:r>
    </w:p>
    <w:p>
      <w:pPr>
        <w:pStyle w:val="19"/>
        <w:keepNext w:val="0"/>
        <w:keepLines w:val="0"/>
        <w:pageBreakBefore w:val="0"/>
        <w:widowControl w:val="0"/>
        <w:kinsoku/>
        <w:wordWrap/>
        <w:overflowPunct/>
        <w:topLinePunct w:val="0"/>
        <w:autoSpaceDE/>
        <w:autoSpaceDN/>
        <w:bidi w:val="0"/>
        <w:adjustRightInd/>
        <w:snapToGrid/>
        <w:spacing w:line="312" w:lineRule="auto"/>
        <w:ind w:firstLine="426" w:firstLineChars="0"/>
        <w:textAlignment w:val="auto"/>
        <w:rPr>
          <w:rFonts w:ascii="宋体" w:hAnsi="宋体"/>
          <w:b/>
        </w:rPr>
      </w:pPr>
      <w:r>
        <w:rPr>
          <w:rFonts w:hint="eastAsia" w:ascii="宋体" w:hAnsi="宋体"/>
          <w:b/>
        </w:rPr>
        <w:t>（四）绿地管养人员基本要求</w:t>
      </w:r>
    </w:p>
    <w:p>
      <w:pPr>
        <w:pStyle w:val="19"/>
        <w:keepNext w:val="0"/>
        <w:keepLines w:val="0"/>
        <w:pageBreakBefore w:val="0"/>
        <w:widowControl w:val="0"/>
        <w:kinsoku/>
        <w:wordWrap/>
        <w:overflowPunct/>
        <w:topLinePunct w:val="0"/>
        <w:autoSpaceDE/>
        <w:autoSpaceDN/>
        <w:bidi w:val="0"/>
        <w:adjustRightInd/>
        <w:snapToGrid/>
        <w:spacing w:line="312" w:lineRule="auto"/>
        <w:textAlignment w:val="auto"/>
        <w:rPr>
          <w:rFonts w:ascii="宋体" w:hAnsi="宋体"/>
          <w:highlight w:val="none"/>
        </w:rPr>
      </w:pPr>
      <w:r>
        <w:rPr>
          <w:rFonts w:hint="eastAsia" w:ascii="宋体" w:hAnsi="宋体"/>
          <w:highlight w:val="none"/>
        </w:rPr>
        <w:t>1、</w:t>
      </w:r>
      <w:r>
        <w:rPr>
          <w:rFonts w:ascii="宋体" w:hAnsi="宋体"/>
          <w:highlight w:val="none"/>
        </w:rPr>
        <w:t>人员配备表</w:t>
      </w:r>
    </w:p>
    <w:tbl>
      <w:tblPr>
        <w:tblStyle w:val="12"/>
        <w:tblW w:w="495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916"/>
        <w:gridCol w:w="907"/>
        <w:gridCol w:w="720"/>
        <w:gridCol w:w="1102"/>
        <w:gridCol w:w="1224"/>
        <w:gridCol w:w="867"/>
        <w:gridCol w:w="1501"/>
        <w:gridCol w:w="748"/>
        <w:gridCol w:w="7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90" w:hRule="atLeast"/>
        </w:trPr>
        <w:tc>
          <w:tcPr>
            <w:tcW w:w="523" w:type="pct"/>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50" w:lineRule="exact"/>
              <w:jc w:val="center"/>
              <w:textAlignment w:val="auto"/>
              <w:rPr>
                <w:rFonts w:hint="eastAsia"/>
              </w:rPr>
            </w:pPr>
            <w:r>
              <w:rPr>
                <w:rFonts w:hint="eastAsia"/>
              </w:rPr>
              <w:t>项目</w:t>
            </w:r>
          </w:p>
          <w:p>
            <w:pPr>
              <w:keepNext w:val="0"/>
              <w:keepLines w:val="0"/>
              <w:pageBreakBefore w:val="0"/>
              <w:widowControl w:val="0"/>
              <w:kinsoku/>
              <w:wordWrap/>
              <w:overflowPunct/>
              <w:topLinePunct w:val="0"/>
              <w:autoSpaceDE/>
              <w:autoSpaceDN/>
              <w:bidi w:val="0"/>
              <w:adjustRightInd/>
              <w:snapToGrid/>
              <w:spacing w:line="450" w:lineRule="exact"/>
              <w:jc w:val="center"/>
              <w:textAlignment w:val="auto"/>
              <w:rPr>
                <w:rFonts w:hint="eastAsia" w:eastAsia="宋体"/>
                <w:lang w:val="en-US" w:eastAsia="zh-CN"/>
              </w:rPr>
            </w:pPr>
            <w:r>
              <w:rPr>
                <w:rFonts w:hint="eastAsia"/>
              </w:rPr>
              <w:t>负责人</w:t>
            </w:r>
          </w:p>
        </w:tc>
        <w:tc>
          <w:tcPr>
            <w:tcW w:w="518" w:type="pct"/>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50" w:lineRule="exact"/>
              <w:jc w:val="center"/>
              <w:textAlignment w:val="auto"/>
              <w:rPr>
                <w:rFonts w:hint="eastAsia"/>
                <w:highlight w:val="none"/>
                <w:lang w:val="en-US" w:eastAsia="zh-CN"/>
              </w:rPr>
            </w:pPr>
            <w:r>
              <w:rPr>
                <w:rFonts w:hint="eastAsia"/>
                <w:highlight w:val="none"/>
                <w:lang w:val="en-US" w:eastAsia="zh-CN"/>
              </w:rPr>
              <w:t>技术</w:t>
            </w:r>
          </w:p>
          <w:p>
            <w:pPr>
              <w:keepNext w:val="0"/>
              <w:keepLines w:val="0"/>
              <w:pageBreakBefore w:val="0"/>
              <w:widowControl w:val="0"/>
              <w:kinsoku/>
              <w:wordWrap/>
              <w:overflowPunct/>
              <w:topLinePunct w:val="0"/>
              <w:autoSpaceDE/>
              <w:autoSpaceDN/>
              <w:bidi w:val="0"/>
              <w:adjustRightInd/>
              <w:snapToGrid/>
              <w:spacing w:line="450" w:lineRule="exact"/>
              <w:jc w:val="center"/>
              <w:textAlignment w:val="auto"/>
              <w:rPr>
                <w:rFonts w:hint="default" w:eastAsia="宋体"/>
                <w:highlight w:val="none"/>
                <w:lang w:val="en-US" w:eastAsia="zh-CN"/>
              </w:rPr>
            </w:pPr>
            <w:r>
              <w:rPr>
                <w:rFonts w:hint="eastAsia"/>
                <w:highlight w:val="none"/>
                <w:lang w:val="en-US" w:eastAsia="zh-CN"/>
              </w:rPr>
              <w:t>负责人</w:t>
            </w:r>
          </w:p>
        </w:tc>
        <w:tc>
          <w:tcPr>
            <w:tcW w:w="411" w:type="pct"/>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50" w:lineRule="exact"/>
              <w:jc w:val="center"/>
              <w:textAlignment w:val="auto"/>
              <w:rPr>
                <w:rFonts w:hint="eastAsia"/>
                <w:highlight w:val="none"/>
                <w:lang w:val="en-US" w:eastAsia="zh-CN"/>
              </w:rPr>
            </w:pPr>
            <w:r>
              <w:rPr>
                <w:rFonts w:hint="eastAsia"/>
                <w:highlight w:val="none"/>
                <w:lang w:val="en-US" w:eastAsia="zh-CN"/>
              </w:rPr>
              <w:t>绿化</w:t>
            </w:r>
          </w:p>
          <w:p>
            <w:pPr>
              <w:keepNext w:val="0"/>
              <w:keepLines w:val="0"/>
              <w:pageBreakBefore w:val="0"/>
              <w:widowControl w:val="0"/>
              <w:kinsoku/>
              <w:wordWrap/>
              <w:overflowPunct/>
              <w:topLinePunct w:val="0"/>
              <w:autoSpaceDE/>
              <w:autoSpaceDN/>
              <w:bidi w:val="0"/>
              <w:adjustRightInd/>
              <w:snapToGrid/>
              <w:spacing w:line="450" w:lineRule="exact"/>
              <w:jc w:val="center"/>
              <w:textAlignment w:val="auto"/>
              <w:rPr>
                <w:rFonts w:hint="default" w:eastAsia="宋体"/>
                <w:highlight w:val="none"/>
                <w:lang w:eastAsia="zh-CN"/>
              </w:rPr>
            </w:pPr>
            <w:r>
              <w:rPr>
                <w:rFonts w:hint="eastAsia"/>
                <w:highlight w:val="none"/>
                <w:lang w:val="en-US" w:eastAsia="zh-CN"/>
              </w:rPr>
              <w:t>主管</w:t>
            </w:r>
          </w:p>
        </w:tc>
        <w:tc>
          <w:tcPr>
            <w:tcW w:w="629" w:type="pct"/>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50" w:lineRule="exact"/>
              <w:jc w:val="center"/>
              <w:textAlignment w:val="auto"/>
              <w:rPr>
                <w:rFonts w:hint="eastAsia" w:eastAsia="宋体"/>
                <w:highlight w:val="none"/>
                <w:lang w:eastAsia="zh-CN"/>
              </w:rPr>
            </w:pPr>
            <w:r>
              <w:rPr>
                <w:rFonts w:hint="eastAsia"/>
                <w:highlight w:val="none"/>
                <w:lang w:val="en-US" w:eastAsia="zh-CN"/>
              </w:rPr>
              <w:t>保洁兼安全主管</w:t>
            </w:r>
          </w:p>
        </w:tc>
        <w:tc>
          <w:tcPr>
            <w:tcW w:w="699" w:type="pct"/>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50" w:lineRule="exact"/>
              <w:textAlignment w:val="auto"/>
            </w:pPr>
            <w:r>
              <w:rPr>
                <w:rFonts w:hint="eastAsia"/>
                <w:highlight w:val="none"/>
                <w:lang w:eastAsia="zh-CN"/>
              </w:rPr>
              <w:t>绿化</w:t>
            </w:r>
            <w:r>
              <w:rPr>
                <w:rFonts w:hint="eastAsia"/>
                <w:highlight w:val="none"/>
              </w:rPr>
              <w:t>工</w:t>
            </w:r>
            <w:r>
              <w:rPr>
                <w:rFonts w:hint="eastAsia"/>
                <w:highlight w:val="none"/>
                <w:lang w:eastAsia="zh-CN"/>
              </w:rPr>
              <w:t>（含修剪工）</w:t>
            </w:r>
          </w:p>
        </w:tc>
        <w:tc>
          <w:tcPr>
            <w:tcW w:w="495" w:type="pct"/>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50" w:lineRule="exact"/>
              <w:jc w:val="center"/>
              <w:textAlignment w:val="auto"/>
            </w:pPr>
            <w:r>
              <w:rPr>
                <w:rFonts w:hint="eastAsia"/>
                <w:lang w:eastAsia="zh-CN"/>
              </w:rPr>
              <w:t>保洁及维修</w:t>
            </w:r>
            <w:r>
              <w:rPr>
                <w:rFonts w:hint="eastAsia"/>
              </w:rPr>
              <w:t>工</w:t>
            </w:r>
          </w:p>
        </w:tc>
        <w:tc>
          <w:tcPr>
            <w:tcW w:w="857" w:type="pct"/>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50" w:lineRule="exact"/>
              <w:jc w:val="center"/>
              <w:textAlignment w:val="auto"/>
            </w:pPr>
            <w:r>
              <w:rPr>
                <w:rFonts w:hint="eastAsia"/>
              </w:rPr>
              <w:t>四害消杀及白蚁防治人员</w:t>
            </w:r>
          </w:p>
        </w:tc>
        <w:tc>
          <w:tcPr>
            <w:tcW w:w="427" w:type="pct"/>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50" w:lineRule="exact"/>
              <w:jc w:val="center"/>
              <w:textAlignment w:val="auto"/>
            </w:pPr>
            <w:r>
              <w:rPr>
                <w:rFonts w:hint="eastAsia"/>
              </w:rPr>
              <w:t>司机</w:t>
            </w:r>
          </w:p>
        </w:tc>
        <w:tc>
          <w:tcPr>
            <w:tcW w:w="438" w:type="pct"/>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50" w:lineRule="exact"/>
              <w:jc w:val="center"/>
              <w:textAlignment w:val="auto"/>
              <w:rPr>
                <w:rFonts w:hint="eastAsia"/>
              </w:rPr>
            </w:pPr>
            <w:r>
              <w:rPr>
                <w:rFonts w:hint="eastAsia"/>
              </w:rPr>
              <w:t>合计</w:t>
            </w:r>
          </w:p>
          <w:p>
            <w:pPr>
              <w:keepNext w:val="0"/>
              <w:keepLines w:val="0"/>
              <w:pageBreakBefore w:val="0"/>
              <w:widowControl w:val="0"/>
              <w:kinsoku/>
              <w:wordWrap/>
              <w:overflowPunct/>
              <w:topLinePunct w:val="0"/>
              <w:autoSpaceDE/>
              <w:autoSpaceDN/>
              <w:bidi w:val="0"/>
              <w:adjustRightInd/>
              <w:snapToGrid/>
              <w:spacing w:line="450" w:lineRule="exact"/>
              <w:jc w:val="center"/>
              <w:textAlignment w:val="auto"/>
              <w:rPr>
                <w:rFonts w:hint="eastAsia"/>
              </w:rPr>
            </w:pPr>
            <w:r>
              <w:rPr>
                <w:rFonts w:hint="eastAsia"/>
              </w:rPr>
              <w:t>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4" w:hRule="atLeast"/>
        </w:trPr>
        <w:tc>
          <w:tcPr>
            <w:tcW w:w="523" w:type="pct"/>
            <w:tcMar>
              <w:top w:w="0" w:type="dxa"/>
              <w:left w:w="108" w:type="dxa"/>
              <w:bottom w:w="0" w:type="dxa"/>
              <w:right w:w="108" w:type="dxa"/>
            </w:tcMar>
            <w:vAlign w:val="center"/>
          </w:tcPr>
          <w:p>
            <w:pPr>
              <w:keepNext w:val="0"/>
              <w:keepLines w:val="0"/>
              <w:pageBreakBefore w:val="0"/>
              <w:widowControl w:val="0"/>
              <w:kinsoku/>
              <w:wordWrap/>
              <w:overflowPunct/>
              <w:topLinePunct w:val="0"/>
              <w:bidi w:val="0"/>
              <w:spacing w:line="450" w:lineRule="exact"/>
              <w:jc w:val="center"/>
              <w:textAlignment w:val="auto"/>
            </w:pPr>
            <w:r>
              <w:t>1</w:t>
            </w:r>
          </w:p>
        </w:tc>
        <w:tc>
          <w:tcPr>
            <w:tcW w:w="518" w:type="pct"/>
            <w:tcMar>
              <w:top w:w="0" w:type="dxa"/>
              <w:left w:w="108" w:type="dxa"/>
              <w:bottom w:w="0" w:type="dxa"/>
              <w:right w:w="108" w:type="dxa"/>
            </w:tcMar>
            <w:vAlign w:val="center"/>
          </w:tcPr>
          <w:p>
            <w:pPr>
              <w:keepNext w:val="0"/>
              <w:keepLines w:val="0"/>
              <w:pageBreakBefore w:val="0"/>
              <w:widowControl w:val="0"/>
              <w:kinsoku/>
              <w:wordWrap/>
              <w:overflowPunct/>
              <w:topLinePunct w:val="0"/>
              <w:bidi w:val="0"/>
              <w:spacing w:line="450" w:lineRule="exact"/>
              <w:jc w:val="center"/>
              <w:textAlignment w:val="auto"/>
            </w:pPr>
            <w:r>
              <w:t>1</w:t>
            </w:r>
          </w:p>
        </w:tc>
        <w:tc>
          <w:tcPr>
            <w:tcW w:w="411" w:type="pct"/>
            <w:tcMar>
              <w:top w:w="0" w:type="dxa"/>
              <w:left w:w="108" w:type="dxa"/>
              <w:bottom w:w="0" w:type="dxa"/>
              <w:right w:w="108" w:type="dxa"/>
            </w:tcMar>
            <w:vAlign w:val="center"/>
          </w:tcPr>
          <w:p>
            <w:pPr>
              <w:keepNext w:val="0"/>
              <w:keepLines w:val="0"/>
              <w:pageBreakBefore w:val="0"/>
              <w:widowControl w:val="0"/>
              <w:kinsoku/>
              <w:wordWrap/>
              <w:overflowPunct/>
              <w:topLinePunct w:val="0"/>
              <w:bidi w:val="0"/>
              <w:spacing w:line="450" w:lineRule="exact"/>
              <w:jc w:val="center"/>
              <w:textAlignment w:val="auto"/>
            </w:pPr>
            <w:r>
              <w:t>1</w:t>
            </w:r>
          </w:p>
        </w:tc>
        <w:tc>
          <w:tcPr>
            <w:tcW w:w="629" w:type="pct"/>
            <w:tcMar>
              <w:top w:w="0" w:type="dxa"/>
              <w:left w:w="108" w:type="dxa"/>
              <w:bottom w:w="0" w:type="dxa"/>
              <w:right w:w="108" w:type="dxa"/>
            </w:tcMar>
            <w:vAlign w:val="center"/>
          </w:tcPr>
          <w:p>
            <w:pPr>
              <w:keepNext w:val="0"/>
              <w:keepLines w:val="0"/>
              <w:pageBreakBefore w:val="0"/>
              <w:widowControl w:val="0"/>
              <w:kinsoku/>
              <w:wordWrap/>
              <w:overflowPunct/>
              <w:topLinePunct w:val="0"/>
              <w:bidi w:val="0"/>
              <w:spacing w:line="450" w:lineRule="exact"/>
              <w:jc w:val="center"/>
              <w:textAlignment w:val="auto"/>
              <w:rPr>
                <w:rFonts w:hint="eastAsia" w:eastAsia="宋体"/>
                <w:lang w:eastAsia="zh-CN"/>
              </w:rPr>
            </w:pPr>
            <w:r>
              <w:rPr>
                <w:rFonts w:hint="eastAsia"/>
              </w:rPr>
              <w:t>1</w:t>
            </w:r>
          </w:p>
        </w:tc>
        <w:tc>
          <w:tcPr>
            <w:tcW w:w="699" w:type="pct"/>
            <w:tcMar>
              <w:top w:w="0" w:type="dxa"/>
              <w:left w:w="108" w:type="dxa"/>
              <w:bottom w:w="0" w:type="dxa"/>
              <w:right w:w="108" w:type="dxa"/>
            </w:tcMar>
            <w:vAlign w:val="center"/>
          </w:tcPr>
          <w:p>
            <w:pPr>
              <w:keepNext w:val="0"/>
              <w:keepLines w:val="0"/>
              <w:pageBreakBefore w:val="0"/>
              <w:widowControl w:val="0"/>
              <w:kinsoku/>
              <w:wordWrap/>
              <w:overflowPunct/>
              <w:topLinePunct w:val="0"/>
              <w:bidi w:val="0"/>
              <w:spacing w:line="450" w:lineRule="exact"/>
              <w:jc w:val="center"/>
              <w:textAlignment w:val="auto"/>
              <w:rPr>
                <w:rFonts w:hint="eastAsia" w:eastAsia="宋体"/>
                <w:lang w:eastAsia="zh-CN"/>
              </w:rPr>
            </w:pPr>
            <w:r>
              <w:rPr>
                <w:rFonts w:hint="eastAsia"/>
                <w:lang w:val="en-US" w:eastAsia="zh-CN"/>
              </w:rPr>
              <w:t>6</w:t>
            </w:r>
          </w:p>
        </w:tc>
        <w:tc>
          <w:tcPr>
            <w:tcW w:w="495" w:type="pct"/>
            <w:tcMar>
              <w:top w:w="0" w:type="dxa"/>
              <w:left w:w="108" w:type="dxa"/>
              <w:bottom w:w="0" w:type="dxa"/>
              <w:right w:w="108" w:type="dxa"/>
            </w:tcMar>
            <w:vAlign w:val="center"/>
          </w:tcPr>
          <w:p>
            <w:pPr>
              <w:keepNext w:val="0"/>
              <w:keepLines w:val="0"/>
              <w:pageBreakBefore w:val="0"/>
              <w:widowControl w:val="0"/>
              <w:kinsoku/>
              <w:wordWrap/>
              <w:overflowPunct/>
              <w:topLinePunct w:val="0"/>
              <w:bidi w:val="0"/>
              <w:spacing w:line="450" w:lineRule="exact"/>
              <w:jc w:val="center"/>
              <w:textAlignment w:val="auto"/>
            </w:pPr>
            <w:r>
              <w:rPr>
                <w:rFonts w:hint="eastAsia"/>
                <w:lang w:val="en-US" w:eastAsia="zh-CN"/>
              </w:rPr>
              <w:t>8</w:t>
            </w:r>
          </w:p>
        </w:tc>
        <w:tc>
          <w:tcPr>
            <w:tcW w:w="857" w:type="pct"/>
            <w:tcMar>
              <w:top w:w="0" w:type="dxa"/>
              <w:left w:w="108" w:type="dxa"/>
              <w:bottom w:w="0" w:type="dxa"/>
              <w:right w:w="108" w:type="dxa"/>
            </w:tcMar>
            <w:vAlign w:val="center"/>
          </w:tcPr>
          <w:p>
            <w:pPr>
              <w:keepNext w:val="0"/>
              <w:keepLines w:val="0"/>
              <w:pageBreakBefore w:val="0"/>
              <w:widowControl w:val="0"/>
              <w:kinsoku/>
              <w:wordWrap/>
              <w:overflowPunct/>
              <w:topLinePunct w:val="0"/>
              <w:bidi w:val="0"/>
              <w:spacing w:line="450" w:lineRule="exact"/>
              <w:jc w:val="center"/>
              <w:textAlignment w:val="auto"/>
              <w:rPr>
                <w:rFonts w:hint="eastAsia" w:eastAsia="宋体"/>
                <w:lang w:eastAsia="zh-CN"/>
              </w:rPr>
            </w:pPr>
            <w:r>
              <w:t>1</w:t>
            </w:r>
          </w:p>
        </w:tc>
        <w:tc>
          <w:tcPr>
            <w:tcW w:w="427" w:type="pct"/>
            <w:tcMar>
              <w:top w:w="0" w:type="dxa"/>
              <w:left w:w="108" w:type="dxa"/>
              <w:bottom w:w="0" w:type="dxa"/>
              <w:right w:w="108" w:type="dxa"/>
            </w:tcMar>
            <w:vAlign w:val="center"/>
          </w:tcPr>
          <w:p>
            <w:pPr>
              <w:keepNext w:val="0"/>
              <w:keepLines w:val="0"/>
              <w:pageBreakBefore w:val="0"/>
              <w:widowControl w:val="0"/>
              <w:kinsoku/>
              <w:wordWrap/>
              <w:overflowPunct/>
              <w:topLinePunct w:val="0"/>
              <w:bidi w:val="0"/>
              <w:spacing w:line="450" w:lineRule="exact"/>
              <w:jc w:val="center"/>
              <w:textAlignment w:val="auto"/>
              <w:rPr>
                <w:rFonts w:hint="default" w:eastAsia="宋体"/>
                <w:lang w:val="en-US" w:eastAsia="zh-CN"/>
              </w:rPr>
            </w:pPr>
            <w:r>
              <w:rPr>
                <w:rFonts w:hint="eastAsia"/>
                <w:lang w:val="en-US" w:eastAsia="zh-CN"/>
              </w:rPr>
              <w:t>1</w:t>
            </w:r>
          </w:p>
        </w:tc>
        <w:tc>
          <w:tcPr>
            <w:tcW w:w="438" w:type="pct"/>
            <w:tcMar>
              <w:top w:w="0" w:type="dxa"/>
              <w:left w:w="108" w:type="dxa"/>
              <w:bottom w:w="0" w:type="dxa"/>
              <w:right w:w="108" w:type="dxa"/>
            </w:tcMar>
            <w:vAlign w:val="center"/>
          </w:tcPr>
          <w:p>
            <w:pPr>
              <w:keepNext w:val="0"/>
              <w:keepLines w:val="0"/>
              <w:pageBreakBefore w:val="0"/>
              <w:widowControl w:val="0"/>
              <w:kinsoku/>
              <w:wordWrap/>
              <w:overflowPunct/>
              <w:topLinePunct w:val="0"/>
              <w:bidi w:val="0"/>
              <w:spacing w:line="450" w:lineRule="exact"/>
              <w:jc w:val="center"/>
              <w:textAlignment w:val="auto"/>
              <w:rPr>
                <w:rFonts w:hint="default"/>
                <w:lang w:val="en-US" w:eastAsia="zh-CN"/>
              </w:rPr>
            </w:pPr>
            <w:r>
              <w:rPr>
                <w:rFonts w:hint="eastAsia"/>
                <w:lang w:val="en-US" w:eastAsia="zh-CN"/>
              </w:rPr>
              <w:t>20</w:t>
            </w:r>
          </w:p>
        </w:tc>
      </w:tr>
    </w:tbl>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ascii="宋体" w:hAnsi="宋体"/>
        </w:rPr>
        <w:t>2</w:t>
      </w:r>
      <w:r>
        <w:rPr>
          <w:rFonts w:hint="eastAsia" w:ascii="宋体" w:hAnsi="宋体"/>
        </w:rPr>
        <w:t>、</w:t>
      </w:r>
      <w:r>
        <w:rPr>
          <w:rFonts w:ascii="宋体" w:hAnsi="宋体"/>
        </w:rPr>
        <w:t>甲方对于达不到工作要求的员工，有权要求乙方在规定期限内更换。</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lang w:val="en-US" w:eastAsia="zh-CN"/>
        </w:rPr>
        <w:t>3</w:t>
      </w:r>
      <w:r>
        <w:rPr>
          <w:rFonts w:hint="eastAsia" w:ascii="宋体" w:hAnsi="宋体"/>
        </w:rPr>
        <w:t>、</w:t>
      </w:r>
      <w:r>
        <w:rPr>
          <w:rFonts w:ascii="宋体" w:hAnsi="宋体"/>
        </w:rPr>
        <w:t>安全员</w:t>
      </w:r>
      <w:r>
        <w:rPr>
          <w:rFonts w:hint="eastAsia" w:ascii="宋体" w:hAnsi="宋体"/>
        </w:rPr>
        <w:t>、消杀人员、</w:t>
      </w:r>
      <w:r>
        <w:rPr>
          <w:rFonts w:hint="eastAsia" w:ascii="宋体" w:hAnsi="宋体"/>
          <w:lang w:eastAsia="zh-CN"/>
        </w:rPr>
        <w:t>维修</w:t>
      </w:r>
      <w:r>
        <w:rPr>
          <w:rFonts w:hint="eastAsia" w:ascii="宋体" w:hAnsi="宋体"/>
        </w:rPr>
        <w:t>工、司机、绿化工等持证上岗。</w:t>
      </w:r>
    </w:p>
    <w:p>
      <w:pPr>
        <w:pStyle w:val="19"/>
        <w:keepNext w:val="0"/>
        <w:keepLines w:val="0"/>
        <w:pageBreakBefore w:val="0"/>
        <w:widowControl w:val="0"/>
        <w:kinsoku/>
        <w:wordWrap/>
        <w:overflowPunct/>
        <w:topLinePunct w:val="0"/>
        <w:bidi w:val="0"/>
        <w:spacing w:line="312" w:lineRule="auto"/>
        <w:textAlignment w:val="auto"/>
        <w:rPr>
          <w:rFonts w:hint="eastAsia" w:ascii="宋体" w:hAnsi="宋体"/>
          <w:lang w:eastAsia="zh-CN"/>
        </w:rPr>
      </w:pPr>
      <w:r>
        <w:rPr>
          <w:rFonts w:hint="eastAsia" w:ascii="宋体" w:hAnsi="宋体"/>
          <w:lang w:val="en-US" w:eastAsia="zh-CN"/>
        </w:rPr>
        <w:t>4</w:t>
      </w:r>
      <w:r>
        <w:rPr>
          <w:rFonts w:hint="eastAsia" w:ascii="宋体" w:hAnsi="宋体"/>
        </w:rPr>
        <w:t>、项目负责人</w:t>
      </w:r>
      <w:r>
        <w:rPr>
          <w:rFonts w:hint="eastAsia" w:ascii="宋体" w:hAnsi="宋体"/>
          <w:lang w:eastAsia="zh-CN"/>
        </w:rPr>
        <w:t>：</w:t>
      </w:r>
      <w:r>
        <w:rPr>
          <w:rFonts w:hint="eastAsia" w:ascii="宋体" w:hAnsi="宋体" w:cs="宋体"/>
          <w:b w:val="0"/>
          <w:bCs w:val="0"/>
          <w:sz w:val="21"/>
          <w:szCs w:val="21"/>
          <w:highlight w:val="none"/>
          <w:lang w:val="en-US" w:eastAsia="zh-CN"/>
        </w:rPr>
        <w:t>负责</w:t>
      </w:r>
      <w:r>
        <w:rPr>
          <w:rFonts w:hint="eastAsia" w:ascii="宋体" w:hAnsi="宋体" w:eastAsia="宋体" w:cs="宋体"/>
          <w:b w:val="0"/>
          <w:bCs w:val="0"/>
          <w:sz w:val="21"/>
          <w:szCs w:val="21"/>
          <w:highlight w:val="none"/>
          <w:lang w:val="en-US" w:eastAsia="zh-CN"/>
        </w:rPr>
        <w:t>整个项目的策划、统筹管理，分析项目需求、制定计划和目标，全面部署养护工作，制定项目管理的各项规章制度等，监控质量管理体系的运行。需具有园林园林相关专业本科或以上学历，园林（林业）中级以上工程师</w:t>
      </w:r>
      <w:r>
        <w:rPr>
          <w:rFonts w:hint="eastAsia" w:ascii="宋体" w:hAnsi="宋体" w:cs="宋体"/>
          <w:b w:val="0"/>
          <w:bCs w:val="0"/>
          <w:sz w:val="21"/>
          <w:szCs w:val="21"/>
          <w:highlight w:val="none"/>
          <w:lang w:val="en-US" w:eastAsia="zh-CN"/>
        </w:rPr>
        <w:t>，负责建立并持续优化绿化管养管理，内容涵盖植物修剪、施肥、病虫害绿色防控、极端天气应急预案等，具备绿化管养、园林绿化等工作经验</w:t>
      </w:r>
      <w:r>
        <w:rPr>
          <w:rFonts w:hint="eastAsia" w:ascii="宋体" w:hAnsi="宋体" w:eastAsia="宋体" w:cs="宋体"/>
          <w:b w:val="0"/>
          <w:bCs w:val="0"/>
          <w:sz w:val="21"/>
          <w:szCs w:val="21"/>
          <w:highlight w:val="none"/>
          <w:lang w:val="en-US" w:eastAsia="zh-CN"/>
        </w:rPr>
        <w:t>。</w:t>
      </w:r>
    </w:p>
    <w:p>
      <w:pPr>
        <w:pStyle w:val="19"/>
        <w:keepNext w:val="0"/>
        <w:keepLines w:val="0"/>
        <w:pageBreakBefore w:val="0"/>
        <w:widowControl w:val="0"/>
        <w:kinsoku/>
        <w:wordWrap/>
        <w:overflowPunct/>
        <w:topLinePunct w:val="0"/>
        <w:bidi w:val="0"/>
        <w:spacing w:line="312" w:lineRule="auto"/>
        <w:textAlignment w:val="auto"/>
        <w:rPr>
          <w:rFonts w:hint="eastAsia" w:ascii="宋体" w:hAnsi="宋体" w:eastAsia="宋体" w:cs="宋体"/>
          <w:b w:val="0"/>
          <w:bCs w:val="0"/>
          <w:sz w:val="21"/>
          <w:szCs w:val="21"/>
          <w:highlight w:val="none"/>
          <w:lang w:val="en-US" w:eastAsia="zh-CN"/>
        </w:rPr>
      </w:pPr>
      <w:r>
        <w:rPr>
          <w:rFonts w:hint="eastAsia" w:ascii="宋体" w:hAnsi="宋体"/>
          <w:lang w:val="en-US" w:eastAsia="zh-CN"/>
        </w:rPr>
        <w:t>5、</w:t>
      </w:r>
      <w:r>
        <w:rPr>
          <w:rFonts w:hint="eastAsia" w:ascii="宋体" w:hAnsi="宋体" w:eastAsia="宋体" w:cs="宋体"/>
          <w:b w:val="0"/>
          <w:bCs w:val="0"/>
          <w:sz w:val="21"/>
          <w:szCs w:val="21"/>
          <w:highlight w:val="none"/>
          <w:lang w:val="en-US" w:eastAsia="zh-CN"/>
        </w:rPr>
        <w:t>技术负责人：负责整个项目的技术指导工作和技术研究试验、绿地更新改造等工作，</w:t>
      </w:r>
      <w:r>
        <w:rPr>
          <w:rFonts w:hint="eastAsia" w:ascii="宋体" w:hAnsi="宋体" w:cs="宋体"/>
          <w:b w:val="0"/>
          <w:bCs w:val="0"/>
          <w:sz w:val="21"/>
          <w:szCs w:val="21"/>
          <w:highlight w:val="none"/>
          <w:lang w:val="en-US" w:eastAsia="zh-CN"/>
        </w:rPr>
        <w:t>协助项目负责人应对有害生物防制、除四害以及白蚁治理工作，统筹园区、登山路等设施管理工作，具有维修类相关证书以及园林绿化等专业知识，具有中级或以上相关职称证书</w:t>
      </w:r>
      <w:r>
        <w:rPr>
          <w:rFonts w:hint="eastAsia" w:ascii="宋体" w:hAnsi="宋体" w:eastAsia="宋体" w:cs="宋体"/>
          <w:b w:val="0"/>
          <w:bCs w:val="0"/>
          <w:sz w:val="21"/>
          <w:szCs w:val="21"/>
          <w:highlight w:val="none"/>
          <w:lang w:val="en-US" w:eastAsia="zh-CN"/>
        </w:rPr>
        <w:t>。</w:t>
      </w:r>
    </w:p>
    <w:p>
      <w:pPr>
        <w:pStyle w:val="19"/>
        <w:keepNext w:val="0"/>
        <w:keepLines w:val="0"/>
        <w:pageBreakBefore w:val="0"/>
        <w:widowControl w:val="0"/>
        <w:kinsoku/>
        <w:wordWrap/>
        <w:overflowPunct/>
        <w:topLinePunct w:val="0"/>
        <w:bidi w:val="0"/>
        <w:spacing w:line="312" w:lineRule="auto"/>
        <w:textAlignment w:val="auto"/>
        <w:rPr>
          <w:rFonts w:hint="eastAsia" w:ascii="宋体" w:hAnsi="宋体" w:eastAsia="宋体" w:cs="宋体"/>
          <w:b w:val="0"/>
          <w:bCs w:val="0"/>
          <w:sz w:val="21"/>
          <w:szCs w:val="21"/>
          <w:highlight w:val="none"/>
          <w:lang w:val="en-US" w:eastAsia="zh-CN"/>
        </w:rPr>
      </w:pPr>
      <w:r>
        <w:rPr>
          <w:rFonts w:hint="eastAsia" w:ascii="宋体" w:hAnsi="宋体"/>
          <w:lang w:val="en-US" w:eastAsia="zh-CN"/>
        </w:rPr>
        <w:t>6、绿化</w:t>
      </w:r>
      <w:r>
        <w:rPr>
          <w:rFonts w:hint="eastAsia" w:ascii="宋体" w:hAnsi="宋体"/>
          <w:highlight w:val="none"/>
          <w:lang w:val="en-US" w:eastAsia="zh-CN"/>
        </w:rPr>
        <w:t>主管：</w:t>
      </w:r>
      <w:r>
        <w:rPr>
          <w:rFonts w:hint="eastAsia" w:ascii="宋体" w:hAnsi="宋体" w:eastAsia="宋体" w:cs="宋体"/>
          <w:b w:val="0"/>
          <w:bCs w:val="0"/>
          <w:sz w:val="21"/>
          <w:szCs w:val="21"/>
          <w:highlight w:val="none"/>
          <w:lang w:val="en-US" w:eastAsia="zh-CN"/>
        </w:rPr>
        <w:t>负责整个项目具体实施，合理调配人员并安排每天工作任务，负责一线工人考勤和日常工作的监督检查，需具有园林相关专业</w:t>
      </w:r>
      <w:r>
        <w:rPr>
          <w:rFonts w:hint="eastAsia" w:ascii="宋体" w:hAnsi="宋体" w:cs="宋体"/>
          <w:b w:val="0"/>
          <w:bCs w:val="0"/>
          <w:sz w:val="21"/>
          <w:szCs w:val="21"/>
          <w:highlight w:val="none"/>
          <w:lang w:val="en-US" w:eastAsia="zh-CN"/>
        </w:rPr>
        <w:t>本科或</w:t>
      </w:r>
      <w:r>
        <w:rPr>
          <w:rFonts w:hint="eastAsia" w:ascii="宋体" w:hAnsi="宋体" w:eastAsia="宋体" w:cs="宋体"/>
          <w:b w:val="0"/>
          <w:bCs w:val="0"/>
          <w:sz w:val="21"/>
          <w:szCs w:val="21"/>
          <w:highlight w:val="none"/>
          <w:lang w:val="en-US" w:eastAsia="zh-CN"/>
        </w:rPr>
        <w:t>以上</w:t>
      </w:r>
      <w:r>
        <w:rPr>
          <w:rFonts w:hint="eastAsia" w:ascii="宋体" w:hAnsi="宋体" w:cs="宋体"/>
          <w:b w:val="0"/>
          <w:bCs w:val="0"/>
          <w:sz w:val="21"/>
          <w:szCs w:val="21"/>
          <w:highlight w:val="none"/>
          <w:lang w:val="en-US" w:eastAsia="zh-CN"/>
        </w:rPr>
        <w:t>学历</w:t>
      </w:r>
      <w:r>
        <w:rPr>
          <w:rFonts w:hint="eastAsia" w:ascii="宋体" w:hAnsi="宋体" w:eastAsia="宋体" w:cs="宋体"/>
          <w:b w:val="0"/>
          <w:bCs w:val="0"/>
          <w:sz w:val="21"/>
          <w:szCs w:val="21"/>
          <w:highlight w:val="none"/>
          <w:lang w:val="en-US" w:eastAsia="zh-CN"/>
        </w:rPr>
        <w:t>，</w:t>
      </w:r>
      <w:r>
        <w:rPr>
          <w:rFonts w:hint="eastAsia" w:ascii="宋体" w:hAnsi="宋体" w:cs="宋体"/>
          <w:b w:val="0"/>
          <w:bCs w:val="0"/>
          <w:sz w:val="21"/>
          <w:szCs w:val="21"/>
          <w:highlight w:val="none"/>
          <w:lang w:val="en-US" w:eastAsia="zh-CN"/>
        </w:rPr>
        <w:t>具有园林绿化等专业知识，具有中级或以上相关职称证书</w:t>
      </w:r>
      <w:r>
        <w:rPr>
          <w:rFonts w:hint="eastAsia" w:ascii="宋体" w:hAnsi="宋体" w:eastAsia="宋体" w:cs="宋体"/>
          <w:b w:val="0"/>
          <w:bCs w:val="0"/>
          <w:sz w:val="21"/>
          <w:szCs w:val="21"/>
          <w:highlight w:val="none"/>
          <w:lang w:val="en-US" w:eastAsia="zh-CN"/>
        </w:rPr>
        <w:t>。</w:t>
      </w:r>
    </w:p>
    <w:p>
      <w:pPr>
        <w:pStyle w:val="19"/>
        <w:keepNext w:val="0"/>
        <w:keepLines w:val="0"/>
        <w:pageBreakBefore w:val="0"/>
        <w:widowControl w:val="0"/>
        <w:kinsoku/>
        <w:wordWrap/>
        <w:overflowPunct/>
        <w:topLinePunct w:val="0"/>
        <w:bidi w:val="0"/>
        <w:spacing w:line="312" w:lineRule="auto"/>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7、</w:t>
      </w:r>
      <w:r>
        <w:rPr>
          <w:rFonts w:hint="eastAsia" w:ascii="宋体" w:hAnsi="宋体"/>
          <w:highlight w:val="none"/>
          <w:lang w:val="en-US" w:eastAsia="zh-CN"/>
        </w:rPr>
        <w:t>保洁兼安全主管：</w:t>
      </w:r>
      <w:r>
        <w:rPr>
          <w:rFonts w:hint="eastAsia" w:ascii="宋体" w:hAnsi="宋体" w:eastAsia="宋体" w:cs="宋体"/>
          <w:b w:val="0"/>
          <w:bCs w:val="0"/>
          <w:sz w:val="21"/>
          <w:szCs w:val="21"/>
          <w:highlight w:val="none"/>
          <w:lang w:val="en-US" w:eastAsia="zh-CN"/>
        </w:rPr>
        <w:t>负责整个项目保洁、安全监督和管理工作，</w:t>
      </w:r>
      <w:r>
        <w:rPr>
          <w:rFonts w:hint="eastAsia" w:ascii="宋体" w:hAnsi="宋体" w:cs="宋体"/>
          <w:b w:val="0"/>
          <w:bCs w:val="0"/>
          <w:sz w:val="21"/>
          <w:szCs w:val="21"/>
          <w:highlight w:val="none"/>
          <w:lang w:val="en-US" w:eastAsia="zh-CN"/>
        </w:rPr>
        <w:t>具备保洁、安全防范等专业知识，配合技术负责人负责园区设施维护维修工作</w:t>
      </w:r>
      <w:r>
        <w:rPr>
          <w:rFonts w:hint="eastAsia" w:ascii="宋体" w:hAnsi="宋体" w:eastAsia="宋体" w:cs="宋体"/>
          <w:b w:val="0"/>
          <w:bCs w:val="0"/>
          <w:sz w:val="21"/>
          <w:szCs w:val="21"/>
          <w:highlight w:val="none"/>
          <w:lang w:val="en-US" w:eastAsia="zh-CN"/>
        </w:rPr>
        <w:t>。</w:t>
      </w:r>
    </w:p>
    <w:p>
      <w:pPr>
        <w:pStyle w:val="19"/>
        <w:keepNext w:val="0"/>
        <w:keepLines w:val="0"/>
        <w:pageBreakBefore w:val="0"/>
        <w:widowControl w:val="0"/>
        <w:kinsoku/>
        <w:wordWrap/>
        <w:overflowPunct/>
        <w:topLinePunct w:val="0"/>
        <w:bidi w:val="0"/>
        <w:spacing w:line="312" w:lineRule="auto"/>
        <w:textAlignment w:val="auto"/>
        <w:rPr>
          <w:rFonts w:ascii="宋体" w:hAnsi="宋体"/>
          <w:color w:val="FF0000"/>
        </w:rPr>
      </w:pPr>
      <w:r>
        <w:rPr>
          <w:rFonts w:hint="eastAsia" w:ascii="宋体" w:hAnsi="宋体"/>
          <w:highlight w:val="none"/>
          <w:lang w:val="en-US" w:eastAsia="zh-CN"/>
        </w:rPr>
        <w:t>8、项目负责人、技术负责人及绿化主管须</w:t>
      </w:r>
      <w:r>
        <w:rPr>
          <w:rFonts w:ascii="宋体" w:hAnsi="宋体"/>
        </w:rPr>
        <w:t>甲方认可。乙方必须按</w:t>
      </w:r>
      <w:r>
        <w:rPr>
          <w:rFonts w:hint="eastAsia" w:ascii="宋体" w:hAnsi="宋体"/>
        </w:rPr>
        <w:t>照深圳市人力资源与社会保障局发布的《</w:t>
      </w:r>
      <w:r>
        <w:rPr>
          <w:rFonts w:hint="eastAsia" w:ascii="宋体" w:hAnsi="宋体"/>
          <w:szCs w:val="24"/>
          <w:lang w:bidi="ar"/>
        </w:rPr>
        <w:t>202</w:t>
      </w:r>
      <w:r>
        <w:rPr>
          <w:rFonts w:hint="eastAsia" w:ascii="宋体" w:hAnsi="宋体"/>
          <w:szCs w:val="24"/>
          <w:lang w:val="en-US" w:eastAsia="zh-CN" w:bidi="ar"/>
        </w:rPr>
        <w:t>4</w:t>
      </w:r>
      <w:r>
        <w:rPr>
          <w:rFonts w:hint="eastAsia" w:ascii="宋体" w:hAnsi="宋体"/>
          <w:szCs w:val="24"/>
          <w:lang w:bidi="ar"/>
        </w:rPr>
        <w:t xml:space="preserve"> 年深圳市人力资源市场工资价位及行业人工成本信息</w:t>
      </w:r>
      <w:r>
        <w:rPr>
          <w:rFonts w:hint="eastAsia" w:ascii="宋体" w:hAnsi="宋体"/>
        </w:rPr>
        <w:t>》中分职业的工资价位中的“专业技术人员”条目下“其他专业技术人员”工资水平的中位数发放，</w:t>
      </w:r>
      <w:r>
        <w:rPr>
          <w:rFonts w:ascii="宋体" w:hAnsi="宋体"/>
        </w:rPr>
        <w:t>并根据劳动法相关规定及</w:t>
      </w:r>
      <w:r>
        <w:rPr>
          <w:rFonts w:hint="eastAsia" w:ascii="宋体" w:hAnsi="宋体"/>
        </w:rPr>
        <w:t>按时足额</w:t>
      </w:r>
      <w:r>
        <w:rPr>
          <w:rFonts w:ascii="宋体" w:hAnsi="宋体"/>
        </w:rPr>
        <w:t>发放工资及相关福利，购买五险一金（加班费、保险、经济补偿金等另计）。</w:t>
      </w:r>
    </w:p>
    <w:p>
      <w:pPr>
        <w:pStyle w:val="19"/>
        <w:keepNext w:val="0"/>
        <w:keepLines w:val="0"/>
        <w:pageBreakBefore w:val="0"/>
        <w:widowControl w:val="0"/>
        <w:kinsoku/>
        <w:wordWrap/>
        <w:overflowPunct/>
        <w:topLinePunct w:val="0"/>
        <w:bidi w:val="0"/>
        <w:spacing w:line="312" w:lineRule="auto"/>
        <w:textAlignment w:val="auto"/>
        <w:rPr>
          <w:rFonts w:ascii="宋体" w:hAnsi="宋体"/>
          <w:highlight w:val="yellow"/>
        </w:rPr>
      </w:pPr>
      <w:r>
        <w:rPr>
          <w:rFonts w:hint="eastAsia" w:ascii="宋体" w:hAnsi="宋体"/>
          <w:lang w:val="en-US" w:eastAsia="zh-CN"/>
        </w:rPr>
        <w:t>5</w:t>
      </w:r>
      <w:r>
        <w:rPr>
          <w:rFonts w:hint="eastAsia" w:ascii="宋体" w:hAnsi="宋体"/>
        </w:rPr>
        <w:t>、</w:t>
      </w:r>
      <w:r>
        <w:rPr>
          <w:rFonts w:hint="eastAsia" w:ascii="宋体" w:hAnsi="宋体" w:eastAsia="宋体" w:cs="宋体"/>
          <w:b w:val="0"/>
          <w:bCs w:val="0"/>
          <w:sz w:val="21"/>
          <w:szCs w:val="21"/>
          <w:highlight w:val="none"/>
          <w:lang w:val="en-US" w:eastAsia="zh-CN"/>
        </w:rPr>
        <w:t>项目服务人员男性年龄不超过60岁，女性不超过55岁，其中男性占总人数的50%以上，登山道保洁人员需为男性。绿化工人需熟练掌握修剪机、高压喷雾机、高枝油锯等绿化机械设备。</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lang w:val="en-US" w:eastAsia="zh-CN"/>
        </w:rPr>
        <w:t>6</w:t>
      </w:r>
      <w:r>
        <w:rPr>
          <w:rFonts w:hint="eastAsia" w:ascii="宋体" w:hAnsi="宋体"/>
        </w:rPr>
        <w:t>、</w:t>
      </w:r>
      <w:r>
        <w:rPr>
          <w:rFonts w:ascii="宋体" w:hAnsi="宋体"/>
        </w:rPr>
        <w:t>乙方须为员工购买赔付额不低于深圳人身意外伤亡赔付标准的人身意外商业保险，并负责办理社会保险和商业保险的理赔手续和发放保险金，因乙方购买赔付标准低或国家赔付标准提高，赔付不足部分等相关一切赔付事宜，乙方须无条件全面负责。投保费用由乙方负责支付，不得从员工工资中扣除。</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lang w:val="en-US" w:eastAsia="zh-CN"/>
        </w:rPr>
        <w:t>7</w:t>
      </w:r>
      <w:r>
        <w:rPr>
          <w:rFonts w:hint="eastAsia" w:ascii="宋体" w:hAnsi="宋体"/>
        </w:rPr>
        <w:t>、</w:t>
      </w:r>
      <w:r>
        <w:rPr>
          <w:rFonts w:ascii="宋体" w:hAnsi="宋体"/>
        </w:rPr>
        <w:t>乙方的养护人员非甲方员工，其不得对外宣称与甲方存在任何雇佣、代理、劳动关系等，如有发现所有责任由乙方承担，造成甲方损失的乙方应承担全部损失。</w:t>
      </w:r>
    </w:p>
    <w:p>
      <w:pPr>
        <w:pStyle w:val="19"/>
        <w:keepNext w:val="0"/>
        <w:keepLines w:val="0"/>
        <w:pageBreakBefore w:val="0"/>
        <w:widowControl w:val="0"/>
        <w:kinsoku/>
        <w:wordWrap/>
        <w:overflowPunct/>
        <w:topLinePunct w:val="0"/>
        <w:bidi w:val="0"/>
        <w:spacing w:line="312" w:lineRule="auto"/>
        <w:ind w:firstLine="424" w:firstLineChars="202"/>
        <w:textAlignment w:val="auto"/>
        <w:rPr>
          <w:rFonts w:ascii="宋体" w:hAnsi="宋体"/>
        </w:rPr>
      </w:pPr>
      <w:r>
        <w:rPr>
          <w:rFonts w:hint="eastAsia" w:ascii="宋体" w:hAnsi="宋体"/>
          <w:lang w:val="en-US" w:eastAsia="zh-CN"/>
        </w:rPr>
        <w:t>8</w:t>
      </w:r>
      <w:r>
        <w:rPr>
          <w:rFonts w:hint="eastAsia" w:ascii="宋体" w:hAnsi="宋体"/>
        </w:rPr>
        <w:t>、员工劳动保障要求：</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rPr>
        <w:t>（1）</w:t>
      </w:r>
      <w:r>
        <w:rPr>
          <w:rFonts w:ascii="宋体" w:hAnsi="宋体"/>
        </w:rPr>
        <w:t>乙方必须与员工签订书面合同。</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rPr>
        <w:t>（2）</w:t>
      </w:r>
      <w:r>
        <w:rPr>
          <w:rFonts w:ascii="宋体" w:hAnsi="宋体"/>
        </w:rPr>
        <w:t>乙方支付员工工资不能低于当年深圳市人均最低工资标准。</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rPr>
        <w:t>（</w:t>
      </w:r>
      <w:r>
        <w:rPr>
          <w:rFonts w:ascii="宋体" w:hAnsi="宋体"/>
        </w:rPr>
        <w:t>3</w:t>
      </w:r>
      <w:r>
        <w:rPr>
          <w:rFonts w:hint="eastAsia" w:ascii="宋体" w:hAnsi="宋体"/>
        </w:rPr>
        <w:t>）</w:t>
      </w:r>
      <w:r>
        <w:rPr>
          <w:rFonts w:ascii="宋体" w:hAnsi="宋体"/>
        </w:rPr>
        <w:t>乙方必须按</w:t>
      </w:r>
      <w:r>
        <w:rPr>
          <w:rFonts w:hint="eastAsia" w:ascii="宋体" w:hAnsi="宋体"/>
        </w:rPr>
        <w:t>法律法规</w:t>
      </w:r>
      <w:r>
        <w:rPr>
          <w:rFonts w:ascii="宋体" w:hAnsi="宋体"/>
        </w:rPr>
        <w:t>员工购买养老保险、医疗保险、工伤保险、失业保险等保险。</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rPr>
        <w:t>（4）</w:t>
      </w:r>
      <w:r>
        <w:rPr>
          <w:rFonts w:ascii="宋体" w:hAnsi="宋体"/>
        </w:rPr>
        <w:t>乙方必须保障员工正常休息时间</w:t>
      </w:r>
      <w:r>
        <w:rPr>
          <w:rFonts w:hint="eastAsia" w:ascii="宋体" w:hAnsi="宋体"/>
        </w:rPr>
        <w:t>。</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rPr>
        <w:t>（5）</w:t>
      </w:r>
      <w:r>
        <w:rPr>
          <w:rFonts w:ascii="宋体" w:hAnsi="宋体"/>
        </w:rPr>
        <w:t>乙方须在</w:t>
      </w:r>
      <w:r>
        <w:rPr>
          <w:rFonts w:hint="eastAsia" w:ascii="宋体" w:hAnsi="宋体"/>
        </w:rPr>
        <w:t>政府政策规定时间内</w:t>
      </w:r>
      <w:r>
        <w:rPr>
          <w:rFonts w:ascii="宋体" w:hAnsi="宋体"/>
        </w:rPr>
        <w:t>发放工作人员的的工资。</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rPr>
        <w:t>（6）乙方对其养护人员进行全方位培训，同时在作业中做好相关安全措施和安全保障，确保安全养护。</w:t>
      </w:r>
      <w:bookmarkStart w:id="4" w:name="_Hlk116651278"/>
    </w:p>
    <w:bookmarkEnd w:id="4"/>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lang w:val="en-US" w:eastAsia="zh-CN"/>
        </w:rPr>
        <w:t>9</w:t>
      </w:r>
      <w:r>
        <w:rPr>
          <w:rFonts w:hint="eastAsia" w:ascii="宋体" w:hAnsi="宋体"/>
        </w:rPr>
        <w:t>、</w:t>
      </w:r>
      <w:r>
        <w:rPr>
          <w:rFonts w:ascii="宋体" w:hAnsi="宋体"/>
        </w:rPr>
        <w:t>人员上岗</w:t>
      </w:r>
      <w:r>
        <w:rPr>
          <w:rFonts w:hint="eastAsia" w:ascii="宋体" w:hAnsi="宋体"/>
        </w:rPr>
        <w:t>时间</w:t>
      </w:r>
      <w:r>
        <w:rPr>
          <w:rFonts w:ascii="宋体" w:hAnsi="宋体"/>
        </w:rPr>
        <w:t>要求</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rPr>
        <w:t>（1）</w:t>
      </w:r>
      <w:r>
        <w:rPr>
          <w:rFonts w:ascii="宋体" w:hAnsi="宋体"/>
        </w:rPr>
        <w:t>工作日要求在岗人员不低于</w:t>
      </w:r>
      <w:r>
        <w:rPr>
          <w:rFonts w:hint="eastAsia" w:ascii="宋体" w:hAnsi="宋体"/>
        </w:rPr>
        <w:t>合同</w:t>
      </w:r>
      <w:r>
        <w:rPr>
          <w:rFonts w:ascii="宋体" w:hAnsi="宋体"/>
        </w:rPr>
        <w:t>要求的人员数量的85%。</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rPr>
        <w:t>（2）保洁工调休应安排在周一至周五，周末及节假日不安排调休。绿化工调休应安排在周末及节假日。</w:t>
      </w:r>
    </w:p>
    <w:p>
      <w:pPr>
        <w:pStyle w:val="19"/>
        <w:keepNext w:val="0"/>
        <w:keepLines w:val="0"/>
        <w:pageBreakBefore w:val="0"/>
        <w:widowControl w:val="0"/>
        <w:kinsoku/>
        <w:wordWrap/>
        <w:overflowPunct/>
        <w:topLinePunct w:val="0"/>
        <w:bidi w:val="0"/>
        <w:spacing w:line="312" w:lineRule="auto"/>
        <w:textAlignment w:val="auto"/>
        <w:rPr>
          <w:rFonts w:ascii="宋体" w:hAnsi="宋体"/>
          <w:highlight w:val="yellow"/>
        </w:rPr>
      </w:pPr>
      <w:r>
        <w:rPr>
          <w:rFonts w:hint="eastAsia" w:ascii="宋体" w:hAnsi="宋体"/>
        </w:rPr>
        <w:t>（3）</w:t>
      </w:r>
      <w:r>
        <w:rPr>
          <w:rFonts w:ascii="宋体" w:hAnsi="宋体"/>
        </w:rPr>
        <w:t>每年元旦节（1天）、春节（7天）、五一节（3天）、国庆节（7天）和中秋节（1天）共19天假期期间要求保洁人员全员上岗，绿化工75%转为保洁岗。</w:t>
      </w:r>
      <w:r>
        <w:rPr>
          <w:rFonts w:hint="eastAsia" w:ascii="宋体" w:hAnsi="宋体"/>
        </w:rPr>
        <w:t>每年9月至次年3月的登山高峰期周末，</w:t>
      </w:r>
      <w:r>
        <w:rPr>
          <w:rFonts w:ascii="宋体" w:hAnsi="宋体"/>
        </w:rPr>
        <w:t>要求保洁人员全员上岗，绿化工</w:t>
      </w:r>
      <w:r>
        <w:rPr>
          <w:rFonts w:hint="eastAsia" w:ascii="宋体" w:hAnsi="宋体"/>
        </w:rPr>
        <w:t>根据实际需要</w:t>
      </w:r>
      <w:r>
        <w:rPr>
          <w:rFonts w:ascii="宋体" w:hAnsi="宋体"/>
        </w:rPr>
        <w:t>转为保洁岗。</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rPr>
        <w:t>（4）</w:t>
      </w:r>
      <w:r>
        <w:rPr>
          <w:rFonts w:ascii="宋体" w:hAnsi="宋体"/>
        </w:rPr>
        <w:t>甲方按实际工作的需要有权利对具体上岗</w:t>
      </w:r>
      <w:r>
        <w:rPr>
          <w:rFonts w:hint="eastAsia" w:ascii="宋体" w:hAnsi="宋体"/>
        </w:rPr>
        <w:t>人数</w:t>
      </w:r>
      <w:r>
        <w:rPr>
          <w:rFonts w:ascii="宋体" w:hAnsi="宋体"/>
        </w:rPr>
        <w:t>予以调整。</w:t>
      </w:r>
    </w:p>
    <w:p>
      <w:pPr>
        <w:pStyle w:val="19"/>
        <w:keepNext w:val="0"/>
        <w:keepLines w:val="0"/>
        <w:pageBreakBefore w:val="0"/>
        <w:widowControl w:val="0"/>
        <w:kinsoku/>
        <w:wordWrap/>
        <w:overflowPunct/>
        <w:topLinePunct w:val="0"/>
        <w:bidi w:val="0"/>
        <w:spacing w:line="312" w:lineRule="auto"/>
        <w:ind w:firstLine="422"/>
        <w:textAlignment w:val="auto"/>
        <w:rPr>
          <w:rFonts w:ascii="宋体" w:hAnsi="宋体"/>
          <w:b/>
          <w:bCs/>
        </w:rPr>
      </w:pPr>
      <w:r>
        <w:rPr>
          <w:rFonts w:hint="eastAsia" w:ascii="宋体" w:hAnsi="宋体"/>
          <w:b/>
          <w:bCs/>
        </w:rPr>
        <w:t>（五）</w:t>
      </w:r>
      <w:r>
        <w:rPr>
          <w:rFonts w:ascii="宋体" w:hAnsi="宋体"/>
          <w:b/>
          <w:bCs/>
        </w:rPr>
        <w:t>规范化作业要求</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rPr>
        <w:t>1、</w:t>
      </w:r>
      <w:r>
        <w:rPr>
          <w:rFonts w:ascii="宋体" w:hAnsi="宋体"/>
        </w:rPr>
        <w:t>全部上岗人员，</w:t>
      </w:r>
      <w:r>
        <w:rPr>
          <w:rFonts w:hint="eastAsia" w:ascii="宋体" w:hAnsi="宋体"/>
        </w:rPr>
        <w:t>须</w:t>
      </w:r>
      <w:r>
        <w:rPr>
          <w:rFonts w:ascii="宋体" w:hAnsi="宋体"/>
        </w:rPr>
        <w:t>统一服装上岗（乙方服装需制作样板，经甲方同意后再定做），着装整齐。衣服套数至少4套，夏秋薄款长袖2套，冬春厚款长袖2套，如实际需要则按要求补充和发放。</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ascii="宋体" w:hAnsi="宋体"/>
        </w:rPr>
        <w:t>2</w:t>
      </w:r>
      <w:r>
        <w:rPr>
          <w:rFonts w:hint="eastAsia" w:ascii="宋体" w:hAnsi="宋体"/>
        </w:rPr>
        <w:t>、</w:t>
      </w:r>
      <w:r>
        <w:rPr>
          <w:rFonts w:ascii="宋体" w:hAnsi="宋体"/>
        </w:rPr>
        <w:t>要求在路面作业应符合《道路交通标志和标线》、《道路作业交通安全标志》、深圳市《占道作业交通管理设施设置技术指引》及其它交通管理部门关于安全文明施工的规定，按要求设置警示标志，配备专职安全员。</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rPr>
        <w:t>3、</w:t>
      </w:r>
      <w:r>
        <w:rPr>
          <w:rFonts w:ascii="宋体" w:hAnsi="宋体"/>
        </w:rPr>
        <w:t>要求在绿地上作业的人员全部需穿着统一的工作服，路面作业</w:t>
      </w:r>
      <w:r>
        <w:rPr>
          <w:rFonts w:hint="eastAsia" w:ascii="宋体" w:hAnsi="宋体"/>
        </w:rPr>
        <w:t>、高空作业、</w:t>
      </w:r>
      <w:r>
        <w:rPr>
          <w:rFonts w:ascii="宋体" w:hAnsi="宋体"/>
        </w:rPr>
        <w:t>乔木修剪的人员</w:t>
      </w:r>
      <w:r>
        <w:rPr>
          <w:rFonts w:hint="eastAsia" w:ascii="宋体" w:hAnsi="宋体"/>
        </w:rPr>
        <w:t>按照规范穿戴反光衣、安全帽、手套等防护用具</w:t>
      </w:r>
      <w:r>
        <w:rPr>
          <w:rFonts w:ascii="宋体" w:hAnsi="宋体"/>
        </w:rPr>
        <w:t>。绿化管理单位必须制定各岗位安全明白卡，对员工进行安全培训后，才可上岗。</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rPr>
        <w:t>4、</w:t>
      </w:r>
      <w:r>
        <w:rPr>
          <w:rFonts w:ascii="宋体" w:hAnsi="宋体"/>
        </w:rPr>
        <w:t>使用农药和危险机具时应采取相应措施以确保工作人员的周边人员的安全。在影响景观或市民生活的工作场地作业时应设围挡和温馨提示牌；对绿地上的安全隐患必须马上设警示标识，随后必须及时消除隐患；绿地上所有事故的损失，均由乙方承担经济赔偿责任。</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rPr>
        <w:t>5、</w:t>
      </w:r>
      <w:r>
        <w:rPr>
          <w:rFonts w:ascii="宋体" w:hAnsi="宋体"/>
        </w:rPr>
        <w:t>绿化养护作业时必须规范、文明、有序。要求绿化养护员工与市民沟通时应态度和蔼、言辞尊重。绿化作业车不得出现沿途跑、冒、滴、漏垃圾及污水的现象；任何情况下泥土均不得冲出路面；水车浇水时不得洒到行人。</w:t>
      </w:r>
    </w:p>
    <w:p>
      <w:pPr>
        <w:pStyle w:val="19"/>
        <w:keepNext w:val="0"/>
        <w:keepLines w:val="0"/>
        <w:pageBreakBefore w:val="0"/>
        <w:widowControl w:val="0"/>
        <w:kinsoku/>
        <w:wordWrap/>
        <w:overflowPunct/>
        <w:topLinePunct w:val="0"/>
        <w:bidi w:val="0"/>
        <w:spacing w:line="312" w:lineRule="auto"/>
        <w:ind w:firstLine="422"/>
        <w:textAlignment w:val="auto"/>
        <w:rPr>
          <w:rFonts w:ascii="宋体" w:hAnsi="宋体"/>
        </w:rPr>
      </w:pPr>
      <w:r>
        <w:rPr>
          <w:rFonts w:hint="eastAsia" w:ascii="宋体" w:hAnsi="宋体"/>
          <w:b/>
        </w:rPr>
        <w:t>（六）</w:t>
      </w:r>
      <w:r>
        <w:rPr>
          <w:rFonts w:ascii="宋体" w:hAnsi="宋体"/>
          <w:b/>
        </w:rPr>
        <w:t>机械设备配备要求</w:t>
      </w:r>
    </w:p>
    <w:p>
      <w:pPr>
        <w:pStyle w:val="19"/>
        <w:keepNext w:val="0"/>
        <w:keepLines w:val="0"/>
        <w:pageBreakBefore w:val="0"/>
        <w:widowControl w:val="0"/>
        <w:kinsoku/>
        <w:wordWrap/>
        <w:overflowPunct/>
        <w:topLinePunct w:val="0"/>
        <w:bidi w:val="0"/>
        <w:spacing w:line="312" w:lineRule="auto"/>
        <w:textAlignment w:val="auto"/>
        <w:rPr>
          <w:rFonts w:hint="eastAsia" w:ascii="宋体" w:hAnsi="宋体"/>
        </w:rPr>
      </w:pPr>
      <w:r>
        <w:rPr>
          <w:rFonts w:hint="eastAsia" w:ascii="宋体" w:hAnsi="宋体"/>
          <w:lang w:val="en-US" w:eastAsia="zh-CN"/>
        </w:rPr>
        <w:t>1、</w:t>
      </w:r>
      <w:r>
        <w:rPr>
          <w:rFonts w:hint="eastAsia" w:ascii="宋体" w:hAnsi="宋体"/>
        </w:rPr>
        <w:t>保洁工需配备专用工具车，用于临时放置扫把、抹布和水桶等保洁工具，需随时保证其完好和整洁；</w:t>
      </w:r>
    </w:p>
    <w:p>
      <w:pPr>
        <w:pStyle w:val="19"/>
        <w:keepNext w:val="0"/>
        <w:keepLines w:val="0"/>
        <w:pageBreakBefore w:val="0"/>
        <w:widowControl w:val="0"/>
        <w:kinsoku/>
        <w:wordWrap/>
        <w:overflowPunct/>
        <w:topLinePunct w:val="0"/>
        <w:bidi w:val="0"/>
        <w:spacing w:line="312" w:lineRule="auto"/>
        <w:textAlignment w:val="auto"/>
        <w:rPr>
          <w:rFonts w:hint="eastAsia" w:ascii="宋体" w:hAnsi="宋体"/>
        </w:rPr>
      </w:pPr>
      <w:r>
        <w:rPr>
          <w:rFonts w:hint="eastAsia" w:ascii="宋体" w:hAnsi="宋体"/>
          <w:lang w:val="en-US" w:eastAsia="zh-CN"/>
        </w:rPr>
        <w:t>2、</w:t>
      </w:r>
      <w:r>
        <w:rPr>
          <w:rFonts w:hint="eastAsia" w:ascii="宋体" w:hAnsi="宋体"/>
        </w:rPr>
        <w:t>绿地养护需要的机械设备：1.4吨或以上货车一辆或以上，1.4吨或以上洒水车一辆、电动环卫保洁车2辆（样式需经甲方认可），最大作业高度15米以上的高空修剪作业车1辆。高杆油锯机3台、草地打孔机1台、草坪修剪机2台、绿篱修剪机4台、油锯5台、割草机3台、吹叶机2台、高压喷雾器2台、高压清洗车2台等，油料由</w:t>
      </w:r>
      <w:r>
        <w:rPr>
          <w:rFonts w:hint="eastAsia" w:ascii="宋体" w:hAnsi="宋体"/>
          <w:lang w:eastAsia="zh-CN"/>
        </w:rPr>
        <w:t>乙方</w:t>
      </w:r>
      <w:r>
        <w:rPr>
          <w:rFonts w:hint="eastAsia" w:ascii="宋体" w:hAnsi="宋体"/>
        </w:rPr>
        <w:t>提供。所有机械车辆需喷绘地质自然公园标志并经</w:t>
      </w:r>
      <w:r>
        <w:rPr>
          <w:rFonts w:hint="eastAsia" w:ascii="宋体" w:hAnsi="宋体"/>
          <w:lang w:eastAsia="zh-CN"/>
        </w:rPr>
        <w:t>甲方</w:t>
      </w:r>
      <w:r>
        <w:rPr>
          <w:rFonts w:hint="eastAsia" w:ascii="宋体" w:hAnsi="宋体"/>
        </w:rPr>
        <w:t>认可。</w:t>
      </w:r>
    </w:p>
    <w:p>
      <w:pPr>
        <w:pStyle w:val="19"/>
        <w:keepNext w:val="0"/>
        <w:keepLines w:val="0"/>
        <w:pageBreakBefore w:val="0"/>
        <w:widowControl w:val="0"/>
        <w:kinsoku/>
        <w:wordWrap/>
        <w:overflowPunct/>
        <w:topLinePunct w:val="0"/>
        <w:bidi w:val="0"/>
        <w:spacing w:line="312" w:lineRule="auto"/>
        <w:textAlignment w:val="auto"/>
        <w:rPr>
          <w:rFonts w:hint="eastAsia" w:ascii="宋体" w:hAnsi="宋体"/>
        </w:rPr>
      </w:pPr>
      <w:r>
        <w:rPr>
          <w:rFonts w:hint="eastAsia" w:ascii="宋体" w:hAnsi="宋体"/>
          <w:lang w:val="en-US" w:eastAsia="zh-CN"/>
        </w:rPr>
        <w:t>3、</w:t>
      </w:r>
      <w:r>
        <w:rPr>
          <w:rFonts w:hint="eastAsia" w:ascii="宋体" w:hAnsi="宋体"/>
        </w:rPr>
        <w:t>除四害及防白蚁需要的机械设备（包含但不限于）：烟雾机一台、背负式机动喷雾器二台。</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lang w:val="en-US" w:eastAsia="zh-CN"/>
        </w:rPr>
        <w:t>4、</w:t>
      </w:r>
      <w:r>
        <w:rPr>
          <w:rFonts w:hint="eastAsia" w:ascii="宋体" w:hAnsi="宋体"/>
        </w:rPr>
        <w:t>管理用车：1台5年内购买的7座及以上管理车辆。证件齐全，</w:t>
      </w:r>
      <w:r>
        <w:rPr>
          <w:rFonts w:hint="eastAsia" w:ascii="宋体" w:hAnsi="宋体"/>
          <w:lang w:eastAsia="zh-CN"/>
        </w:rPr>
        <w:t>乙方</w:t>
      </w:r>
      <w:r>
        <w:rPr>
          <w:rFonts w:hint="eastAsia" w:ascii="宋体" w:hAnsi="宋体"/>
        </w:rPr>
        <w:t>须购买相关商业险，第三者责任险保额不少于200万的标准，车辆所需租赁费或购置费、保险、养路、保养费、维修费等由</w:t>
      </w:r>
      <w:r>
        <w:rPr>
          <w:rFonts w:hint="eastAsia" w:ascii="宋体" w:hAnsi="宋体"/>
          <w:lang w:eastAsia="zh-CN"/>
        </w:rPr>
        <w:t>乙方</w:t>
      </w:r>
      <w:r>
        <w:rPr>
          <w:rFonts w:hint="eastAsia" w:ascii="宋体" w:hAnsi="宋体"/>
        </w:rPr>
        <w:t>承担。每月配至少3000元的车辆使用费，包含油费、充电费、停车费、过路费等。由于深圳市道路交通进行外地车辆限行，且部分项目服务区域为山地，所以上述车辆需能满足项目服务需要。</w:t>
      </w:r>
    </w:p>
    <w:p>
      <w:pPr>
        <w:pStyle w:val="19"/>
        <w:keepNext w:val="0"/>
        <w:keepLines w:val="0"/>
        <w:pageBreakBefore w:val="0"/>
        <w:widowControl w:val="0"/>
        <w:kinsoku/>
        <w:wordWrap/>
        <w:overflowPunct/>
        <w:topLinePunct w:val="0"/>
        <w:bidi w:val="0"/>
        <w:spacing w:line="312" w:lineRule="auto"/>
        <w:ind w:firstLine="422"/>
        <w:textAlignment w:val="auto"/>
        <w:rPr>
          <w:rFonts w:ascii="宋体" w:hAnsi="宋体"/>
          <w:szCs w:val="21"/>
        </w:rPr>
      </w:pPr>
      <w:r>
        <w:rPr>
          <w:rFonts w:hint="eastAsia" w:ascii="宋体" w:hAnsi="宋体"/>
          <w:b/>
          <w:bCs/>
          <w:szCs w:val="21"/>
        </w:rPr>
        <w:t>（七）</w:t>
      </w:r>
      <w:r>
        <w:rPr>
          <w:rFonts w:ascii="宋体" w:hAnsi="宋体"/>
          <w:b/>
          <w:bCs/>
          <w:szCs w:val="21"/>
        </w:rPr>
        <w:t>安全要求</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rPr>
        <w:t>1、乙方应每天对管养范围（包括在绿地内的所有设施，如护树桩、围栏、取水器、垃圾箱、园凳等）进行全面检查，发现安全隐患及时汇报并处理。如倒树、断枝坠落、地陷、硬质铺装松动、台阶石头松动，围栏破损等，需及时处理并用警示围栏隔开直至修理完毕。台风来前，乙方需根据实际对园区树木树冠进行修剪。</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lang w:val="en-US" w:eastAsia="zh-CN"/>
        </w:rPr>
        <w:t>2、乙方应制定应急抢险工作预案、组织一支10人以上的应急分队，在紧急抢险时必须</w:t>
      </w:r>
      <w:r>
        <w:rPr>
          <w:rFonts w:hint="eastAsia" w:ascii="宋体" w:hAnsi="宋体"/>
        </w:rPr>
        <w:t>在指定时间内到达指定地点。</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rPr>
        <w:t>3、乙方需制定有效的安全管理方案，定期对岗位工人进行培训。</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rPr>
        <w:t>4、乙方对水车、货车等养护中所用车辆有正常维护和保养的责任，并做好必要的防护措施。</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rPr>
        <w:t>5、乙方现场工作人员需定期向甲方反映公共设施、设备的完好状况，制止游客在绿地上的不文明行为。如发现安全隐患及可疑人员，应及时通知甲方工作人员。</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rPr>
        <w:t>6、因乙方原因造成的安全事故，乙方负全部经济和法律责任，甲方不承担任何责任。</w:t>
      </w:r>
    </w:p>
    <w:p>
      <w:pPr>
        <w:pStyle w:val="19"/>
        <w:keepNext w:val="0"/>
        <w:keepLines w:val="0"/>
        <w:pageBreakBefore w:val="0"/>
        <w:widowControl w:val="0"/>
        <w:kinsoku/>
        <w:wordWrap/>
        <w:overflowPunct/>
        <w:topLinePunct w:val="0"/>
        <w:bidi w:val="0"/>
        <w:spacing w:line="312" w:lineRule="auto"/>
        <w:textAlignment w:val="auto"/>
        <w:rPr>
          <w:rFonts w:ascii="宋体" w:hAnsi="宋体"/>
        </w:rPr>
      </w:pPr>
      <w:r>
        <w:rPr>
          <w:rFonts w:hint="eastAsia" w:ascii="宋体" w:hAnsi="宋体"/>
        </w:rPr>
        <w:t>7、乙方应严格按照甲方相关规定做好各项工作，包括签订《安全生产责任书》、《林业安全生产承诺书》等，落实安全生产主体责任，发生的任何安全生产事故、事件须由乙方全部承担，并严格按照《深圳市生产经营单位安全生产主体责任规定》落实相关工作，同时做好相应的台账建设。</w:t>
      </w:r>
    </w:p>
    <w:p>
      <w:pPr>
        <w:keepNext w:val="0"/>
        <w:keepLines w:val="0"/>
        <w:pageBreakBefore w:val="0"/>
        <w:widowControl w:val="0"/>
        <w:kinsoku/>
        <w:wordWrap/>
        <w:overflowPunct/>
        <w:topLinePunct w:val="0"/>
        <w:bidi w:val="0"/>
        <w:adjustRightInd w:val="0"/>
        <w:snapToGrid w:val="0"/>
        <w:spacing w:line="312" w:lineRule="auto"/>
        <w:ind w:firstLine="422" w:firstLineChars="200"/>
        <w:jc w:val="left"/>
        <w:textAlignment w:val="auto"/>
        <w:rPr>
          <w:b/>
        </w:rPr>
      </w:pPr>
      <w:r>
        <w:rPr>
          <w:rFonts w:hint="eastAsia"/>
          <w:b/>
        </w:rPr>
        <w:t>（八）其它要求</w:t>
      </w:r>
    </w:p>
    <w:p>
      <w:pPr>
        <w:keepNext w:val="0"/>
        <w:keepLines w:val="0"/>
        <w:pageBreakBefore w:val="0"/>
        <w:widowControl w:val="0"/>
        <w:kinsoku/>
        <w:wordWrap/>
        <w:overflowPunct/>
        <w:topLinePunct w:val="0"/>
        <w:bidi w:val="0"/>
        <w:spacing w:line="312" w:lineRule="auto"/>
        <w:ind w:firstLine="420" w:firstLineChars="200"/>
        <w:textAlignment w:val="auto"/>
        <w:rPr>
          <w:rFonts w:ascii="宋体" w:hAnsi="宋体"/>
          <w:szCs w:val="28"/>
          <w:lang w:val="zh-CN"/>
        </w:rPr>
      </w:pPr>
      <w:r>
        <w:rPr>
          <w:rFonts w:hint="eastAsia" w:ascii="宋体" w:hAnsi="宋体"/>
        </w:rPr>
        <w:t>1、</w:t>
      </w:r>
      <w:r>
        <w:rPr>
          <w:rFonts w:hint="eastAsia" w:ascii="宋体" w:hAnsi="宋体"/>
          <w:szCs w:val="28"/>
          <w:lang w:val="zh-CN"/>
        </w:rPr>
        <w:t>乙方进场后一个月之内按绿地管养要求自行完成养护范围内存在问题（如缺株、人为破坏等）的治理，并防止新的人为破坏的产生。</w:t>
      </w:r>
    </w:p>
    <w:p>
      <w:pPr>
        <w:keepNext w:val="0"/>
        <w:keepLines w:val="0"/>
        <w:pageBreakBefore w:val="0"/>
        <w:widowControl w:val="0"/>
        <w:kinsoku/>
        <w:wordWrap/>
        <w:overflowPunct/>
        <w:topLinePunct w:val="0"/>
        <w:bidi w:val="0"/>
        <w:spacing w:line="312" w:lineRule="auto"/>
        <w:ind w:firstLine="420" w:firstLineChars="200"/>
        <w:textAlignment w:val="auto"/>
        <w:rPr>
          <w:rFonts w:ascii="宋体" w:hAnsi="宋体"/>
          <w:szCs w:val="21"/>
        </w:rPr>
      </w:pPr>
      <w:r>
        <w:rPr>
          <w:rFonts w:hint="eastAsia" w:ascii="宋体" w:hAnsi="宋体"/>
        </w:rPr>
        <w:t>2、</w:t>
      </w:r>
      <w:r>
        <w:rPr>
          <w:rFonts w:hint="eastAsia" w:ascii="宋体" w:hAnsi="宋体"/>
          <w:szCs w:val="21"/>
        </w:rPr>
        <w:t>防意外及修复工作：包括防台风、防汛、防寒等自然灾害及预防森林火灾等，以及人为破坏、盗窃、交通事故等对绿地造成损坏的，要及时清理并尽快修复。每年根据防台风需要和甲方要求，对树木进行支撑，包括护树桩、护树板、护树带、铁丝、护树杆等。</w:t>
      </w:r>
    </w:p>
    <w:p>
      <w:pPr>
        <w:keepNext w:val="0"/>
        <w:keepLines w:val="0"/>
        <w:pageBreakBefore w:val="0"/>
        <w:widowControl w:val="0"/>
        <w:kinsoku/>
        <w:wordWrap/>
        <w:overflowPunct/>
        <w:topLinePunct w:val="0"/>
        <w:bidi w:val="0"/>
        <w:spacing w:line="312" w:lineRule="auto"/>
        <w:ind w:firstLine="420" w:firstLineChars="200"/>
        <w:textAlignment w:val="auto"/>
        <w:rPr>
          <w:rFonts w:ascii="宋体" w:hAnsi="宋体"/>
          <w:szCs w:val="21"/>
        </w:rPr>
      </w:pPr>
      <w:r>
        <w:rPr>
          <w:rFonts w:hint="eastAsia" w:ascii="宋体" w:hAnsi="宋体"/>
        </w:rPr>
        <w:t>3、</w:t>
      </w:r>
      <w:r>
        <w:rPr>
          <w:rFonts w:hint="eastAsia" w:ascii="宋体" w:hAnsi="宋体"/>
          <w:szCs w:val="21"/>
        </w:rPr>
        <w:t>木构件每年应按原设计油漆一次，其余时间承包范围内有铁构件锈蚀涂料剥损或木构件油漆剥落现象，应按原设计重新油漆或粉刷。</w:t>
      </w:r>
    </w:p>
    <w:p>
      <w:pPr>
        <w:keepNext w:val="0"/>
        <w:keepLines w:val="0"/>
        <w:pageBreakBefore w:val="0"/>
        <w:widowControl w:val="0"/>
        <w:kinsoku/>
        <w:wordWrap/>
        <w:overflowPunct/>
        <w:topLinePunct w:val="0"/>
        <w:bidi w:val="0"/>
        <w:spacing w:line="312" w:lineRule="auto"/>
        <w:ind w:firstLine="420" w:firstLineChars="200"/>
        <w:textAlignment w:val="auto"/>
        <w:rPr>
          <w:rFonts w:ascii="宋体" w:hAnsi="宋体"/>
          <w:szCs w:val="21"/>
        </w:rPr>
      </w:pPr>
      <w:r>
        <w:rPr>
          <w:rFonts w:hint="eastAsia" w:ascii="宋体" w:hAnsi="宋体"/>
        </w:rPr>
        <w:t>4、</w:t>
      </w:r>
      <w:r>
        <w:rPr>
          <w:rFonts w:hint="eastAsia" w:ascii="宋体" w:hAnsi="宋体"/>
          <w:szCs w:val="21"/>
        </w:rPr>
        <w:t>乙方不得将项目分包或转包给任何单位或个人。否则，甲方有权立即终止合同，并要求乙方赔偿相关损失。</w:t>
      </w:r>
    </w:p>
    <w:p>
      <w:pPr>
        <w:keepNext w:val="0"/>
        <w:keepLines w:val="0"/>
        <w:pageBreakBefore w:val="0"/>
        <w:widowControl w:val="0"/>
        <w:kinsoku/>
        <w:wordWrap/>
        <w:overflowPunct/>
        <w:topLinePunct w:val="0"/>
        <w:autoSpaceDE w:val="0"/>
        <w:autoSpaceDN w:val="0"/>
        <w:bidi w:val="0"/>
        <w:adjustRightInd w:val="0"/>
        <w:spacing w:line="312" w:lineRule="auto"/>
        <w:ind w:firstLine="420" w:firstLineChars="200"/>
        <w:textAlignment w:val="auto"/>
        <w:rPr>
          <w:rFonts w:ascii="宋体" w:hAnsi="宋体"/>
          <w:szCs w:val="28"/>
          <w:lang w:val="zh-CN"/>
        </w:rPr>
      </w:pPr>
      <w:r>
        <w:rPr>
          <w:rFonts w:hint="eastAsia" w:ascii="宋体" w:hAnsi="宋体"/>
        </w:rPr>
        <w:t>5、</w:t>
      </w:r>
      <w:r>
        <w:rPr>
          <w:rFonts w:hint="eastAsia" w:ascii="宋体" w:hAnsi="宋体"/>
          <w:szCs w:val="21"/>
        </w:rPr>
        <w:t>乙方需服从甲方的管理，组织协调好管理养护工作，保证高质量完成管养工作。如有游客投诉绿化保洁等问题，乙方项目负责人须于第一时间在现场处理投诉，直至问题得到解决。</w:t>
      </w:r>
      <w:r>
        <w:rPr>
          <w:rFonts w:hint="eastAsia" w:ascii="宋体" w:hAnsi="宋体"/>
          <w:szCs w:val="28"/>
          <w:lang w:val="zh-CN"/>
        </w:rPr>
        <w:t>如有零星苗木及设施迁移、苗木培育、公园设施设备搬运及台风、暴雨等零星应急处理工作，乙方须无偿提供人员由甲方直接指挥完成相关工作。</w:t>
      </w:r>
    </w:p>
    <w:p>
      <w:pPr>
        <w:keepNext w:val="0"/>
        <w:keepLines w:val="0"/>
        <w:pageBreakBefore w:val="0"/>
        <w:widowControl w:val="0"/>
        <w:kinsoku/>
        <w:wordWrap/>
        <w:overflowPunct/>
        <w:topLinePunct w:val="0"/>
        <w:bidi w:val="0"/>
        <w:spacing w:line="312" w:lineRule="auto"/>
        <w:ind w:firstLine="420" w:firstLineChars="200"/>
        <w:jc w:val="left"/>
        <w:textAlignment w:val="auto"/>
        <w:rPr>
          <w:rFonts w:ascii="宋体" w:hAnsi="宋体"/>
          <w:highlight w:val="yellow"/>
        </w:rPr>
      </w:pPr>
      <w:r>
        <w:rPr>
          <w:rFonts w:ascii="宋体" w:hAnsi="宋体"/>
        </w:rPr>
        <w:t>6</w:t>
      </w:r>
      <w:r>
        <w:rPr>
          <w:rFonts w:hint="eastAsia" w:ascii="宋体" w:hAnsi="宋体"/>
        </w:rPr>
        <w:t>、</w:t>
      </w:r>
      <w:r>
        <w:rPr>
          <w:rFonts w:hint="eastAsia" w:ascii="宋体" w:hAnsi="宋体"/>
          <w:szCs w:val="21"/>
        </w:rPr>
        <w:t>苗木补植：为保证绿地及花箱、花坛、花境的景观效果，根据公园计划及要求进行补植苗木</w:t>
      </w:r>
      <w:r>
        <w:rPr>
          <w:rFonts w:ascii="宋体" w:hAnsi="宋体"/>
          <w:szCs w:val="21"/>
        </w:rPr>
        <w:t>。</w:t>
      </w:r>
      <w:r>
        <w:rPr>
          <w:rFonts w:hint="eastAsia" w:ascii="宋体" w:hAnsi="宋体"/>
        </w:rPr>
        <w:t>苗木补植仅为发生苗木费用，公园提出补苗方案，由乙方负责完成苗木采购及种植。</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szCs w:val="21"/>
        </w:rPr>
      </w:pPr>
      <w:r>
        <w:rPr>
          <w:rFonts w:ascii="宋体" w:hAnsi="宋体"/>
        </w:rPr>
        <w:t>7</w:t>
      </w:r>
      <w:r>
        <w:rPr>
          <w:rFonts w:hint="eastAsia" w:ascii="宋体" w:hAnsi="宋体"/>
        </w:rPr>
        <w:t>、</w:t>
      </w:r>
      <w:r>
        <w:rPr>
          <w:rFonts w:hint="eastAsia" w:ascii="宋体" w:hAnsi="宋体"/>
          <w:szCs w:val="21"/>
        </w:rPr>
        <w:t>在合同期内，因建设需要或甲方管理需要调整乙方管理绿化、保洁面积、调整绿地管养级别或减少工程量时，乙方要服从大局、相应减少承包面积及经费。由此造成的经济损失，甲方不负赔偿责任。</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szCs w:val="22"/>
          <w:highlight w:val="none"/>
          <w:lang w:val="en-US" w:eastAsia="zh-CN"/>
        </w:rPr>
      </w:pPr>
      <w:r>
        <w:rPr>
          <w:rFonts w:hint="eastAsia" w:ascii="宋体" w:hAnsi="宋体"/>
          <w:highlight w:val="none"/>
          <w:lang w:val="en-US" w:eastAsia="zh-CN"/>
        </w:rPr>
        <w:t>8、</w:t>
      </w:r>
      <w:r>
        <w:rPr>
          <w:rFonts w:hint="eastAsia" w:ascii="宋体" w:hAnsi="宋体"/>
          <w:szCs w:val="22"/>
          <w:highlight w:val="none"/>
          <w:lang w:val="en-US" w:eastAsia="zh-CN"/>
        </w:rPr>
        <w:t>服务费按照下表支付：</w:t>
      </w:r>
    </w:p>
    <w:p>
      <w:pPr>
        <w:pStyle w:val="2"/>
        <w:rPr>
          <w:rFonts w:hint="eastAsia"/>
          <w:lang w:val="en-US" w:eastAsia="zh-CN"/>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2592"/>
        <w:gridCol w:w="1728"/>
        <w:gridCol w:w="25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Align w:val="center"/>
          </w:tcPr>
          <w:p>
            <w:pPr>
              <w:pStyle w:val="11"/>
              <w:keepNext w:val="0"/>
              <w:keepLines w:val="0"/>
              <w:pageBreakBefore w:val="0"/>
              <w:widowControl w:val="0"/>
              <w:kinsoku/>
              <w:wordWrap/>
              <w:overflowPunct/>
              <w:topLinePunct w:val="0"/>
              <w:autoSpaceDE/>
              <w:autoSpaceDN/>
              <w:bidi w:val="0"/>
              <w:adjustRightInd/>
              <w:snapToGrid/>
              <w:spacing w:before="0" w:after="0" w:line="450" w:lineRule="exact"/>
              <w:jc w:val="center"/>
              <w:textAlignment w:val="auto"/>
              <w:rPr>
                <w:rFonts w:hint="default" w:ascii="宋体" w:hAnsi="宋体" w:eastAsia="宋体" w:cs="Times New Roman"/>
                <w:b/>
                <w:bCs/>
                <w:kern w:val="2"/>
                <w:sz w:val="21"/>
                <w:szCs w:val="22"/>
                <w:lang w:val="en-US" w:eastAsia="zh-CN" w:bidi="ar-SA"/>
              </w:rPr>
            </w:pPr>
            <w:r>
              <w:rPr>
                <w:rFonts w:hint="eastAsia" w:ascii="宋体" w:hAnsi="宋体" w:cs="Times New Roman"/>
                <w:b/>
                <w:bCs/>
                <w:kern w:val="2"/>
                <w:sz w:val="21"/>
                <w:szCs w:val="22"/>
                <w:lang w:val="en-US" w:eastAsia="zh-CN" w:bidi="ar-SA"/>
              </w:rPr>
              <w:t>月份</w:t>
            </w:r>
          </w:p>
        </w:tc>
        <w:tc>
          <w:tcPr>
            <w:tcW w:w="2592" w:type="dxa"/>
            <w:vAlign w:val="center"/>
          </w:tcPr>
          <w:p>
            <w:pPr>
              <w:pStyle w:val="11"/>
              <w:keepNext w:val="0"/>
              <w:keepLines w:val="0"/>
              <w:pageBreakBefore w:val="0"/>
              <w:widowControl w:val="0"/>
              <w:kinsoku/>
              <w:wordWrap/>
              <w:overflowPunct/>
              <w:topLinePunct w:val="0"/>
              <w:autoSpaceDE/>
              <w:autoSpaceDN/>
              <w:bidi w:val="0"/>
              <w:adjustRightInd/>
              <w:snapToGrid/>
              <w:spacing w:before="0" w:after="0" w:line="450" w:lineRule="exact"/>
              <w:jc w:val="center"/>
              <w:textAlignment w:val="auto"/>
              <w:rPr>
                <w:rFonts w:hint="default" w:ascii="宋体" w:hAnsi="宋体" w:cs="Times New Roman"/>
                <w:b/>
                <w:bCs/>
                <w:kern w:val="2"/>
                <w:sz w:val="21"/>
                <w:szCs w:val="22"/>
                <w:lang w:val="en-US" w:eastAsia="zh-CN" w:bidi="ar-SA"/>
              </w:rPr>
            </w:pPr>
            <w:r>
              <w:rPr>
                <w:rFonts w:hint="eastAsia" w:ascii="宋体" w:hAnsi="宋体" w:cs="Times New Roman"/>
                <w:b/>
                <w:bCs/>
                <w:kern w:val="2"/>
                <w:sz w:val="21"/>
                <w:szCs w:val="22"/>
                <w:lang w:val="en-US" w:eastAsia="zh-CN" w:bidi="ar-SA"/>
              </w:rPr>
              <w:t>金额</w:t>
            </w:r>
          </w:p>
        </w:tc>
        <w:tc>
          <w:tcPr>
            <w:tcW w:w="1728" w:type="dxa"/>
            <w:vAlign w:val="center"/>
          </w:tcPr>
          <w:p>
            <w:pPr>
              <w:pStyle w:val="11"/>
              <w:keepNext w:val="0"/>
              <w:keepLines w:val="0"/>
              <w:pageBreakBefore w:val="0"/>
              <w:widowControl w:val="0"/>
              <w:kinsoku/>
              <w:wordWrap/>
              <w:overflowPunct/>
              <w:topLinePunct w:val="0"/>
              <w:autoSpaceDE/>
              <w:autoSpaceDN/>
              <w:bidi w:val="0"/>
              <w:adjustRightInd/>
              <w:snapToGrid/>
              <w:spacing w:before="0" w:after="0" w:line="450" w:lineRule="exact"/>
              <w:jc w:val="center"/>
              <w:textAlignment w:val="auto"/>
              <w:rPr>
                <w:rFonts w:hint="default" w:ascii="宋体" w:hAnsi="宋体" w:cs="Times New Roman"/>
                <w:b/>
                <w:bCs/>
                <w:kern w:val="2"/>
                <w:sz w:val="21"/>
                <w:szCs w:val="22"/>
                <w:lang w:val="en-US" w:eastAsia="zh-CN" w:bidi="ar-SA"/>
              </w:rPr>
            </w:pPr>
            <w:r>
              <w:rPr>
                <w:rFonts w:hint="eastAsia" w:ascii="宋体" w:hAnsi="宋体" w:cs="Times New Roman"/>
                <w:b/>
                <w:bCs/>
                <w:kern w:val="2"/>
                <w:sz w:val="21"/>
                <w:szCs w:val="22"/>
                <w:lang w:val="en-US" w:eastAsia="zh-CN" w:bidi="ar-SA"/>
              </w:rPr>
              <w:t>月份</w:t>
            </w:r>
          </w:p>
        </w:tc>
        <w:tc>
          <w:tcPr>
            <w:tcW w:w="2534" w:type="dxa"/>
            <w:vAlign w:val="center"/>
          </w:tcPr>
          <w:p>
            <w:pPr>
              <w:pStyle w:val="11"/>
              <w:keepNext w:val="0"/>
              <w:keepLines w:val="0"/>
              <w:pageBreakBefore w:val="0"/>
              <w:widowControl w:val="0"/>
              <w:kinsoku/>
              <w:wordWrap/>
              <w:overflowPunct/>
              <w:topLinePunct w:val="0"/>
              <w:autoSpaceDE/>
              <w:autoSpaceDN/>
              <w:bidi w:val="0"/>
              <w:adjustRightInd/>
              <w:snapToGrid/>
              <w:spacing w:before="0" w:after="0" w:line="450" w:lineRule="exact"/>
              <w:jc w:val="center"/>
              <w:textAlignment w:val="auto"/>
              <w:rPr>
                <w:rFonts w:hint="default" w:ascii="宋体" w:hAnsi="宋体" w:cs="Times New Roman"/>
                <w:b/>
                <w:bCs/>
                <w:kern w:val="2"/>
                <w:sz w:val="21"/>
                <w:szCs w:val="22"/>
                <w:lang w:val="en-US" w:eastAsia="zh-CN" w:bidi="ar-SA"/>
              </w:rPr>
            </w:pPr>
            <w:r>
              <w:rPr>
                <w:rFonts w:hint="eastAsia" w:ascii="宋体" w:hAnsi="宋体" w:cs="Times New Roman"/>
                <w:b/>
                <w:bCs/>
                <w:kern w:val="2"/>
                <w:sz w:val="21"/>
                <w:szCs w:val="22"/>
                <w:lang w:val="en-US" w:eastAsia="zh-CN" w:bidi="ar-SA"/>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668" w:type="dxa"/>
            <w:vAlign w:val="center"/>
          </w:tcPr>
          <w:p>
            <w:pPr>
              <w:pStyle w:val="11"/>
              <w:keepNext w:val="0"/>
              <w:keepLines w:val="0"/>
              <w:pageBreakBefore w:val="0"/>
              <w:widowControl w:val="0"/>
              <w:kinsoku/>
              <w:wordWrap/>
              <w:overflowPunct/>
              <w:topLinePunct w:val="0"/>
              <w:autoSpaceDE/>
              <w:autoSpaceDN/>
              <w:bidi w:val="0"/>
              <w:adjustRightInd/>
              <w:snapToGrid/>
              <w:spacing w:before="0" w:after="0" w:line="450" w:lineRule="exact"/>
              <w:jc w:val="center"/>
              <w:textAlignment w:val="auto"/>
              <w:rPr>
                <w:rFonts w:hint="default" w:ascii="宋体" w:hAnsi="宋体" w:cs="Times New Roman"/>
                <w:b w:val="0"/>
                <w:bCs w:val="0"/>
                <w:kern w:val="2"/>
                <w:sz w:val="21"/>
                <w:szCs w:val="22"/>
                <w:lang w:val="en-US" w:eastAsia="zh-CN" w:bidi="ar-SA"/>
              </w:rPr>
            </w:pPr>
            <w:r>
              <w:rPr>
                <w:rFonts w:hint="eastAsia" w:ascii="宋体" w:hAnsi="宋体" w:cs="Times New Roman"/>
                <w:b w:val="0"/>
                <w:bCs w:val="0"/>
                <w:kern w:val="2"/>
                <w:sz w:val="21"/>
                <w:szCs w:val="22"/>
                <w:lang w:val="en-US" w:eastAsia="zh-CN" w:bidi="ar-SA"/>
              </w:rPr>
              <w:t>1月</w:t>
            </w:r>
          </w:p>
        </w:tc>
        <w:tc>
          <w:tcPr>
            <w:tcW w:w="2592" w:type="dxa"/>
            <w:vAlign w:val="center"/>
          </w:tcPr>
          <w:p>
            <w:pPr>
              <w:pStyle w:val="11"/>
              <w:keepNext w:val="0"/>
              <w:keepLines w:val="0"/>
              <w:pageBreakBefore w:val="0"/>
              <w:widowControl w:val="0"/>
              <w:kinsoku/>
              <w:wordWrap/>
              <w:overflowPunct/>
              <w:topLinePunct w:val="0"/>
              <w:autoSpaceDE/>
              <w:autoSpaceDN/>
              <w:bidi w:val="0"/>
              <w:adjustRightInd/>
              <w:snapToGrid/>
              <w:spacing w:before="0" w:after="0" w:line="450" w:lineRule="exact"/>
              <w:jc w:val="center"/>
              <w:textAlignment w:val="auto"/>
              <w:rPr>
                <w:rFonts w:hint="default" w:ascii="宋体" w:hAnsi="宋体" w:cs="Times New Roman"/>
                <w:b w:val="0"/>
                <w:bCs w:val="0"/>
                <w:kern w:val="2"/>
                <w:sz w:val="21"/>
                <w:szCs w:val="22"/>
                <w:lang w:val="en-US" w:eastAsia="zh-CN" w:bidi="ar-SA"/>
              </w:rPr>
            </w:pPr>
            <w:r>
              <w:rPr>
                <w:rFonts w:hint="eastAsia" w:ascii="宋体" w:hAnsi="宋体" w:cs="Times New Roman"/>
                <w:b w:val="0"/>
                <w:bCs w:val="0"/>
                <w:kern w:val="2"/>
                <w:sz w:val="21"/>
                <w:szCs w:val="22"/>
                <w:lang w:val="en-US" w:eastAsia="zh-CN" w:bidi="ar-SA"/>
              </w:rPr>
              <w:t>303140.00元</w:t>
            </w:r>
          </w:p>
        </w:tc>
        <w:tc>
          <w:tcPr>
            <w:tcW w:w="1728" w:type="dxa"/>
            <w:vAlign w:val="center"/>
          </w:tcPr>
          <w:p>
            <w:pPr>
              <w:pStyle w:val="11"/>
              <w:keepNext w:val="0"/>
              <w:keepLines w:val="0"/>
              <w:pageBreakBefore w:val="0"/>
              <w:widowControl w:val="0"/>
              <w:kinsoku/>
              <w:wordWrap/>
              <w:overflowPunct/>
              <w:topLinePunct w:val="0"/>
              <w:autoSpaceDE/>
              <w:autoSpaceDN/>
              <w:bidi w:val="0"/>
              <w:adjustRightInd/>
              <w:snapToGrid/>
              <w:spacing w:before="0" w:after="0" w:line="450" w:lineRule="exact"/>
              <w:jc w:val="center"/>
              <w:textAlignment w:val="auto"/>
              <w:rPr>
                <w:rFonts w:hint="default" w:ascii="宋体" w:hAnsi="宋体" w:cs="Times New Roman"/>
                <w:b w:val="0"/>
                <w:bCs w:val="0"/>
                <w:kern w:val="2"/>
                <w:sz w:val="21"/>
                <w:szCs w:val="22"/>
                <w:lang w:val="en-US" w:eastAsia="zh-CN" w:bidi="ar-SA"/>
              </w:rPr>
            </w:pPr>
            <w:r>
              <w:rPr>
                <w:rFonts w:hint="eastAsia" w:ascii="宋体" w:hAnsi="宋体" w:cs="Times New Roman"/>
                <w:b w:val="0"/>
                <w:bCs w:val="0"/>
                <w:kern w:val="2"/>
                <w:sz w:val="21"/>
                <w:szCs w:val="22"/>
                <w:lang w:val="en-US" w:eastAsia="zh-CN" w:bidi="ar-SA"/>
              </w:rPr>
              <w:t>7月</w:t>
            </w:r>
          </w:p>
        </w:tc>
        <w:tc>
          <w:tcPr>
            <w:tcW w:w="2534" w:type="dxa"/>
            <w:vAlign w:val="center"/>
          </w:tcPr>
          <w:p>
            <w:pPr>
              <w:pStyle w:val="11"/>
              <w:keepNext w:val="0"/>
              <w:keepLines w:val="0"/>
              <w:pageBreakBefore w:val="0"/>
              <w:widowControl w:val="0"/>
              <w:kinsoku/>
              <w:wordWrap/>
              <w:overflowPunct/>
              <w:topLinePunct w:val="0"/>
              <w:autoSpaceDE/>
              <w:autoSpaceDN/>
              <w:bidi w:val="0"/>
              <w:adjustRightInd/>
              <w:snapToGrid/>
              <w:spacing w:before="0" w:after="0" w:line="450" w:lineRule="exact"/>
              <w:jc w:val="center"/>
              <w:textAlignment w:val="auto"/>
              <w:rPr>
                <w:rFonts w:hint="default" w:ascii="宋体" w:hAnsi="宋体" w:cs="Times New Roman"/>
                <w:b w:val="0"/>
                <w:bCs w:val="0"/>
                <w:kern w:val="2"/>
                <w:sz w:val="21"/>
                <w:szCs w:val="22"/>
                <w:lang w:val="en-US" w:eastAsia="zh-CN" w:bidi="ar-SA"/>
              </w:rPr>
            </w:pPr>
            <w:r>
              <w:rPr>
                <w:rFonts w:hint="eastAsia" w:ascii="宋体" w:hAnsi="宋体" w:cs="Times New Roman"/>
                <w:b w:val="0"/>
                <w:bCs w:val="0"/>
                <w:kern w:val="2"/>
                <w:sz w:val="21"/>
                <w:szCs w:val="22"/>
                <w:lang w:val="en-US" w:eastAsia="zh-CN" w:bidi="ar-SA"/>
              </w:rPr>
              <w:t>303136.00元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668" w:type="dxa"/>
            <w:vAlign w:val="center"/>
          </w:tcPr>
          <w:p>
            <w:pPr>
              <w:pStyle w:val="11"/>
              <w:keepNext w:val="0"/>
              <w:keepLines w:val="0"/>
              <w:pageBreakBefore w:val="0"/>
              <w:widowControl w:val="0"/>
              <w:kinsoku/>
              <w:wordWrap/>
              <w:overflowPunct/>
              <w:topLinePunct w:val="0"/>
              <w:autoSpaceDE/>
              <w:autoSpaceDN/>
              <w:bidi w:val="0"/>
              <w:adjustRightInd/>
              <w:snapToGrid/>
              <w:spacing w:before="0" w:after="0" w:line="450" w:lineRule="exact"/>
              <w:jc w:val="center"/>
              <w:textAlignment w:val="auto"/>
              <w:rPr>
                <w:rFonts w:hint="default" w:ascii="宋体" w:hAnsi="宋体" w:cs="Times New Roman"/>
                <w:b w:val="0"/>
                <w:bCs w:val="0"/>
                <w:kern w:val="2"/>
                <w:sz w:val="21"/>
                <w:szCs w:val="22"/>
                <w:lang w:val="en-US" w:eastAsia="zh-CN" w:bidi="ar-SA"/>
              </w:rPr>
            </w:pPr>
            <w:r>
              <w:rPr>
                <w:rFonts w:hint="eastAsia" w:ascii="宋体" w:hAnsi="宋体" w:cs="Times New Roman"/>
                <w:b w:val="0"/>
                <w:bCs w:val="0"/>
                <w:kern w:val="2"/>
                <w:sz w:val="21"/>
                <w:szCs w:val="22"/>
                <w:lang w:val="en-US" w:eastAsia="zh-CN" w:bidi="ar-SA"/>
              </w:rPr>
              <w:t>3月</w:t>
            </w:r>
          </w:p>
        </w:tc>
        <w:tc>
          <w:tcPr>
            <w:tcW w:w="2592" w:type="dxa"/>
            <w:vAlign w:val="center"/>
          </w:tcPr>
          <w:p>
            <w:pPr>
              <w:pStyle w:val="11"/>
              <w:keepNext w:val="0"/>
              <w:keepLines w:val="0"/>
              <w:pageBreakBefore w:val="0"/>
              <w:widowControl w:val="0"/>
              <w:kinsoku/>
              <w:wordWrap/>
              <w:overflowPunct/>
              <w:topLinePunct w:val="0"/>
              <w:autoSpaceDE/>
              <w:autoSpaceDN/>
              <w:bidi w:val="0"/>
              <w:adjustRightInd/>
              <w:snapToGrid/>
              <w:spacing w:before="0" w:after="0" w:line="450" w:lineRule="exact"/>
              <w:jc w:val="center"/>
              <w:textAlignment w:val="auto"/>
              <w:rPr>
                <w:rFonts w:hint="default" w:ascii="宋体" w:hAnsi="宋体" w:cs="Times New Roman"/>
                <w:b w:val="0"/>
                <w:bCs w:val="0"/>
                <w:kern w:val="2"/>
                <w:sz w:val="21"/>
                <w:szCs w:val="22"/>
                <w:lang w:val="en-US" w:eastAsia="zh-CN" w:bidi="ar-SA"/>
              </w:rPr>
            </w:pPr>
            <w:r>
              <w:rPr>
                <w:rFonts w:hint="eastAsia" w:ascii="宋体" w:hAnsi="宋体" w:cs="Times New Roman"/>
                <w:b w:val="0"/>
                <w:bCs w:val="0"/>
                <w:kern w:val="2"/>
                <w:sz w:val="21"/>
                <w:szCs w:val="22"/>
                <w:lang w:val="en-US" w:eastAsia="zh-CN" w:bidi="ar-SA"/>
              </w:rPr>
              <w:t>303136.00元</w:t>
            </w:r>
          </w:p>
        </w:tc>
        <w:tc>
          <w:tcPr>
            <w:tcW w:w="1728" w:type="dxa"/>
            <w:vAlign w:val="center"/>
          </w:tcPr>
          <w:p>
            <w:pPr>
              <w:pStyle w:val="11"/>
              <w:keepNext w:val="0"/>
              <w:keepLines w:val="0"/>
              <w:pageBreakBefore w:val="0"/>
              <w:widowControl w:val="0"/>
              <w:kinsoku/>
              <w:wordWrap/>
              <w:overflowPunct/>
              <w:topLinePunct w:val="0"/>
              <w:autoSpaceDE/>
              <w:autoSpaceDN/>
              <w:bidi w:val="0"/>
              <w:adjustRightInd/>
              <w:snapToGrid/>
              <w:spacing w:before="0" w:after="0" w:line="450" w:lineRule="exact"/>
              <w:jc w:val="center"/>
              <w:textAlignment w:val="auto"/>
              <w:rPr>
                <w:rFonts w:hint="default" w:ascii="宋体" w:hAnsi="宋体" w:cs="Times New Roman"/>
                <w:b w:val="0"/>
                <w:bCs w:val="0"/>
                <w:kern w:val="2"/>
                <w:sz w:val="21"/>
                <w:szCs w:val="22"/>
                <w:lang w:val="en-US" w:eastAsia="zh-CN" w:bidi="ar-SA"/>
              </w:rPr>
            </w:pPr>
            <w:r>
              <w:rPr>
                <w:rFonts w:hint="eastAsia" w:ascii="宋体" w:hAnsi="宋体" w:cs="Times New Roman"/>
                <w:b w:val="0"/>
                <w:bCs w:val="0"/>
                <w:kern w:val="2"/>
                <w:sz w:val="21"/>
                <w:szCs w:val="22"/>
                <w:lang w:val="en-US" w:eastAsia="zh-CN" w:bidi="ar-SA"/>
              </w:rPr>
              <w:t>9月</w:t>
            </w:r>
          </w:p>
        </w:tc>
        <w:tc>
          <w:tcPr>
            <w:tcW w:w="2534" w:type="dxa"/>
            <w:vAlign w:val="center"/>
          </w:tcPr>
          <w:p>
            <w:pPr>
              <w:pStyle w:val="11"/>
              <w:keepNext w:val="0"/>
              <w:keepLines w:val="0"/>
              <w:pageBreakBefore w:val="0"/>
              <w:widowControl w:val="0"/>
              <w:kinsoku/>
              <w:wordWrap/>
              <w:overflowPunct/>
              <w:topLinePunct w:val="0"/>
              <w:autoSpaceDE/>
              <w:autoSpaceDN/>
              <w:bidi w:val="0"/>
              <w:adjustRightInd/>
              <w:snapToGrid/>
              <w:spacing w:before="0" w:after="0" w:line="450" w:lineRule="exact"/>
              <w:jc w:val="center"/>
              <w:textAlignment w:val="auto"/>
              <w:rPr>
                <w:rFonts w:hint="default" w:ascii="宋体" w:hAnsi="宋体" w:cs="Times New Roman"/>
                <w:b w:val="0"/>
                <w:bCs w:val="0"/>
                <w:kern w:val="2"/>
                <w:sz w:val="21"/>
                <w:szCs w:val="22"/>
                <w:lang w:val="en-US" w:eastAsia="zh-CN" w:bidi="ar-SA"/>
              </w:rPr>
            </w:pPr>
            <w:r>
              <w:rPr>
                <w:rFonts w:hint="eastAsia" w:ascii="宋体" w:hAnsi="宋体" w:cs="Times New Roman"/>
                <w:b w:val="0"/>
                <w:bCs w:val="0"/>
                <w:kern w:val="2"/>
                <w:sz w:val="21"/>
                <w:szCs w:val="22"/>
                <w:lang w:val="en-US" w:eastAsia="zh-CN" w:bidi="ar-SA"/>
              </w:rPr>
              <w:t>303136.00元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668" w:type="dxa"/>
            <w:vAlign w:val="center"/>
          </w:tcPr>
          <w:p>
            <w:pPr>
              <w:pStyle w:val="11"/>
              <w:keepNext w:val="0"/>
              <w:keepLines w:val="0"/>
              <w:pageBreakBefore w:val="0"/>
              <w:widowControl w:val="0"/>
              <w:kinsoku/>
              <w:wordWrap/>
              <w:overflowPunct/>
              <w:topLinePunct w:val="0"/>
              <w:autoSpaceDE/>
              <w:autoSpaceDN/>
              <w:bidi w:val="0"/>
              <w:adjustRightInd/>
              <w:snapToGrid/>
              <w:spacing w:before="0" w:after="0" w:line="450" w:lineRule="exact"/>
              <w:jc w:val="center"/>
              <w:textAlignment w:val="auto"/>
              <w:rPr>
                <w:rFonts w:hint="default" w:ascii="宋体" w:hAnsi="宋体" w:cs="Times New Roman"/>
                <w:b w:val="0"/>
                <w:bCs w:val="0"/>
                <w:kern w:val="2"/>
                <w:sz w:val="21"/>
                <w:szCs w:val="22"/>
                <w:lang w:val="en-US" w:eastAsia="zh-CN" w:bidi="ar-SA"/>
              </w:rPr>
            </w:pPr>
            <w:r>
              <w:rPr>
                <w:rFonts w:hint="eastAsia" w:ascii="宋体" w:hAnsi="宋体" w:cs="Times New Roman"/>
                <w:b w:val="0"/>
                <w:bCs w:val="0"/>
                <w:kern w:val="2"/>
                <w:sz w:val="21"/>
                <w:szCs w:val="22"/>
                <w:lang w:val="en-US" w:eastAsia="zh-CN" w:bidi="ar-SA"/>
              </w:rPr>
              <w:t>5月</w:t>
            </w:r>
          </w:p>
        </w:tc>
        <w:tc>
          <w:tcPr>
            <w:tcW w:w="2592" w:type="dxa"/>
            <w:vAlign w:val="center"/>
          </w:tcPr>
          <w:p>
            <w:pPr>
              <w:pStyle w:val="11"/>
              <w:keepNext w:val="0"/>
              <w:keepLines w:val="0"/>
              <w:pageBreakBefore w:val="0"/>
              <w:widowControl w:val="0"/>
              <w:kinsoku/>
              <w:wordWrap/>
              <w:overflowPunct/>
              <w:topLinePunct w:val="0"/>
              <w:autoSpaceDE/>
              <w:autoSpaceDN/>
              <w:bidi w:val="0"/>
              <w:adjustRightInd/>
              <w:snapToGrid/>
              <w:spacing w:before="0" w:after="0" w:line="450" w:lineRule="exact"/>
              <w:jc w:val="center"/>
              <w:textAlignment w:val="auto"/>
              <w:rPr>
                <w:rFonts w:hint="eastAsia" w:ascii="宋体" w:hAnsi="宋体" w:cs="Times New Roman"/>
                <w:b w:val="0"/>
                <w:bCs w:val="0"/>
                <w:kern w:val="2"/>
                <w:sz w:val="21"/>
                <w:szCs w:val="22"/>
                <w:lang w:val="en-US" w:eastAsia="zh-CN" w:bidi="ar-SA"/>
              </w:rPr>
            </w:pPr>
            <w:r>
              <w:rPr>
                <w:rFonts w:hint="eastAsia" w:ascii="宋体" w:hAnsi="宋体" w:cs="Times New Roman"/>
                <w:b w:val="0"/>
                <w:bCs w:val="0"/>
                <w:kern w:val="2"/>
                <w:sz w:val="21"/>
                <w:szCs w:val="22"/>
                <w:lang w:val="en-US" w:eastAsia="zh-CN" w:bidi="ar-SA"/>
              </w:rPr>
              <w:t>303136.00元</w:t>
            </w:r>
          </w:p>
        </w:tc>
        <w:tc>
          <w:tcPr>
            <w:tcW w:w="1728" w:type="dxa"/>
            <w:vAlign w:val="center"/>
          </w:tcPr>
          <w:p>
            <w:pPr>
              <w:pStyle w:val="11"/>
              <w:keepNext w:val="0"/>
              <w:keepLines w:val="0"/>
              <w:pageBreakBefore w:val="0"/>
              <w:widowControl w:val="0"/>
              <w:kinsoku/>
              <w:wordWrap/>
              <w:overflowPunct/>
              <w:topLinePunct w:val="0"/>
              <w:autoSpaceDE/>
              <w:autoSpaceDN/>
              <w:bidi w:val="0"/>
              <w:adjustRightInd/>
              <w:snapToGrid/>
              <w:spacing w:before="0" w:after="0" w:line="450" w:lineRule="exact"/>
              <w:jc w:val="center"/>
              <w:textAlignment w:val="auto"/>
              <w:rPr>
                <w:rFonts w:hint="default" w:ascii="宋体" w:hAnsi="宋体" w:cs="Times New Roman"/>
                <w:b w:val="0"/>
                <w:bCs w:val="0"/>
                <w:kern w:val="2"/>
                <w:sz w:val="21"/>
                <w:szCs w:val="22"/>
                <w:lang w:val="en-US" w:eastAsia="zh-CN" w:bidi="ar-SA"/>
              </w:rPr>
            </w:pPr>
            <w:r>
              <w:rPr>
                <w:rFonts w:hint="eastAsia" w:ascii="宋体" w:hAnsi="宋体" w:cs="Times New Roman"/>
                <w:b w:val="0"/>
                <w:bCs w:val="0"/>
                <w:kern w:val="2"/>
                <w:sz w:val="21"/>
                <w:szCs w:val="22"/>
                <w:lang w:val="en-US" w:eastAsia="zh-CN" w:bidi="ar-SA"/>
              </w:rPr>
              <w:t>11月</w:t>
            </w:r>
          </w:p>
        </w:tc>
        <w:tc>
          <w:tcPr>
            <w:tcW w:w="2534" w:type="dxa"/>
            <w:vAlign w:val="center"/>
          </w:tcPr>
          <w:p>
            <w:pPr>
              <w:pStyle w:val="11"/>
              <w:keepNext w:val="0"/>
              <w:keepLines w:val="0"/>
              <w:pageBreakBefore w:val="0"/>
              <w:widowControl w:val="0"/>
              <w:kinsoku/>
              <w:wordWrap/>
              <w:overflowPunct/>
              <w:topLinePunct w:val="0"/>
              <w:autoSpaceDE/>
              <w:autoSpaceDN/>
              <w:bidi w:val="0"/>
              <w:adjustRightInd/>
              <w:snapToGrid/>
              <w:spacing w:before="0" w:after="0" w:line="450" w:lineRule="exact"/>
              <w:jc w:val="center"/>
              <w:textAlignment w:val="auto"/>
              <w:rPr>
                <w:rFonts w:hint="eastAsia" w:ascii="宋体" w:hAnsi="宋体" w:cs="Times New Roman"/>
                <w:b w:val="0"/>
                <w:bCs w:val="0"/>
                <w:kern w:val="2"/>
                <w:sz w:val="21"/>
                <w:szCs w:val="22"/>
                <w:lang w:val="en-US" w:eastAsia="zh-CN" w:bidi="ar-SA"/>
              </w:rPr>
            </w:pPr>
            <w:r>
              <w:rPr>
                <w:rFonts w:hint="eastAsia" w:ascii="宋体" w:hAnsi="宋体" w:cs="Times New Roman"/>
                <w:b w:val="0"/>
                <w:bCs w:val="0"/>
                <w:kern w:val="2"/>
                <w:sz w:val="21"/>
                <w:szCs w:val="22"/>
                <w:lang w:val="en-US" w:eastAsia="zh-CN" w:bidi="ar-SA"/>
              </w:rPr>
              <w:t>303136.00元</w:t>
            </w:r>
          </w:p>
        </w:tc>
      </w:tr>
    </w:tbl>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宋体" w:hAnsi="宋体"/>
          <w:highlight w:val="none"/>
          <w:lang w:val="en-US" w:eastAsia="zh-CN"/>
        </w:rPr>
      </w:pPr>
      <w:r>
        <w:rPr>
          <w:rFonts w:hint="eastAsia" w:ascii="宋体" w:hAnsi="宋体"/>
          <w:highlight w:val="none"/>
          <w:lang w:val="en-US" w:eastAsia="zh-CN"/>
        </w:rPr>
        <w:t>9、不可抗力情况:烈度7度以上地震、平均风力10级以上的大风；3个小时内降雨量为100mm以上的暴雨;39摄氏度以上的高温天气或当地气象部门发布高温红色预警的、连续一周日气温低于-20摄氏度的严寒、冰雹和大雪灾害等。</w:t>
      </w:r>
    </w:p>
    <w:p>
      <w:pPr>
        <w:pStyle w:val="19"/>
        <w:keepNext w:val="0"/>
        <w:keepLines w:val="0"/>
        <w:pageBreakBefore w:val="0"/>
        <w:widowControl w:val="0"/>
        <w:kinsoku/>
        <w:wordWrap/>
        <w:overflowPunct/>
        <w:topLinePunct w:val="0"/>
        <w:autoSpaceDE/>
        <w:autoSpaceDN/>
        <w:bidi w:val="0"/>
        <w:adjustRightInd/>
        <w:snapToGrid/>
        <w:spacing w:line="312" w:lineRule="auto"/>
        <w:ind w:firstLine="425" w:firstLineChars="0"/>
        <w:textAlignment w:val="auto"/>
        <w:rPr>
          <w:rFonts w:ascii="宋体" w:hAnsi="宋体"/>
          <w:b/>
        </w:rPr>
      </w:pPr>
      <w:r>
        <w:rPr>
          <w:rFonts w:hint="eastAsia" w:ascii="宋体" w:hAnsi="宋体"/>
          <w:b/>
        </w:rPr>
        <w:t>第六条</w:t>
      </w:r>
      <w:r>
        <w:rPr>
          <w:rFonts w:ascii="宋体" w:hAnsi="宋体"/>
          <w:b/>
        </w:rPr>
        <w:t xml:space="preserve">  </w:t>
      </w:r>
      <w:r>
        <w:rPr>
          <w:rFonts w:hint="eastAsia" w:ascii="宋体" w:hAnsi="宋体"/>
          <w:b/>
        </w:rPr>
        <w:t>检查标准及奖惩管理规定</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（一）</w:t>
      </w:r>
      <w:r>
        <w:rPr>
          <w:rFonts w:ascii="宋体" w:hAnsi="宋体"/>
        </w:rPr>
        <w:t>执行检查标准</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ascii="宋体" w:hAnsi="宋体"/>
        </w:rPr>
        <w:t>《深圳大鹏半岛国家地质</w:t>
      </w:r>
      <w:r>
        <w:rPr>
          <w:rFonts w:hint="eastAsia" w:ascii="宋体" w:hAnsi="宋体"/>
        </w:rPr>
        <w:t>自然</w:t>
      </w:r>
      <w:r>
        <w:rPr>
          <w:rFonts w:ascii="宋体" w:hAnsi="宋体"/>
        </w:rPr>
        <w:t>公园绿地管养监管考评指引》、《深圳大鹏半岛国家地质</w:t>
      </w:r>
      <w:r>
        <w:rPr>
          <w:rFonts w:hint="eastAsia" w:ascii="宋体" w:hAnsi="宋体"/>
        </w:rPr>
        <w:t>自然</w:t>
      </w:r>
      <w:r>
        <w:rPr>
          <w:rFonts w:ascii="宋体" w:hAnsi="宋体"/>
        </w:rPr>
        <w:t>公园绿地管养</w:t>
      </w:r>
      <w:r>
        <w:rPr>
          <w:rFonts w:hint="eastAsia" w:ascii="宋体" w:hAnsi="宋体"/>
        </w:rPr>
        <w:t>周/月</w:t>
      </w:r>
      <w:r>
        <w:rPr>
          <w:rFonts w:ascii="宋体" w:hAnsi="宋体"/>
        </w:rPr>
        <w:t>检查评分表》。以上标准在服务期间如有变动，按照新的标准执行</w:t>
      </w:r>
      <w:r>
        <w:rPr>
          <w:rFonts w:hint="eastAsia" w:ascii="宋体" w:hAnsi="宋体"/>
        </w:rPr>
        <w:t>。</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（二）奖惩管理规定</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1、人员到岗保障</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（1）人员需在规定的地点进行打卡，对每天到岗人数进行清点，绿化主管、保洁主管</w:t>
      </w:r>
      <w:r>
        <w:rPr>
          <w:rFonts w:hint="eastAsia" w:ascii="宋体" w:hAnsi="宋体"/>
          <w:lang w:eastAsia="zh-CN"/>
        </w:rPr>
        <w:t>（</w:t>
      </w:r>
      <w:r>
        <w:rPr>
          <w:rFonts w:hint="eastAsia" w:ascii="宋体" w:hAnsi="宋体"/>
          <w:lang w:val="en-US" w:eastAsia="zh-CN"/>
        </w:rPr>
        <w:t>安全主管</w:t>
      </w:r>
      <w:r>
        <w:rPr>
          <w:rFonts w:hint="eastAsia" w:ascii="宋体" w:hAnsi="宋体"/>
          <w:lang w:eastAsia="zh-CN"/>
        </w:rPr>
        <w:t>）</w:t>
      </w:r>
      <w:r>
        <w:rPr>
          <w:rFonts w:hint="eastAsia" w:ascii="宋体" w:hAnsi="宋体"/>
        </w:rPr>
        <w:t>缺席，扣500元/人/次，其他缺岗扣</w:t>
      </w:r>
      <w:r>
        <w:rPr>
          <w:rFonts w:ascii="宋体" w:hAnsi="宋体"/>
        </w:rPr>
        <w:t>15</w:t>
      </w:r>
      <w:r>
        <w:rPr>
          <w:rFonts w:hint="eastAsia" w:ascii="宋体" w:hAnsi="宋体"/>
        </w:rPr>
        <w:t>0元/人/次（迟到早退扣100元/人/次）。</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（2）项目负责人应参加月检及会议，缺席每次扣5000元/人，主管应参加</w:t>
      </w:r>
      <w:r>
        <w:rPr>
          <w:rFonts w:hint="eastAsia" w:ascii="宋体" w:hAnsi="宋体"/>
          <w:lang w:val="en-US" w:eastAsia="zh-CN"/>
        </w:rPr>
        <w:t>月检、周检及会议</w:t>
      </w:r>
      <w:r>
        <w:rPr>
          <w:rFonts w:hint="eastAsia" w:ascii="宋体" w:hAnsi="宋体"/>
        </w:rPr>
        <w:t>，缺席一次扣500元/人/次。</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（3）绿化主管、保洁主管</w:t>
      </w:r>
      <w:r>
        <w:rPr>
          <w:rFonts w:hint="eastAsia" w:ascii="宋体" w:hAnsi="宋体"/>
          <w:lang w:eastAsia="zh-CN"/>
        </w:rPr>
        <w:t>（</w:t>
      </w:r>
      <w:r>
        <w:rPr>
          <w:rFonts w:hint="eastAsia" w:ascii="宋体" w:hAnsi="宋体"/>
          <w:lang w:val="en-US" w:eastAsia="zh-CN"/>
        </w:rPr>
        <w:t>安全主管</w:t>
      </w:r>
      <w:r>
        <w:rPr>
          <w:rFonts w:hint="eastAsia" w:ascii="宋体" w:hAnsi="宋体"/>
          <w:lang w:eastAsia="zh-CN"/>
        </w:rPr>
        <w:t>）</w:t>
      </w:r>
      <w:r>
        <w:rPr>
          <w:rFonts w:hint="eastAsia" w:ascii="宋体" w:hAnsi="宋体"/>
        </w:rPr>
        <w:t>需专职负责标段管养工作，如需离岗应提前向甲方请假，如查实无故离岗扣500元/次，并应在规定时间内到岗。</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（4）所有员工（含管理人员）上班时间统一着装，车行道作业人员应增加穿戴交通反光衣，如未规范穿戴扣</w:t>
      </w:r>
      <w:r>
        <w:rPr>
          <w:rFonts w:ascii="宋体" w:hAnsi="宋体"/>
        </w:rPr>
        <w:t>5</w:t>
      </w:r>
      <w:r>
        <w:rPr>
          <w:rFonts w:hint="eastAsia" w:ascii="宋体" w:hAnsi="宋体"/>
        </w:rPr>
        <w:t>0元/人/次。</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（5）当月缺岗累计超过20%，当月除扣除人员费用外，并处罚20000元/次；超过2次的，该年度履约评价不合格，甲方可终止合同，上报市财委，第二年将不续签合同，且不得参与下一年甲方绿化养护项目投标。</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w:t>
      </w:r>
      <w:r>
        <w:rPr>
          <w:rFonts w:ascii="宋体" w:hAnsi="宋体"/>
        </w:rPr>
        <w:t>6</w:t>
      </w:r>
      <w:r>
        <w:rPr>
          <w:rFonts w:hint="eastAsia" w:ascii="宋体" w:hAnsi="宋体"/>
        </w:rPr>
        <w:t>）乙方应按时发放工人工资，如发现不按时发放工资，处罚</w:t>
      </w:r>
      <w:r>
        <w:rPr>
          <w:rFonts w:ascii="宋体" w:hAnsi="宋体"/>
        </w:rPr>
        <w:t>10</w:t>
      </w:r>
      <w:r>
        <w:rPr>
          <w:rFonts w:hint="eastAsia" w:ascii="宋体" w:hAnsi="宋体"/>
        </w:rPr>
        <w:t>000元/次，累计两次或以上，年度履约评价为不合格，上报市财委备案，第二年将不续签合同，且不得参与下一年绿化养护项目投标。</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w:t>
      </w:r>
      <w:r>
        <w:rPr>
          <w:rFonts w:ascii="宋体" w:hAnsi="宋体"/>
        </w:rPr>
        <w:t>7</w:t>
      </w:r>
      <w:r>
        <w:rPr>
          <w:rFonts w:hint="eastAsia" w:ascii="宋体" w:hAnsi="宋体"/>
        </w:rPr>
        <w:t>）每月甲方随机现场抽查一次在岗人员，如绿化主管、保洁主管</w:t>
      </w:r>
      <w:r>
        <w:rPr>
          <w:rFonts w:hint="eastAsia" w:ascii="宋体" w:hAnsi="宋体"/>
          <w:highlight w:val="none"/>
          <w:lang w:eastAsia="zh-CN"/>
        </w:rPr>
        <w:t>（</w:t>
      </w:r>
      <w:r>
        <w:rPr>
          <w:rFonts w:hint="eastAsia" w:ascii="宋体" w:hAnsi="宋体"/>
          <w:highlight w:val="none"/>
        </w:rPr>
        <w:t>安全主管</w:t>
      </w:r>
      <w:r>
        <w:rPr>
          <w:rFonts w:hint="eastAsia" w:ascii="宋体" w:hAnsi="宋体"/>
          <w:highlight w:val="none"/>
          <w:lang w:eastAsia="zh-CN"/>
        </w:rPr>
        <w:t>）</w:t>
      </w:r>
      <w:r>
        <w:rPr>
          <w:rFonts w:hint="eastAsia" w:ascii="宋体" w:hAnsi="宋体"/>
        </w:rPr>
        <w:t>缺席扣1000元/人，其他人缺席扣200元/人/次。</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2、周检、月检和日常检查</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（1）主管应参加周检和周例会，发现的问题应在3日内整改完毕并拍照发送至工作群，限期未整改完毕扣5</w:t>
      </w:r>
      <w:r>
        <w:rPr>
          <w:rFonts w:ascii="宋体" w:hAnsi="宋体"/>
        </w:rPr>
        <w:t>00</w:t>
      </w:r>
      <w:r>
        <w:rPr>
          <w:rFonts w:hint="eastAsia" w:ascii="宋体" w:hAnsi="宋体"/>
        </w:rPr>
        <w:t>元/条，7日内仍未整改完毕扣1</w:t>
      </w:r>
      <w:r>
        <w:rPr>
          <w:rFonts w:ascii="宋体" w:hAnsi="宋体"/>
        </w:rPr>
        <w:t>000</w:t>
      </w:r>
      <w:r>
        <w:rPr>
          <w:rFonts w:hint="eastAsia" w:ascii="宋体" w:hAnsi="宋体"/>
        </w:rPr>
        <w:t>元/条。</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（2）项目负责人和主管应参加月检，发现的问题应在7日内整改完毕，并拍照发送至工作群，限期未整改完毕扣1000元/条，14日内不整改完毕扣2000元/条，每发现一处大于1㎡的黄土裸露，扣款500元。</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w:t>
      </w:r>
      <w:r>
        <w:rPr>
          <w:rFonts w:ascii="宋体" w:hAnsi="宋体"/>
        </w:rPr>
        <w:t>3）</w:t>
      </w:r>
      <w:r>
        <w:rPr>
          <w:rFonts w:hint="eastAsia" w:ascii="宋体" w:hAnsi="宋体"/>
          <w:lang w:val="en-US" w:eastAsia="zh-CN"/>
        </w:rPr>
        <w:t>月</w:t>
      </w:r>
      <w:r>
        <w:rPr>
          <w:rFonts w:ascii="宋体" w:hAnsi="宋体"/>
        </w:rPr>
        <w:t>综合评分按</w:t>
      </w:r>
      <w:r>
        <w:rPr>
          <w:rFonts w:hint="eastAsia" w:ascii="宋体" w:hAnsi="宋体"/>
        </w:rPr>
        <w:t>周</w:t>
      </w:r>
      <w:r>
        <w:rPr>
          <w:rFonts w:ascii="宋体" w:hAnsi="宋体"/>
        </w:rPr>
        <w:t>检</w:t>
      </w:r>
      <w:r>
        <w:rPr>
          <w:rFonts w:hint="eastAsia" w:ascii="宋体" w:hAnsi="宋体"/>
          <w:lang w:val="en-US" w:eastAsia="zh-CN"/>
        </w:rPr>
        <w:t>6</w:t>
      </w:r>
      <w:r>
        <w:rPr>
          <w:rFonts w:ascii="宋体" w:hAnsi="宋体"/>
        </w:rPr>
        <w:t>0%、月检40%权重计算。</w:t>
      </w:r>
      <w:r>
        <w:rPr>
          <w:rFonts w:hint="eastAsia" w:ascii="宋体" w:hAnsi="宋体"/>
          <w:lang w:val="en-US" w:eastAsia="zh-CN"/>
        </w:rPr>
        <w:t>月</w:t>
      </w:r>
      <w:r>
        <w:rPr>
          <w:rFonts w:hint="eastAsia" w:ascii="宋体" w:hAnsi="宋体"/>
        </w:rPr>
        <w:t>综合评分低于8</w:t>
      </w:r>
      <w:r>
        <w:rPr>
          <w:rFonts w:ascii="宋体" w:hAnsi="宋体"/>
        </w:rPr>
        <w:t>5</w:t>
      </w:r>
      <w:r>
        <w:rPr>
          <w:rFonts w:hint="eastAsia" w:ascii="宋体" w:hAnsi="宋体"/>
        </w:rPr>
        <w:t>分（含），将对乙方实行约谈诫勉；</w:t>
      </w:r>
      <w:r>
        <w:rPr>
          <w:rFonts w:hint="eastAsia" w:ascii="宋体" w:hAnsi="宋体"/>
          <w:lang w:val="en-US" w:eastAsia="zh-CN"/>
        </w:rPr>
        <w:t>月</w:t>
      </w:r>
      <w:r>
        <w:rPr>
          <w:rFonts w:ascii="宋体" w:hAnsi="宋体"/>
        </w:rPr>
        <w:t>综合</w:t>
      </w:r>
      <w:r>
        <w:rPr>
          <w:rFonts w:hint="eastAsia" w:ascii="宋体" w:hAnsi="宋体"/>
        </w:rPr>
        <w:t>评</w:t>
      </w:r>
      <w:r>
        <w:rPr>
          <w:rFonts w:ascii="宋体" w:hAnsi="宋体"/>
        </w:rPr>
        <w:t>分75分（含75分）以下或年</w:t>
      </w:r>
      <w:r>
        <w:rPr>
          <w:rFonts w:hint="eastAsia" w:ascii="宋体" w:hAnsi="宋体"/>
        </w:rPr>
        <w:t>度</w:t>
      </w:r>
      <w:r>
        <w:rPr>
          <w:rFonts w:hint="eastAsia" w:ascii="宋体" w:hAnsi="宋体"/>
          <w:lang w:val="en-US" w:eastAsia="zh-CN"/>
        </w:rPr>
        <w:t>月</w:t>
      </w:r>
      <w:r>
        <w:rPr>
          <w:rFonts w:ascii="宋体" w:hAnsi="宋体"/>
        </w:rPr>
        <w:t>综合评分</w:t>
      </w:r>
      <w:r>
        <w:rPr>
          <w:rFonts w:hint="eastAsia" w:ascii="宋体" w:hAnsi="宋体"/>
        </w:rPr>
        <w:t>的平均分</w:t>
      </w:r>
      <w:r>
        <w:rPr>
          <w:rFonts w:ascii="宋体" w:hAnsi="宋体"/>
        </w:rPr>
        <w:t>85分</w:t>
      </w:r>
      <w:r>
        <w:rPr>
          <w:rFonts w:hint="eastAsia" w:ascii="宋体" w:hAnsi="宋体"/>
        </w:rPr>
        <w:t>（含）</w:t>
      </w:r>
      <w:r>
        <w:rPr>
          <w:rFonts w:ascii="宋体" w:hAnsi="宋体"/>
        </w:rPr>
        <w:t>以下，第二年将不续签合同</w:t>
      </w:r>
      <w:r>
        <w:rPr>
          <w:rFonts w:hint="eastAsia" w:ascii="宋体" w:hAnsi="宋体"/>
        </w:rPr>
        <w:t>。</w:t>
      </w:r>
      <w:r>
        <w:rPr>
          <w:rFonts w:hint="eastAsia" w:ascii="宋体" w:hAnsi="宋体"/>
          <w:lang w:val="en-US" w:eastAsia="zh-CN"/>
        </w:rPr>
        <w:t>月</w:t>
      </w:r>
      <w:r>
        <w:rPr>
          <w:rFonts w:ascii="宋体" w:hAnsi="宋体"/>
        </w:rPr>
        <w:t>综合评分大于或等于90分不扣款，如少于90分，每少一分扣500元。例如</w:t>
      </w:r>
      <w:r>
        <w:rPr>
          <w:rFonts w:hint="eastAsia" w:ascii="宋体" w:hAnsi="宋体"/>
        </w:rPr>
        <w:t>，</w:t>
      </w:r>
      <w:r>
        <w:rPr>
          <w:rFonts w:ascii="宋体" w:hAnsi="宋体"/>
        </w:rPr>
        <w:t>养护单位</w:t>
      </w:r>
      <w:r>
        <w:rPr>
          <w:rFonts w:hint="eastAsia" w:ascii="宋体" w:hAnsi="宋体"/>
          <w:lang w:val="en-US" w:eastAsia="zh-CN"/>
        </w:rPr>
        <w:t>1月份</w:t>
      </w:r>
      <w:r>
        <w:rPr>
          <w:rFonts w:ascii="宋体" w:hAnsi="宋体"/>
        </w:rPr>
        <w:t>得分85分，则扣除2500元</w:t>
      </w:r>
      <w:r>
        <w:rPr>
          <w:rFonts w:hint="eastAsia" w:ascii="宋体" w:hAnsi="宋体"/>
        </w:rPr>
        <w:t>。</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（4）</w:t>
      </w:r>
      <w:r>
        <w:rPr>
          <w:rFonts w:hint="eastAsia" w:ascii="宋体" w:hAnsi="宋体"/>
          <w:lang w:eastAsia="zh-CN"/>
        </w:rPr>
        <w:t>日常园区养护及保洁检查提出的问题，若</w:t>
      </w:r>
      <w:r>
        <w:rPr>
          <w:rFonts w:hint="eastAsia" w:ascii="宋体" w:hAnsi="宋体"/>
          <w:lang w:val="en-US" w:eastAsia="zh-CN"/>
        </w:rPr>
        <w:t>未按时</w:t>
      </w:r>
      <w:r>
        <w:rPr>
          <w:rFonts w:hint="eastAsia" w:ascii="宋体" w:hAnsi="宋体"/>
          <w:lang w:eastAsia="zh-CN"/>
        </w:rPr>
        <w:t>按要求</w:t>
      </w:r>
      <w:r>
        <w:rPr>
          <w:rFonts w:hint="eastAsia" w:ascii="宋体" w:hAnsi="宋体"/>
          <w:lang w:val="en-US" w:eastAsia="zh-CN"/>
        </w:rPr>
        <w:t>完成</w:t>
      </w:r>
      <w:r>
        <w:rPr>
          <w:rFonts w:hint="eastAsia" w:ascii="宋体" w:hAnsi="宋体"/>
          <w:lang w:eastAsia="zh-CN"/>
        </w:rPr>
        <w:t>整改，每项扣款</w:t>
      </w:r>
      <w:r>
        <w:rPr>
          <w:rFonts w:hint="eastAsia" w:ascii="宋体" w:hAnsi="宋体"/>
          <w:lang w:val="en-US" w:eastAsia="zh-CN"/>
        </w:rPr>
        <w:t>200元；</w:t>
      </w:r>
      <w:r>
        <w:rPr>
          <w:rFonts w:hint="eastAsia" w:ascii="宋体" w:hAnsi="宋体"/>
        </w:rPr>
        <w:t>日常登山道卫生保洁检查，每发现一处垃圾堆积，扣款1000元。</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ascii="宋体" w:hAnsi="宋体"/>
        </w:rPr>
        <w:t>3</w:t>
      </w:r>
      <w:r>
        <w:rPr>
          <w:rFonts w:hint="eastAsia" w:ascii="宋体" w:hAnsi="宋体"/>
        </w:rPr>
        <w:t>、甲方、社会机构、市民游客等组织或个人发现乙方有意将垃圾丢弃堆积在山林中，经现场核查证实属实的，每发现一处，扣款</w:t>
      </w:r>
      <w:r>
        <w:rPr>
          <w:rFonts w:ascii="宋体" w:hAnsi="宋体"/>
        </w:rPr>
        <w:t>5000</w:t>
      </w:r>
      <w:r>
        <w:rPr>
          <w:rFonts w:hint="eastAsia" w:ascii="宋体" w:hAnsi="宋体"/>
        </w:rPr>
        <w:t>元。</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ascii="宋体" w:hAnsi="宋体"/>
        </w:rPr>
        <w:t>4</w:t>
      </w:r>
      <w:r>
        <w:rPr>
          <w:rFonts w:hint="eastAsia" w:ascii="宋体" w:hAnsi="宋体"/>
        </w:rPr>
        <w:t>、甲方收到市民投诉，为有效投诉并经甲方到现场核查证实属实的，扣1000元/条，3日内未整改完毕扣2000元/条。</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eastAsia" w:ascii="宋体" w:hAnsi="宋体"/>
        </w:rPr>
      </w:pPr>
      <w:r>
        <w:rPr>
          <w:rFonts w:ascii="宋体" w:hAnsi="宋体"/>
        </w:rPr>
        <w:t>5</w:t>
      </w:r>
      <w:r>
        <w:rPr>
          <w:rFonts w:hint="eastAsia" w:ascii="宋体" w:hAnsi="宋体"/>
        </w:rPr>
        <w:t>、甲方对合同内约定的车辆、设备进行不定期抽查。发现车辆缺少，扣2000元/辆/次，设备缺少，扣1000元/台/次；如有不能正常使用的，车辆扣1000元/辆/次，设备扣500元/台/次。</w:t>
      </w:r>
    </w:p>
    <w:p>
      <w:pPr>
        <w:keepNext w:val="0"/>
        <w:keepLines w:val="0"/>
        <w:pageBreakBefore w:val="0"/>
        <w:widowControl w:val="0"/>
        <w:numPr>
          <w:ilvl w:val="0"/>
          <w:numId w:val="2"/>
        </w:numPr>
        <w:kinsoku/>
        <w:wordWrap/>
        <w:overflowPunct/>
        <w:topLinePunct w:val="0"/>
        <w:autoSpaceDE/>
        <w:autoSpaceDN/>
        <w:bidi w:val="0"/>
        <w:adjustRightInd w:val="0"/>
        <w:snapToGrid w:val="0"/>
        <w:spacing w:line="312" w:lineRule="auto"/>
        <w:ind w:firstLine="422" w:firstLineChars="200"/>
        <w:jc w:val="left"/>
        <w:textAlignment w:val="auto"/>
        <w:rPr>
          <w:b/>
        </w:rPr>
      </w:pPr>
      <w:r>
        <w:rPr>
          <w:rFonts w:hint="eastAsia"/>
          <w:b/>
        </w:rPr>
        <w:t xml:space="preserve"> 管养经费组成</w:t>
      </w:r>
    </w:p>
    <w:tbl>
      <w:tblPr>
        <w:tblStyle w:val="1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1676"/>
        <w:gridCol w:w="63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777" w:type="dxa"/>
            <w:vAlign w:val="center"/>
          </w:tcPr>
          <w:p>
            <w:pPr>
              <w:keepNext w:val="0"/>
              <w:keepLines w:val="0"/>
              <w:pageBreakBefore w:val="0"/>
              <w:widowControl w:val="0"/>
              <w:kinsoku/>
              <w:wordWrap/>
              <w:overflowPunct/>
              <w:topLinePunct w:val="0"/>
              <w:autoSpaceDE/>
              <w:autoSpaceDN/>
              <w:bidi w:val="0"/>
              <w:adjustRightInd/>
              <w:snapToGrid/>
              <w:spacing w:line="450" w:lineRule="exact"/>
              <w:jc w:val="center"/>
              <w:textAlignment w:val="auto"/>
              <w:rPr>
                <w:rFonts w:hint="eastAsia"/>
                <w:b/>
                <w:bCs/>
                <w:highlight w:val="none"/>
              </w:rPr>
            </w:pPr>
            <w:r>
              <w:rPr>
                <w:rFonts w:hint="eastAsia"/>
                <w:b/>
                <w:bCs/>
                <w:highlight w:val="none"/>
                <w:lang w:val="en-US" w:eastAsia="zh-CN"/>
              </w:rPr>
              <w:t>序号</w:t>
            </w:r>
          </w:p>
        </w:tc>
        <w:tc>
          <w:tcPr>
            <w:tcW w:w="1676" w:type="dxa"/>
            <w:vAlign w:val="center"/>
          </w:tcPr>
          <w:p>
            <w:pPr>
              <w:keepNext w:val="0"/>
              <w:keepLines w:val="0"/>
              <w:pageBreakBefore w:val="0"/>
              <w:widowControl w:val="0"/>
              <w:kinsoku/>
              <w:wordWrap/>
              <w:overflowPunct/>
              <w:topLinePunct w:val="0"/>
              <w:autoSpaceDE/>
              <w:autoSpaceDN/>
              <w:bidi w:val="0"/>
              <w:adjustRightInd/>
              <w:snapToGrid/>
              <w:spacing w:line="450" w:lineRule="exact"/>
              <w:jc w:val="center"/>
              <w:textAlignment w:val="auto"/>
              <w:rPr>
                <w:rFonts w:hint="eastAsia"/>
                <w:b/>
                <w:bCs/>
                <w:highlight w:val="none"/>
              </w:rPr>
            </w:pPr>
            <w:r>
              <w:rPr>
                <w:rFonts w:hint="eastAsia"/>
                <w:b/>
                <w:bCs/>
                <w:highlight w:val="none"/>
                <w:lang w:val="en-US" w:eastAsia="zh-CN"/>
              </w:rPr>
              <w:t>项目</w:t>
            </w:r>
          </w:p>
        </w:tc>
        <w:tc>
          <w:tcPr>
            <w:tcW w:w="6377" w:type="dxa"/>
            <w:vAlign w:val="center"/>
          </w:tcPr>
          <w:p>
            <w:pPr>
              <w:keepNext w:val="0"/>
              <w:keepLines w:val="0"/>
              <w:pageBreakBefore w:val="0"/>
              <w:widowControl w:val="0"/>
              <w:kinsoku/>
              <w:wordWrap/>
              <w:overflowPunct/>
              <w:topLinePunct w:val="0"/>
              <w:autoSpaceDE/>
              <w:autoSpaceDN/>
              <w:bidi w:val="0"/>
              <w:adjustRightInd/>
              <w:snapToGrid/>
              <w:spacing w:line="450" w:lineRule="exact"/>
              <w:jc w:val="center"/>
              <w:textAlignment w:val="auto"/>
              <w:rPr>
                <w:rFonts w:hint="eastAsia"/>
                <w:b/>
                <w:bCs/>
                <w:highlight w:val="none"/>
              </w:rPr>
            </w:pPr>
            <w:r>
              <w:rPr>
                <w:rFonts w:hint="eastAsia"/>
                <w:b/>
                <w:bCs/>
                <w:highlight w:val="none"/>
                <w:lang w:val="en-US" w:eastAsia="zh-CN"/>
              </w:rPr>
              <w:t>费用组成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777" w:type="dxa"/>
            <w:vAlign w:val="center"/>
          </w:tcPr>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rPr>
            </w:pPr>
            <w:r>
              <w:rPr>
                <w:rFonts w:hint="eastAsia"/>
                <w:highlight w:val="none"/>
                <w:lang w:val="en-US" w:eastAsia="zh-CN"/>
              </w:rPr>
              <w:t>一</w:t>
            </w:r>
          </w:p>
        </w:tc>
        <w:tc>
          <w:tcPr>
            <w:tcW w:w="1676" w:type="dxa"/>
            <w:vAlign w:val="center"/>
          </w:tcPr>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lang w:val="en-US" w:eastAsia="zh-CN"/>
              </w:rPr>
            </w:pPr>
            <w:r>
              <w:rPr>
                <w:rFonts w:hint="eastAsia"/>
                <w:highlight w:val="none"/>
                <w:lang w:val="en-US" w:eastAsia="zh-CN"/>
              </w:rPr>
              <w:t>人工费</w:t>
            </w:r>
          </w:p>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rPr>
            </w:pPr>
            <w:r>
              <w:rPr>
                <w:rFonts w:hint="eastAsia"/>
                <w:highlight w:val="none"/>
                <w:lang w:val="en-US" w:eastAsia="zh-CN"/>
              </w:rPr>
              <w:t>（不低于66%）</w:t>
            </w:r>
          </w:p>
        </w:tc>
        <w:tc>
          <w:tcPr>
            <w:tcW w:w="6377" w:type="dxa"/>
            <w:vAlign w:val="center"/>
          </w:tcPr>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lang w:val="en-US" w:eastAsia="zh-CN"/>
              </w:rPr>
            </w:pPr>
            <w:r>
              <w:rPr>
                <w:rFonts w:hint="eastAsia"/>
                <w:highlight w:val="none"/>
                <w:lang w:val="en-US" w:eastAsia="zh-CN"/>
              </w:rPr>
              <w:t>1、含一线工人和项目管理人员工资、奖金、津贴补贴、加班加点工资、特殊情况下支付的工资、五险一金等。</w:t>
            </w:r>
          </w:p>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rPr>
            </w:pPr>
            <w:r>
              <w:rPr>
                <w:rFonts w:hint="eastAsia"/>
                <w:highlight w:val="none"/>
                <w:lang w:val="en-US" w:eastAsia="zh-CN"/>
              </w:rPr>
              <w:t>2、工人工资不低于65%，奖金不低于0.5%，津贴补贴不低于0.5%。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777" w:type="dxa"/>
            <w:vAlign w:val="center"/>
          </w:tcPr>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rPr>
            </w:pPr>
            <w:r>
              <w:rPr>
                <w:rFonts w:hint="eastAsia"/>
                <w:highlight w:val="none"/>
                <w:lang w:val="en-US" w:eastAsia="zh-CN"/>
              </w:rPr>
              <w:t>二</w:t>
            </w:r>
          </w:p>
        </w:tc>
        <w:tc>
          <w:tcPr>
            <w:tcW w:w="1676" w:type="dxa"/>
            <w:vAlign w:val="center"/>
          </w:tcPr>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lang w:val="en-US" w:eastAsia="zh-CN"/>
              </w:rPr>
            </w:pPr>
            <w:r>
              <w:rPr>
                <w:rFonts w:hint="eastAsia"/>
                <w:highlight w:val="none"/>
                <w:lang w:val="en-US" w:eastAsia="zh-CN"/>
              </w:rPr>
              <w:t>材料费</w:t>
            </w:r>
          </w:p>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rPr>
            </w:pPr>
            <w:r>
              <w:rPr>
                <w:rFonts w:hint="eastAsia"/>
                <w:highlight w:val="none"/>
                <w:lang w:val="en-US" w:eastAsia="zh-CN"/>
              </w:rPr>
              <w:t>（不低于18%）</w:t>
            </w:r>
          </w:p>
        </w:tc>
        <w:tc>
          <w:tcPr>
            <w:tcW w:w="6377" w:type="dxa"/>
            <w:vAlign w:val="center"/>
          </w:tcPr>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lang w:val="en-US" w:eastAsia="zh-CN"/>
              </w:rPr>
            </w:pPr>
            <w:r>
              <w:rPr>
                <w:rFonts w:hint="eastAsia"/>
                <w:highlight w:val="none"/>
                <w:lang w:val="en-US" w:eastAsia="zh-CN"/>
              </w:rPr>
              <w:t>1、含肥料、杀虫药、种植土费，水费，苗木补植费，景观设施维修费（含园区景观设施、登山道等零星修缮），“四害”、白蚁、红火蚁、薇甘菊防治费等费用。</w:t>
            </w:r>
          </w:p>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lang w:val="en-US" w:eastAsia="zh-CN"/>
              </w:rPr>
            </w:pPr>
            <w:r>
              <w:rPr>
                <w:rFonts w:hint="eastAsia"/>
                <w:highlight w:val="none"/>
                <w:lang w:val="en-US" w:eastAsia="zh-CN"/>
              </w:rPr>
              <w:t>2、肥料、杀虫药、种植土费不低于5%；</w:t>
            </w:r>
          </w:p>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lang w:val="en-US" w:eastAsia="zh-CN"/>
              </w:rPr>
            </w:pPr>
            <w:r>
              <w:rPr>
                <w:rFonts w:hint="eastAsia"/>
                <w:highlight w:val="none"/>
                <w:lang w:val="en-US" w:eastAsia="zh-CN"/>
              </w:rPr>
              <w:t>3、水费不低于1.5%；</w:t>
            </w:r>
          </w:p>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lang w:val="en-US" w:eastAsia="zh-CN"/>
              </w:rPr>
            </w:pPr>
            <w:r>
              <w:rPr>
                <w:rFonts w:hint="eastAsia"/>
                <w:highlight w:val="none"/>
                <w:lang w:val="en-US" w:eastAsia="zh-CN"/>
              </w:rPr>
              <w:t>4、苗木补植费不低于3%；</w:t>
            </w:r>
          </w:p>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lang w:val="en-US" w:eastAsia="zh-CN"/>
              </w:rPr>
            </w:pPr>
            <w:r>
              <w:rPr>
                <w:rFonts w:hint="eastAsia"/>
                <w:highlight w:val="none"/>
                <w:lang w:val="en-US" w:eastAsia="zh-CN"/>
              </w:rPr>
              <w:t>5、景观设施维修费（含园区景观设施、登山道等零星修缮）不低于6.5%；</w:t>
            </w:r>
          </w:p>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lang w:val="en-US" w:eastAsia="zh-CN"/>
              </w:rPr>
            </w:pPr>
            <w:r>
              <w:rPr>
                <w:rFonts w:hint="eastAsia"/>
                <w:highlight w:val="none"/>
                <w:lang w:val="en-US" w:eastAsia="zh-CN"/>
              </w:rPr>
              <w:t>6、“四害”、白蚁、红火蚁、薇甘菊防治费不低于2%。</w:t>
            </w:r>
          </w:p>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rPr>
            </w:pPr>
            <w:r>
              <w:rPr>
                <w:rFonts w:hint="eastAsia"/>
                <w:highlight w:val="none"/>
                <w:lang w:val="en-US" w:eastAsia="zh-CN"/>
              </w:rPr>
              <w:t>甲方可根据实际工作需要，对该部分资金进行合理分配调整，总费用不变。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777" w:type="dxa"/>
            <w:vAlign w:val="center"/>
          </w:tcPr>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rPr>
            </w:pPr>
            <w:r>
              <w:rPr>
                <w:rFonts w:hint="eastAsia"/>
                <w:highlight w:val="none"/>
                <w:lang w:val="en-US" w:eastAsia="zh-CN"/>
              </w:rPr>
              <w:t>三</w:t>
            </w:r>
          </w:p>
        </w:tc>
        <w:tc>
          <w:tcPr>
            <w:tcW w:w="1676" w:type="dxa"/>
            <w:vAlign w:val="center"/>
          </w:tcPr>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lang w:val="en-US" w:eastAsia="zh-CN"/>
              </w:rPr>
            </w:pPr>
            <w:r>
              <w:rPr>
                <w:rFonts w:hint="eastAsia"/>
                <w:highlight w:val="none"/>
                <w:lang w:val="en-US" w:eastAsia="zh-CN"/>
              </w:rPr>
              <w:t>机具使用费</w:t>
            </w:r>
          </w:p>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rPr>
            </w:pPr>
            <w:r>
              <w:rPr>
                <w:rFonts w:hint="eastAsia"/>
                <w:highlight w:val="none"/>
                <w:lang w:val="en-US" w:eastAsia="zh-CN"/>
              </w:rPr>
              <w:t>（不低于5%）</w:t>
            </w:r>
          </w:p>
        </w:tc>
        <w:tc>
          <w:tcPr>
            <w:tcW w:w="6377" w:type="dxa"/>
            <w:vAlign w:val="center"/>
          </w:tcPr>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lang w:val="en-US" w:eastAsia="zh-CN"/>
              </w:rPr>
            </w:pPr>
            <w:r>
              <w:rPr>
                <w:rFonts w:hint="eastAsia"/>
                <w:highlight w:val="none"/>
                <w:lang w:val="en-US" w:eastAsia="zh-CN"/>
              </w:rPr>
              <w:t>1、含作业机械、车辆和管理用车等相关费用2%。</w:t>
            </w:r>
          </w:p>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rPr>
            </w:pPr>
            <w:r>
              <w:rPr>
                <w:rFonts w:hint="eastAsia"/>
                <w:highlight w:val="none"/>
                <w:lang w:val="en-US" w:eastAsia="zh-CN"/>
              </w:rPr>
              <w:t>2、管理用车费用不低于3%。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7"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lang w:val="en-US" w:eastAsia="zh-CN"/>
              </w:rPr>
            </w:pPr>
            <w:r>
              <w:rPr>
                <w:rFonts w:hint="eastAsia"/>
                <w:highlight w:val="none"/>
                <w:lang w:val="en-US" w:eastAsia="zh-CN"/>
              </w:rPr>
              <w:t>四</w:t>
            </w:r>
          </w:p>
        </w:tc>
        <w:tc>
          <w:tcPr>
            <w:tcW w:w="167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lang w:val="en-US" w:eastAsia="zh-CN"/>
              </w:rPr>
            </w:pPr>
            <w:r>
              <w:rPr>
                <w:rFonts w:hint="eastAsia"/>
                <w:highlight w:val="none"/>
                <w:lang w:val="en-US" w:eastAsia="zh-CN"/>
              </w:rPr>
              <w:t>措施费</w:t>
            </w:r>
          </w:p>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lang w:val="en-US" w:eastAsia="zh-CN"/>
              </w:rPr>
            </w:pPr>
            <w:r>
              <w:rPr>
                <w:rFonts w:hint="eastAsia"/>
                <w:highlight w:val="none"/>
                <w:lang w:val="en-US" w:eastAsia="zh-CN"/>
              </w:rPr>
              <w:t>（不低于3%）</w:t>
            </w:r>
          </w:p>
        </w:tc>
        <w:tc>
          <w:tcPr>
            <w:tcW w:w="63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lang w:val="en-US" w:eastAsia="zh-CN"/>
              </w:rPr>
            </w:pPr>
            <w:r>
              <w:rPr>
                <w:rFonts w:hint="eastAsia"/>
                <w:highlight w:val="none"/>
                <w:lang w:val="en-US" w:eastAsia="zh-CN"/>
              </w:rPr>
              <w:t>含安全文明措施费、防台风措施费、临时设施费等。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777" w:type="dxa"/>
            <w:vAlign w:val="center"/>
          </w:tcPr>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lang w:eastAsia="zh-CN"/>
              </w:rPr>
            </w:pPr>
            <w:r>
              <w:rPr>
                <w:rFonts w:hint="eastAsia"/>
                <w:highlight w:val="none"/>
                <w:lang w:val="en-US" w:eastAsia="zh-CN"/>
              </w:rPr>
              <w:t>五</w:t>
            </w:r>
          </w:p>
        </w:tc>
        <w:tc>
          <w:tcPr>
            <w:tcW w:w="1676" w:type="dxa"/>
            <w:vAlign w:val="center"/>
          </w:tcPr>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lang w:val="en-US" w:eastAsia="zh-CN"/>
              </w:rPr>
            </w:pPr>
            <w:r>
              <w:rPr>
                <w:rFonts w:hint="eastAsia"/>
                <w:highlight w:val="none"/>
                <w:lang w:val="en-US" w:eastAsia="zh-CN"/>
              </w:rPr>
              <w:t>企业管理费</w:t>
            </w:r>
          </w:p>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rPr>
            </w:pPr>
            <w:r>
              <w:rPr>
                <w:rFonts w:hint="eastAsia"/>
                <w:highlight w:val="none"/>
                <w:lang w:val="en-US" w:eastAsia="zh-CN"/>
              </w:rPr>
              <w:t>（不低于3%）</w:t>
            </w:r>
          </w:p>
        </w:tc>
        <w:tc>
          <w:tcPr>
            <w:tcW w:w="6377" w:type="dxa"/>
            <w:vAlign w:val="center"/>
          </w:tcPr>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lang w:val="en-US" w:eastAsia="zh-CN"/>
              </w:rPr>
            </w:pPr>
            <w:r>
              <w:rPr>
                <w:rFonts w:hint="eastAsia"/>
                <w:highlight w:val="none"/>
                <w:lang w:val="en-US" w:eastAsia="zh-CN"/>
              </w:rPr>
              <w:t>1、含企业管理人员工资、办公费、差旅交通费、劳动保险和职工福利费、劳动保护费（服装及防护）、教育费、财务费等；</w:t>
            </w:r>
          </w:p>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lang w:val="en-US" w:eastAsia="zh-CN"/>
              </w:rPr>
            </w:pPr>
            <w:r>
              <w:rPr>
                <w:rFonts w:hint="eastAsia"/>
                <w:highlight w:val="none"/>
                <w:lang w:val="en-US" w:eastAsia="zh-CN"/>
              </w:rPr>
              <w:t>2、含公共责任险费。乙方须购买公共责任险。其中年事故累计赔偿限额1000万元，每次事故累计赔偿限额500万元，每人伤亡责任限额100万。每次事故财产损失赔偿限额100万，每人财产损失赔偿限额20万。</w:t>
            </w:r>
          </w:p>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lang w:val="en-US" w:eastAsia="zh-CN"/>
              </w:rPr>
            </w:pPr>
            <w:r>
              <w:rPr>
                <w:rFonts w:hint="eastAsia"/>
                <w:highlight w:val="none"/>
                <w:lang w:val="en-US" w:eastAsia="zh-CN"/>
              </w:rPr>
              <w:t>3、含人员意外险费。乙方须为员工购买赔付额不低于深圳人身意外伤亡赔付标准的人身意外商业保险，并负责办理社会保险和商业保险的理赔手续和发放保险金，因中标方购买赔付标准低或国家赔付标准提高，赔付不足部分等相关一切赔付事宜，乙方须无条件全面负责。投保费用由乙方负责支付，不得从员工工资中扣除。</w:t>
            </w:r>
          </w:p>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rPr>
            </w:pPr>
            <w:r>
              <w:rPr>
                <w:rFonts w:hint="eastAsia"/>
                <w:highlight w:val="none"/>
                <w:lang w:val="en-US" w:eastAsia="zh-CN"/>
              </w:rPr>
              <w:t>4、含垃圾分类费用、外运费及处理费包括按《深圳市生活垃圾分类管理条例》及相关规定进行垃圾分类的费用，对树枝树叶与其他垃圾作分类，含树枝树叶运往粉碎场及垃圾运往填埋场所需缴纳的费用。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pct"/>
            <w:shd w:val="clear" w:color="auto" w:fill="auto"/>
            <w:vAlign w:val="center"/>
          </w:tcPr>
          <w:p>
            <w:pPr>
              <w:keepNext w:val="0"/>
              <w:keepLines w:val="0"/>
              <w:pageBreakBefore w:val="0"/>
              <w:widowControl w:val="0"/>
              <w:kinsoku/>
              <w:wordWrap/>
              <w:overflowPunct/>
              <w:topLinePunct w:val="0"/>
              <w:bidi w:val="0"/>
              <w:spacing w:before="78" w:beforeLines="25" w:after="78" w:afterLines="25" w:line="450" w:lineRule="exact"/>
              <w:jc w:val="center"/>
              <w:textAlignment w:val="auto"/>
              <w:rPr>
                <w:rFonts w:hint="eastAsia" w:ascii="Times New Roman" w:hAnsi="Times New Roman" w:eastAsia="宋体" w:cs="Times New Roman"/>
                <w:kern w:val="2"/>
                <w:sz w:val="21"/>
                <w:szCs w:val="24"/>
                <w:lang w:val="en-US" w:eastAsia="zh-CN" w:bidi="ar-SA"/>
              </w:rPr>
            </w:pPr>
            <w:r>
              <w:rPr>
                <w:rFonts w:hint="eastAsia"/>
                <w:lang w:eastAsia="zh-CN"/>
              </w:rPr>
              <w:t>六</w:t>
            </w:r>
          </w:p>
        </w:tc>
        <w:tc>
          <w:tcPr>
            <w:tcW w:w="949" w:type="pct"/>
            <w:shd w:val="clear" w:color="auto" w:fill="auto"/>
            <w:vAlign w:val="center"/>
          </w:tcPr>
          <w:p>
            <w:pPr>
              <w:keepNext w:val="0"/>
              <w:keepLines w:val="0"/>
              <w:pageBreakBefore w:val="0"/>
              <w:widowControl w:val="0"/>
              <w:kinsoku/>
              <w:wordWrap/>
              <w:overflowPunct/>
              <w:topLinePunct w:val="0"/>
              <w:bidi w:val="0"/>
              <w:spacing w:before="78" w:beforeLines="25" w:after="78" w:afterLines="25" w:line="450" w:lineRule="exact"/>
              <w:jc w:val="center"/>
              <w:textAlignment w:val="auto"/>
              <w:rPr>
                <w:rFonts w:ascii="Times New Roman" w:hAnsi="Times New Roman" w:eastAsia="宋体" w:cs="Times New Roman"/>
                <w:kern w:val="2"/>
                <w:sz w:val="21"/>
                <w:szCs w:val="24"/>
                <w:lang w:val="en-US" w:eastAsia="zh-CN" w:bidi="ar-SA"/>
              </w:rPr>
            </w:pPr>
            <w:r>
              <w:rPr>
                <w:rFonts w:hint="eastAsia"/>
              </w:rPr>
              <w:t>税金</w:t>
            </w:r>
          </w:p>
        </w:tc>
        <w:tc>
          <w:tcPr>
            <w:tcW w:w="3610"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rPr>
            </w:pPr>
            <w:r>
              <w:rPr>
                <w:rFonts w:hint="eastAsia"/>
                <w:highlight w:val="none"/>
              </w:rPr>
              <w:t>包含项目实施期限内除个人所得税外，包括但不限于增值税、营业税、城建税、教育费附加、合同印花税等一切税金。</w:t>
            </w:r>
          </w:p>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ascii="Times New Roman" w:hAnsi="Times New Roman" w:eastAsia="宋体" w:cs="Times New Roman"/>
                <w:kern w:val="2"/>
                <w:sz w:val="21"/>
                <w:szCs w:val="24"/>
                <w:highlight w:val="none"/>
                <w:lang w:val="en-US" w:eastAsia="zh-CN" w:bidi="ar-SA"/>
              </w:rPr>
            </w:pPr>
            <w:r>
              <w:rPr>
                <w:rFonts w:hint="eastAsia"/>
                <w:highlight w:val="none"/>
              </w:rPr>
              <w:t>乙方方须充分考虑因国家政策改变，可能存在税金增加的风险，并承诺上述风险自担。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40" w:type="pct"/>
            <w:vAlign w:val="center"/>
          </w:tcPr>
          <w:p>
            <w:pPr>
              <w:keepNext w:val="0"/>
              <w:keepLines w:val="0"/>
              <w:pageBreakBefore w:val="0"/>
              <w:widowControl w:val="0"/>
              <w:kinsoku/>
              <w:wordWrap/>
              <w:overflowPunct/>
              <w:topLinePunct w:val="0"/>
              <w:bidi w:val="0"/>
              <w:spacing w:before="78" w:beforeLines="25" w:after="78" w:afterLines="25" w:line="450" w:lineRule="exact"/>
              <w:jc w:val="center"/>
              <w:textAlignment w:val="auto"/>
              <w:rPr>
                <w:rFonts w:hint="eastAsia" w:eastAsia="宋体"/>
                <w:lang w:eastAsia="zh-CN"/>
              </w:rPr>
            </w:pPr>
            <w:r>
              <w:rPr>
                <w:rFonts w:hint="eastAsia"/>
                <w:lang w:eastAsia="zh-CN"/>
              </w:rPr>
              <w:t>七</w:t>
            </w:r>
          </w:p>
        </w:tc>
        <w:tc>
          <w:tcPr>
            <w:tcW w:w="949" w:type="pct"/>
            <w:vAlign w:val="center"/>
          </w:tcPr>
          <w:p>
            <w:pPr>
              <w:keepNext w:val="0"/>
              <w:keepLines w:val="0"/>
              <w:pageBreakBefore w:val="0"/>
              <w:widowControl w:val="0"/>
              <w:kinsoku/>
              <w:wordWrap/>
              <w:overflowPunct/>
              <w:topLinePunct w:val="0"/>
              <w:bidi w:val="0"/>
              <w:spacing w:before="78" w:beforeLines="25" w:after="78" w:afterLines="25" w:line="450" w:lineRule="exact"/>
              <w:jc w:val="center"/>
              <w:textAlignment w:val="auto"/>
            </w:pPr>
            <w:r>
              <w:rPr>
                <w:rFonts w:hint="eastAsia"/>
              </w:rPr>
              <w:t>利润</w:t>
            </w:r>
          </w:p>
        </w:tc>
        <w:tc>
          <w:tcPr>
            <w:tcW w:w="3610" w:type="pct"/>
            <w:vAlign w:val="center"/>
          </w:tcPr>
          <w:p>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highlight w:val="none"/>
              </w:rPr>
            </w:pPr>
            <w:r>
              <w:rPr>
                <w:rFonts w:hint="eastAsia"/>
                <w:highlight w:val="none"/>
              </w:rPr>
              <w:t>服务企业完成该项目获得的盈利。</w:t>
            </w:r>
          </w:p>
        </w:tc>
      </w:tr>
    </w:tbl>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备注：（</w:t>
      </w:r>
      <w:r>
        <w:rPr>
          <w:rFonts w:ascii="宋体" w:hAnsi="宋体"/>
        </w:rPr>
        <w:t>1</w:t>
      </w:r>
      <w:r>
        <w:rPr>
          <w:rFonts w:hint="eastAsia" w:ascii="宋体" w:hAnsi="宋体"/>
        </w:rPr>
        <w:t>）本项目服务费采用包干制，合同总价包括乙方完成本项目所有工作量、税费等的全部费用和一切明示和暗示的风险、义务、责任等本项目需求涉及的一切费用；</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w:t>
      </w:r>
      <w:r>
        <w:rPr>
          <w:rFonts w:ascii="宋体" w:hAnsi="宋体"/>
        </w:rPr>
        <w:t>2</w:t>
      </w:r>
      <w:r>
        <w:rPr>
          <w:rFonts w:hint="eastAsia" w:ascii="宋体" w:hAnsi="宋体"/>
        </w:rPr>
        <w:t>）在合同实施期间，服务费用不随市场因素的变化而进行调整。</w:t>
      </w:r>
    </w:p>
    <w:p>
      <w:pPr>
        <w:keepNext w:val="0"/>
        <w:keepLines w:val="0"/>
        <w:pageBreakBefore w:val="0"/>
        <w:widowControl w:val="0"/>
        <w:tabs>
          <w:tab w:val="left" w:pos="3346"/>
        </w:tabs>
        <w:kinsoku/>
        <w:wordWrap/>
        <w:overflowPunct/>
        <w:topLinePunct w:val="0"/>
        <w:autoSpaceDE/>
        <w:autoSpaceDN/>
        <w:bidi w:val="0"/>
        <w:adjustRightInd/>
        <w:snapToGrid/>
        <w:spacing w:line="312" w:lineRule="auto"/>
        <w:ind w:firstLine="422" w:firstLineChars="200"/>
        <w:jc w:val="left"/>
        <w:textAlignment w:val="auto"/>
        <w:rPr>
          <w:rFonts w:hint="eastAsia" w:ascii="宋体" w:hAnsi="宋体" w:eastAsia="宋体"/>
          <w:b/>
          <w:bCs/>
          <w:lang w:eastAsia="zh-CN"/>
        </w:rPr>
      </w:pPr>
      <w:r>
        <w:rPr>
          <w:rFonts w:hint="eastAsia" w:ascii="宋体" w:hAnsi="宋体"/>
          <w:b/>
          <w:bCs/>
        </w:rPr>
        <w:t>第八条 进场和验收移交</w:t>
      </w:r>
      <w:r>
        <w:rPr>
          <w:rFonts w:hint="eastAsia" w:ascii="宋体" w:hAnsi="宋体"/>
          <w:b/>
          <w:bCs/>
          <w:lang w:eastAsia="zh-CN"/>
        </w:rPr>
        <w:tab/>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乙方在正式进场前，需在甲方的监督下，与上任服务单位完成交接，如有问题须当场提出。经交接确认后，任何问题均由乙方负责。</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eastAsia" w:ascii="宋体" w:hAnsi="宋体" w:eastAsia="宋体"/>
          <w:lang w:val="en-US" w:eastAsia="zh-CN"/>
        </w:rPr>
      </w:pPr>
      <w:r>
        <w:rPr>
          <w:rFonts w:hint="eastAsia" w:ascii="宋体" w:hAnsi="宋体"/>
        </w:rPr>
        <w:t>乙方在完成本项目的全部工作后，应根据实际情况编制本项目年度服务报告，提出改善改进建议，并整理年度资料装订成册后报送</w:t>
      </w:r>
      <w:r>
        <w:rPr>
          <w:rFonts w:hint="eastAsia" w:ascii="宋体" w:hAnsi="宋体"/>
          <w:lang w:eastAsia="zh-CN"/>
        </w:rPr>
        <w:t>甲方</w:t>
      </w:r>
      <w:r>
        <w:rPr>
          <w:rFonts w:hint="eastAsia" w:ascii="宋体" w:hAnsi="宋体"/>
        </w:rPr>
        <w:t>备案。同时，乙方须按《深圳大鹏半岛国家地质自然公园绿地管养监管考评指引》及其附件以及《深圳市农业地方标准：园林绿化管养规范》、《公园园容绿化管理规范》、《深圳市绿地养护工作指引（试行）》将完整的绿地管养项目移交给甲方，并配合新中标管养单位进场。如承包管养绿地受到非法占用、损坏、藏、埋垃圾等，乙方须承担经济赔偿和相关责任。</w:t>
      </w:r>
    </w:p>
    <w:p>
      <w:pPr>
        <w:keepNext w:val="0"/>
        <w:keepLines w:val="0"/>
        <w:pageBreakBefore w:val="0"/>
        <w:widowControl w:val="0"/>
        <w:kinsoku/>
        <w:wordWrap/>
        <w:overflowPunct/>
        <w:topLinePunct w:val="0"/>
        <w:autoSpaceDE/>
        <w:autoSpaceDN/>
        <w:bidi w:val="0"/>
        <w:adjustRightInd/>
        <w:snapToGrid/>
        <w:spacing w:line="312" w:lineRule="auto"/>
        <w:ind w:firstLine="422" w:firstLineChars="200"/>
        <w:jc w:val="left"/>
        <w:textAlignment w:val="auto"/>
        <w:rPr>
          <w:rFonts w:ascii="宋体" w:hAnsi="宋体"/>
          <w:b/>
          <w:bCs/>
        </w:rPr>
      </w:pPr>
      <w:r>
        <w:rPr>
          <w:rFonts w:hint="eastAsia" w:ascii="宋体" w:hAnsi="宋体"/>
          <w:b/>
          <w:bCs/>
        </w:rPr>
        <w:t>第九条</w:t>
      </w:r>
      <w:r>
        <w:rPr>
          <w:rFonts w:ascii="宋体" w:hAnsi="宋体"/>
          <w:b/>
          <w:bCs/>
        </w:rPr>
        <w:t xml:space="preserve"> </w:t>
      </w:r>
      <w:r>
        <w:rPr>
          <w:rFonts w:hint="eastAsia" w:ascii="宋体" w:hAnsi="宋体"/>
          <w:b/>
          <w:bCs/>
        </w:rPr>
        <w:t>违约责任</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乙方未按合同约定履行养护义务，甲方有权要求即时整改或采取补救措施，未及时整改或情节严重的甲方有权解除合同并要求赔偿损失。乙方在管养过程中造成任何第三方损失的，应积极响应并予以处理，同时承担全部赔偿责任，如造成甲方损失的，乙方应赔偿</w:t>
      </w:r>
      <w:r>
        <w:rPr>
          <w:rFonts w:hint="eastAsia" w:ascii="宋体" w:hAnsi="宋体"/>
          <w:lang w:val="en-US" w:eastAsia="zh-CN"/>
        </w:rPr>
        <w:t>甲方</w:t>
      </w:r>
      <w:r>
        <w:rPr>
          <w:rFonts w:hint="eastAsia" w:ascii="宋体" w:hAnsi="宋体"/>
        </w:rPr>
        <w:t>损失（包括损失、律师费、诉讼费、保全费等）。上述行为造成的违约或损失，由甲方在合同执行阶段按照相关违约条款扣除。</w:t>
      </w:r>
    </w:p>
    <w:p>
      <w:pPr>
        <w:keepNext w:val="0"/>
        <w:keepLines w:val="0"/>
        <w:pageBreakBefore w:val="0"/>
        <w:widowControl w:val="0"/>
        <w:kinsoku/>
        <w:wordWrap/>
        <w:overflowPunct/>
        <w:topLinePunct w:val="0"/>
        <w:autoSpaceDE/>
        <w:autoSpaceDN/>
        <w:bidi w:val="0"/>
        <w:adjustRightInd/>
        <w:snapToGrid/>
        <w:spacing w:line="312" w:lineRule="auto"/>
        <w:ind w:firstLine="422" w:firstLineChars="200"/>
        <w:jc w:val="left"/>
        <w:textAlignment w:val="auto"/>
        <w:rPr>
          <w:rFonts w:ascii="宋体" w:hAnsi="宋体"/>
          <w:b/>
          <w:bCs/>
        </w:rPr>
      </w:pPr>
      <w:r>
        <w:rPr>
          <w:rFonts w:hint="eastAsia" w:ascii="宋体" w:hAnsi="宋体"/>
          <w:b/>
          <w:bCs/>
        </w:rPr>
        <w:t>第十条 合同最终解释权</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本合同如有争议，最终解释权归甲方所有。</w:t>
      </w:r>
    </w:p>
    <w:p>
      <w:pPr>
        <w:keepNext w:val="0"/>
        <w:keepLines w:val="0"/>
        <w:pageBreakBefore w:val="0"/>
        <w:widowControl w:val="0"/>
        <w:kinsoku/>
        <w:wordWrap/>
        <w:overflowPunct/>
        <w:topLinePunct w:val="0"/>
        <w:autoSpaceDE/>
        <w:autoSpaceDN/>
        <w:bidi w:val="0"/>
        <w:adjustRightInd/>
        <w:snapToGrid/>
        <w:spacing w:line="312" w:lineRule="auto"/>
        <w:ind w:firstLine="422" w:firstLineChars="200"/>
        <w:jc w:val="left"/>
        <w:textAlignment w:val="auto"/>
        <w:rPr>
          <w:rFonts w:ascii="宋体" w:hAnsi="宋体"/>
          <w:b/>
          <w:bCs/>
        </w:rPr>
      </w:pPr>
      <w:r>
        <w:rPr>
          <w:rFonts w:hint="eastAsia" w:ascii="宋体" w:hAnsi="宋体"/>
          <w:b/>
          <w:bCs/>
        </w:rPr>
        <w:t>第十一条 争议的解决</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项目在实施过程中发生争议时，甲乙双方应及时协商解决。协商不成时，向甲方所在地人民法院提起诉讼。</w:t>
      </w:r>
    </w:p>
    <w:p>
      <w:pPr>
        <w:keepNext w:val="0"/>
        <w:keepLines w:val="0"/>
        <w:pageBreakBefore w:val="0"/>
        <w:widowControl w:val="0"/>
        <w:kinsoku/>
        <w:wordWrap/>
        <w:overflowPunct/>
        <w:topLinePunct w:val="0"/>
        <w:autoSpaceDE/>
        <w:autoSpaceDN/>
        <w:bidi w:val="0"/>
        <w:adjustRightInd/>
        <w:snapToGrid/>
        <w:spacing w:line="312" w:lineRule="auto"/>
        <w:ind w:firstLine="422" w:firstLineChars="200"/>
        <w:jc w:val="left"/>
        <w:textAlignment w:val="auto"/>
        <w:rPr>
          <w:rFonts w:ascii="宋体" w:hAnsi="宋体"/>
          <w:b/>
          <w:bCs/>
        </w:rPr>
      </w:pPr>
      <w:r>
        <w:rPr>
          <w:rFonts w:hint="eastAsia" w:ascii="宋体" w:hAnsi="宋体"/>
          <w:b/>
          <w:bCs/>
        </w:rPr>
        <w:t>第十二条 未尽事宜</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本合同未尽事宜，由甲乙双方共同协商，签订补充协议，补充协议与本合同具有同等法律效力。</w:t>
      </w:r>
    </w:p>
    <w:p>
      <w:pPr>
        <w:keepNext w:val="0"/>
        <w:keepLines w:val="0"/>
        <w:pageBreakBefore w:val="0"/>
        <w:widowControl w:val="0"/>
        <w:kinsoku/>
        <w:wordWrap/>
        <w:overflowPunct/>
        <w:topLinePunct w:val="0"/>
        <w:autoSpaceDE/>
        <w:autoSpaceDN/>
        <w:bidi w:val="0"/>
        <w:adjustRightInd/>
        <w:snapToGrid/>
        <w:spacing w:line="312" w:lineRule="auto"/>
        <w:ind w:firstLine="422" w:firstLineChars="200"/>
        <w:jc w:val="left"/>
        <w:textAlignment w:val="auto"/>
        <w:rPr>
          <w:rFonts w:ascii="宋体" w:hAnsi="宋体"/>
          <w:b/>
          <w:bCs/>
        </w:rPr>
      </w:pPr>
      <w:r>
        <w:rPr>
          <w:rFonts w:hint="eastAsia" w:ascii="宋体" w:hAnsi="宋体"/>
          <w:b/>
          <w:bCs/>
        </w:rPr>
        <w:t>第十三条</w:t>
      </w:r>
      <w:r>
        <w:rPr>
          <w:rFonts w:ascii="宋体" w:hAnsi="宋体"/>
          <w:b/>
          <w:bCs/>
        </w:rPr>
        <w:t xml:space="preserve"> </w:t>
      </w:r>
      <w:r>
        <w:rPr>
          <w:rFonts w:hint="eastAsia" w:ascii="宋体" w:hAnsi="宋体"/>
          <w:b/>
          <w:bCs/>
        </w:rPr>
        <w:t>合同附件</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深圳市农业地方标准：园林绿化管养规范》、《深圳大鹏半岛国家地质自然公园绿地管养监管考评指引》、及其附件以及《深圳市农业地方标准：园林绿化管养规范》、《公园园容绿化管理规范》、《深圳市绿地养护工作指引（试行）》及招标文件为本合同的有效组成部分，与其它条款共同组成本合同，具有同等法律效力，应严格遵守。</w:t>
      </w:r>
    </w:p>
    <w:p>
      <w:pPr>
        <w:keepNext w:val="0"/>
        <w:keepLines w:val="0"/>
        <w:pageBreakBefore w:val="0"/>
        <w:widowControl w:val="0"/>
        <w:kinsoku/>
        <w:wordWrap/>
        <w:overflowPunct/>
        <w:topLinePunct w:val="0"/>
        <w:autoSpaceDE/>
        <w:autoSpaceDN/>
        <w:bidi w:val="0"/>
        <w:adjustRightInd/>
        <w:snapToGrid/>
        <w:spacing w:line="312" w:lineRule="auto"/>
        <w:ind w:firstLine="422" w:firstLineChars="200"/>
        <w:jc w:val="left"/>
        <w:textAlignment w:val="auto"/>
        <w:rPr>
          <w:rFonts w:ascii="宋体" w:hAnsi="宋体"/>
          <w:b/>
          <w:bCs/>
        </w:rPr>
      </w:pPr>
      <w:r>
        <w:rPr>
          <w:rFonts w:hint="eastAsia" w:ascii="宋体" w:hAnsi="宋体"/>
          <w:b/>
          <w:bCs/>
        </w:rPr>
        <w:t>第十四条 合同生效及终止</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ascii="宋体" w:hAnsi="宋体"/>
        </w:rPr>
        <w:t>1、合同生效：本合同自甲乙双方法定代表人签字、盖章之日起生效。</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ascii="宋体" w:hAnsi="宋体"/>
        </w:rPr>
        <w:t>2、合同终止：本合同出现下列情况时终止。</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w:t>
      </w:r>
      <w:r>
        <w:rPr>
          <w:rFonts w:ascii="宋体" w:hAnsi="宋体"/>
        </w:rPr>
        <w:t>1）期限届满时自行终止。</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w:t>
      </w:r>
      <w:r>
        <w:rPr>
          <w:rFonts w:ascii="宋体" w:hAnsi="宋体"/>
        </w:rPr>
        <w:t>2）出现合同中列出的终止事由。</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w:t>
      </w:r>
      <w:r>
        <w:rPr>
          <w:rFonts w:ascii="宋体" w:hAnsi="宋体"/>
        </w:rPr>
        <w:t>3）法律规定的终止事由。</w:t>
      </w:r>
    </w:p>
    <w:p>
      <w:pPr>
        <w:keepNext w:val="0"/>
        <w:keepLines w:val="0"/>
        <w:pageBreakBefore w:val="0"/>
        <w:widowControl w:val="0"/>
        <w:kinsoku/>
        <w:wordWrap/>
        <w:overflowPunct/>
        <w:topLinePunct w:val="0"/>
        <w:autoSpaceDE/>
        <w:autoSpaceDN/>
        <w:bidi w:val="0"/>
        <w:adjustRightInd/>
        <w:snapToGrid/>
        <w:spacing w:line="312" w:lineRule="auto"/>
        <w:ind w:firstLine="422" w:firstLineChars="200"/>
        <w:jc w:val="left"/>
        <w:textAlignment w:val="auto"/>
        <w:rPr>
          <w:rFonts w:ascii="宋体" w:hAnsi="宋体"/>
          <w:b/>
          <w:bCs/>
        </w:rPr>
      </w:pPr>
      <w:r>
        <w:rPr>
          <w:rFonts w:hint="eastAsia" w:ascii="宋体" w:hAnsi="宋体"/>
          <w:b/>
          <w:bCs/>
        </w:rPr>
        <w:t>第十五条</w:t>
      </w:r>
      <w:r>
        <w:rPr>
          <w:rFonts w:ascii="宋体" w:hAnsi="宋体"/>
          <w:b/>
          <w:bCs/>
        </w:rPr>
        <w:t xml:space="preserve"> </w:t>
      </w:r>
      <w:r>
        <w:rPr>
          <w:rFonts w:hint="eastAsia" w:ascii="宋体" w:hAnsi="宋体"/>
          <w:b/>
          <w:bCs/>
        </w:rPr>
        <w:t>合同的份数</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ascii="宋体" w:hAnsi="宋体"/>
        </w:rPr>
      </w:pPr>
      <w:r>
        <w:rPr>
          <w:rFonts w:hint="eastAsia" w:ascii="宋体" w:hAnsi="宋体"/>
        </w:rPr>
        <w:t>本合同一式伍份，甲方叁份，乙方贰份，具同等法律效力。</w:t>
      </w:r>
    </w:p>
    <w:p>
      <w:pPr>
        <w:spacing w:line="360" w:lineRule="auto"/>
        <w:ind w:firstLine="420" w:firstLineChars="200"/>
        <w:jc w:val="left"/>
        <w:rPr>
          <w:rFonts w:ascii="宋体" w:hAnsi="宋体"/>
        </w:rPr>
      </w:pPr>
    </w:p>
    <w:p>
      <w:pPr>
        <w:pStyle w:val="2"/>
        <w:rPr>
          <w:rFonts w:ascii="宋体" w:hAnsi="宋体"/>
        </w:rPr>
      </w:pPr>
    </w:p>
    <w:p>
      <w:pPr>
        <w:pStyle w:val="3"/>
        <w:rPr>
          <w:rFonts w:ascii="宋体" w:hAnsi="宋体"/>
        </w:rPr>
      </w:pPr>
    </w:p>
    <w:p>
      <w:pPr>
        <w:pStyle w:val="3"/>
        <w:rPr>
          <w:rFonts w:ascii="宋体" w:hAnsi="宋体"/>
        </w:rPr>
      </w:pPr>
    </w:p>
    <w:p>
      <w:pPr>
        <w:pStyle w:val="3"/>
        <w:rPr>
          <w:rFonts w:ascii="宋体" w:hAnsi="宋体"/>
        </w:rPr>
      </w:pPr>
    </w:p>
    <w:p>
      <w:pPr>
        <w:pStyle w:val="3"/>
        <w:rPr>
          <w:rFonts w:ascii="宋体" w:hAnsi="宋体"/>
        </w:rPr>
      </w:pPr>
    </w:p>
    <w:tbl>
      <w:tblPr>
        <w:tblStyle w:val="13"/>
        <w:tblpPr w:leftFromText="180" w:rightFromText="180" w:vertAnchor="text" w:horzAnchor="page" w:tblpX="1775" w:tblpY="701"/>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87"/>
        <w:gridCol w:w="40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87" w:type="dxa"/>
          </w:tcPr>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宋体" w:hAnsi="宋体"/>
              </w:rPr>
            </w:pPr>
            <w:r>
              <w:rPr>
                <w:rFonts w:ascii="宋体" w:hAnsi="宋体"/>
              </w:rPr>
              <w:t>甲方：</w:t>
            </w:r>
            <w:r>
              <w:rPr>
                <w:rFonts w:hint="eastAsia" w:ascii="宋体" w:hAnsi="宋体"/>
              </w:rPr>
              <w:t>深圳大鹏半岛国家地质自然公园管理处</w:t>
            </w:r>
          </w:p>
        </w:tc>
        <w:tc>
          <w:tcPr>
            <w:tcW w:w="4035" w:type="dxa"/>
          </w:tcPr>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lang w:val="en-US" w:eastAsia="zh-CN"/>
              </w:rPr>
            </w:pPr>
            <w:r>
              <w:rPr>
                <w:rFonts w:hint="eastAsia" w:ascii="宋体" w:hAnsi="宋体"/>
              </w:rPr>
              <w:t>乙方 ：</w:t>
            </w:r>
            <w:r>
              <w:rPr>
                <w:rFonts w:hint="eastAsia" w:ascii="宋体" w:hAnsi="宋体"/>
                <w:lang w:eastAsia="zh-CN"/>
              </w:rPr>
              <w:t>深圳滨海之都建设有限公司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87" w:type="dxa"/>
          </w:tcPr>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宋体" w:hAnsi="宋体"/>
              </w:rPr>
            </w:pPr>
            <w:r>
              <w:rPr>
                <w:rFonts w:hint="eastAsia" w:ascii="宋体" w:hAnsi="宋体"/>
              </w:rPr>
              <w:t>（盖章）</w:t>
            </w:r>
          </w:p>
        </w:tc>
        <w:tc>
          <w:tcPr>
            <w:tcW w:w="4035" w:type="dxa"/>
          </w:tcPr>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宋体" w:hAnsi="宋体"/>
              </w:rPr>
            </w:pPr>
            <w:r>
              <w:rPr>
                <w:rFonts w:hint="eastAsia" w:ascii="宋体" w:hAnsi="宋体"/>
              </w:rPr>
              <w:t>（盖章）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87" w:type="dxa"/>
          </w:tcPr>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宋体" w:hAnsi="宋体"/>
              </w:rPr>
            </w:pPr>
            <w:r>
              <w:rPr>
                <w:rFonts w:ascii="宋体" w:hAnsi="宋体"/>
              </w:rPr>
              <w:t>法定代表人</w:t>
            </w:r>
          </w:p>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宋体" w:hAnsi="宋体"/>
              </w:rPr>
            </w:pPr>
            <w:r>
              <w:rPr>
                <w:rFonts w:hint="eastAsia" w:ascii="宋体" w:hAnsi="宋体"/>
              </w:rPr>
              <w:t>或委托人</w:t>
            </w:r>
            <w:r>
              <w:rPr>
                <w:rFonts w:ascii="宋体" w:hAnsi="宋体"/>
              </w:rPr>
              <w:t>：</w:t>
            </w:r>
          </w:p>
        </w:tc>
        <w:tc>
          <w:tcPr>
            <w:tcW w:w="4035" w:type="dxa"/>
          </w:tcPr>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宋体" w:hAnsi="宋体"/>
              </w:rPr>
            </w:pPr>
            <w:r>
              <w:rPr>
                <w:rFonts w:ascii="宋体" w:hAnsi="宋体"/>
              </w:rPr>
              <w:t>法定代表人</w:t>
            </w:r>
          </w:p>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宋体" w:hAnsi="宋体"/>
              </w:rPr>
            </w:pPr>
            <w:r>
              <w:rPr>
                <w:rFonts w:hint="eastAsia" w:ascii="宋体" w:hAnsi="宋体"/>
              </w:rPr>
              <w:t>或委托人</w:t>
            </w:r>
            <w:r>
              <w:rPr>
                <w:rFonts w:ascii="宋体" w:hAnsi="宋体"/>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87" w:type="dxa"/>
          </w:tcPr>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宋体" w:hAnsi="宋体"/>
              </w:rPr>
            </w:pPr>
          </w:p>
        </w:tc>
        <w:tc>
          <w:tcPr>
            <w:tcW w:w="4035" w:type="dxa"/>
          </w:tcPr>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宋体" w:hAnsi="宋体"/>
              </w:rPr>
            </w:pPr>
          </w:p>
        </w:tc>
      </w:tr>
    </w:tbl>
    <w:p>
      <w:pPr>
        <w:spacing w:line="360" w:lineRule="auto"/>
        <w:ind w:firstLine="420" w:firstLineChars="200"/>
        <w:jc w:val="left"/>
        <w:rPr>
          <w:rFonts w:ascii="宋体" w:hAnsi="宋体"/>
        </w:rPr>
      </w:pPr>
      <w:r>
        <w:rPr>
          <w:rFonts w:ascii="宋体" w:hAnsi="宋体"/>
        </w:rPr>
        <w:t xml:space="preserve">                                                             </w:t>
      </w:r>
    </w:p>
    <w:p>
      <w:pPr>
        <w:spacing w:line="360" w:lineRule="auto"/>
        <w:ind w:firstLine="420" w:firstLineChars="200"/>
        <w:jc w:val="left"/>
        <w:rPr>
          <w:rFonts w:ascii="宋体" w:hAnsi="宋体" w:cs="宋体"/>
          <w:b/>
          <w:bCs/>
          <w:kern w:val="0"/>
          <w:sz w:val="28"/>
          <w:szCs w:val="28"/>
        </w:rPr>
      </w:pPr>
      <w:r>
        <w:rPr>
          <w:rFonts w:ascii="宋体" w:hAnsi="宋体"/>
        </w:rPr>
        <w:t xml:space="preserve">                                        </w:t>
      </w:r>
      <w:r>
        <w:rPr>
          <w:rFonts w:hint="eastAsia" w:ascii="宋体" w:hAnsi="宋体"/>
        </w:rPr>
        <w:t>签约时间：</w:t>
      </w:r>
      <w:r>
        <w:rPr>
          <w:rFonts w:ascii="宋体" w:hAnsi="宋体"/>
        </w:rPr>
        <w:t xml:space="preserve">     </w:t>
      </w:r>
      <w:r>
        <w:rPr>
          <w:rFonts w:hint="eastAsia" w:ascii="宋体" w:hAnsi="宋体"/>
        </w:rPr>
        <w:t>年</w:t>
      </w:r>
      <w:r>
        <w:rPr>
          <w:rFonts w:ascii="宋体" w:hAnsi="宋体"/>
        </w:rPr>
        <w:t xml:space="preserve">   </w:t>
      </w:r>
      <w:r>
        <w:rPr>
          <w:rFonts w:hint="eastAsia" w:ascii="宋体" w:hAnsi="宋体"/>
        </w:rPr>
        <w:t>月</w:t>
      </w:r>
      <w:r>
        <w:rPr>
          <w:rFonts w:ascii="宋体" w:hAnsi="宋体"/>
        </w:rPr>
        <w:t xml:space="preserve">   </w:t>
      </w:r>
      <w:r>
        <w:rPr>
          <w:rFonts w:hint="eastAsia" w:ascii="宋体" w:hAnsi="宋体"/>
        </w:rPr>
        <w:t>日</w:t>
      </w:r>
    </w:p>
    <w:p>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br w:type="page"/>
      </w:r>
    </w:p>
    <w:p>
      <w:pPr>
        <w:widowControl/>
        <w:shd w:val="clear" w:color="auto" w:fill="FFFFFF"/>
        <w:spacing w:before="100" w:beforeAutospacing="1" w:after="100" w:afterAutospacing="1"/>
        <w:ind w:firstLineChars="0"/>
        <w:rPr>
          <w:rFonts w:asciiTheme="minorEastAsia" w:hAnsiTheme="minorEastAsia" w:eastAsiaTheme="minorEastAsia"/>
          <w:sz w:val="24"/>
          <w:szCs w:val="24"/>
        </w:rPr>
      </w:pPr>
      <w:r>
        <w:rPr>
          <w:rFonts w:hint="eastAsia" w:asciiTheme="minorEastAsia" w:hAnsiTheme="minorEastAsia" w:eastAsiaTheme="minorEastAsia"/>
          <w:sz w:val="24"/>
          <w:szCs w:val="24"/>
        </w:rPr>
        <w:t>附件</w:t>
      </w:r>
      <w:r>
        <w:rPr>
          <w:rFonts w:hint="eastAsia" w:asciiTheme="minorEastAsia" w:hAnsiTheme="minorEastAsia" w:eastAsiaTheme="minorEastAsia"/>
          <w:sz w:val="24"/>
          <w:szCs w:val="24"/>
          <w:lang w:val="en-US" w:eastAsia="zh-CN"/>
        </w:rPr>
        <w:t>1</w:t>
      </w:r>
      <w:r>
        <w:rPr>
          <w:rFonts w:asciiTheme="minorEastAsia" w:hAnsiTheme="minorEastAsia" w:eastAsiaTheme="minorEastAsia"/>
          <w:sz w:val="24"/>
          <w:szCs w:val="24"/>
        </w:rPr>
        <w:t>：</w:t>
      </w:r>
    </w:p>
    <w:p>
      <w:pPr>
        <w:pStyle w:val="24"/>
        <w:widowControl/>
        <w:shd w:val="clear" w:color="auto" w:fill="FFFFFF"/>
        <w:spacing w:before="100" w:beforeAutospacing="1" w:after="100" w:afterAutospacing="1"/>
        <w:ind w:firstLine="0" w:firstLineChars="0"/>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深圳大鹏半岛国家地质自然公园绿地养护、登山道设施维护及林地保洁</w:t>
      </w:r>
      <w:r>
        <w:rPr>
          <w:rFonts w:hint="eastAsia" w:asciiTheme="minorEastAsia" w:hAnsiTheme="minorEastAsia" w:eastAsiaTheme="minorEastAsia"/>
          <w:szCs w:val="21"/>
          <w:highlight w:val="none"/>
          <w:lang w:val="en-US" w:eastAsia="zh-CN"/>
        </w:rPr>
        <w:t>工作量一览</w:t>
      </w:r>
      <w:r>
        <w:rPr>
          <w:rFonts w:hint="eastAsia" w:asciiTheme="minorEastAsia" w:hAnsiTheme="minorEastAsia" w:eastAsiaTheme="minorEastAsia"/>
          <w:szCs w:val="21"/>
          <w:highlight w:val="none"/>
        </w:rPr>
        <w:t>表</w:t>
      </w:r>
    </w:p>
    <w:tbl>
      <w:tblPr>
        <w:tblStyle w:val="12"/>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5"/>
        <w:gridCol w:w="1943"/>
        <w:gridCol w:w="1636"/>
        <w:gridCol w:w="2986"/>
        <w:gridCol w:w="664"/>
        <w:gridCol w:w="8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2"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kern w:val="0"/>
                <w:sz w:val="20"/>
                <w:szCs w:val="20"/>
                <w:u w:val="none"/>
                <w:lang w:bidi="ar"/>
              </w:rPr>
            </w:pPr>
            <w:r>
              <w:rPr>
                <w:rFonts w:hint="eastAsia" w:ascii="宋体" w:hAnsi="宋体" w:eastAsia="宋体" w:cs="宋体"/>
                <w:b/>
                <w:bCs/>
                <w:i w:val="0"/>
                <w:iCs w:val="0"/>
                <w:kern w:val="0"/>
                <w:sz w:val="20"/>
                <w:szCs w:val="20"/>
                <w:u w:val="none"/>
                <w:lang w:val="en-US" w:eastAsia="zh-CN" w:bidi="ar"/>
              </w:rPr>
              <w:t>序号</w:t>
            </w:r>
          </w:p>
        </w:tc>
        <w:tc>
          <w:tcPr>
            <w:tcW w:w="11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kern w:val="0"/>
                <w:sz w:val="20"/>
                <w:szCs w:val="20"/>
                <w:u w:val="none"/>
                <w:lang w:bidi="ar"/>
              </w:rPr>
            </w:pPr>
            <w:r>
              <w:rPr>
                <w:rFonts w:hint="eastAsia" w:ascii="宋体" w:hAnsi="宋体" w:eastAsia="宋体" w:cs="宋体"/>
                <w:b/>
                <w:bCs/>
                <w:i w:val="0"/>
                <w:iCs w:val="0"/>
                <w:kern w:val="0"/>
                <w:sz w:val="20"/>
                <w:szCs w:val="20"/>
                <w:u w:val="none"/>
                <w:lang w:val="en-US" w:eastAsia="zh-CN" w:bidi="ar"/>
              </w:rPr>
              <w:t>项目名称</w:t>
            </w: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kern w:val="0"/>
                <w:sz w:val="20"/>
                <w:szCs w:val="20"/>
                <w:u w:val="none"/>
                <w:lang w:bidi="ar"/>
              </w:rPr>
            </w:pPr>
            <w:r>
              <w:rPr>
                <w:rFonts w:hint="eastAsia" w:ascii="宋体" w:hAnsi="宋体" w:eastAsia="宋体" w:cs="宋体"/>
                <w:b/>
                <w:bCs/>
                <w:i w:val="0"/>
                <w:iCs w:val="0"/>
                <w:kern w:val="0"/>
                <w:sz w:val="20"/>
                <w:szCs w:val="20"/>
                <w:u w:val="none"/>
                <w:lang w:val="en-US" w:eastAsia="zh-CN" w:bidi="ar"/>
              </w:rPr>
              <w:t>项目描述</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kern w:val="0"/>
                <w:sz w:val="20"/>
                <w:szCs w:val="20"/>
                <w:u w:val="none"/>
                <w:lang w:bidi="ar"/>
              </w:rPr>
            </w:pPr>
            <w:r>
              <w:rPr>
                <w:rFonts w:hint="eastAsia" w:ascii="宋体" w:hAnsi="宋体" w:eastAsia="宋体" w:cs="宋体"/>
                <w:b/>
                <w:bCs/>
                <w:i w:val="0"/>
                <w:iCs w:val="0"/>
                <w:kern w:val="0"/>
                <w:sz w:val="20"/>
                <w:szCs w:val="20"/>
                <w:u w:val="none"/>
                <w:lang w:val="en-US" w:eastAsia="zh-CN" w:bidi="ar"/>
              </w:rPr>
              <w:t>特征</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kern w:val="0"/>
                <w:sz w:val="20"/>
                <w:szCs w:val="20"/>
                <w:u w:val="none"/>
                <w:lang w:bidi="ar"/>
              </w:rPr>
            </w:pPr>
            <w:r>
              <w:rPr>
                <w:rFonts w:hint="eastAsia" w:ascii="宋体" w:hAnsi="宋体" w:eastAsia="宋体" w:cs="宋体"/>
                <w:b/>
                <w:bCs/>
                <w:i w:val="0"/>
                <w:iCs w:val="0"/>
                <w:kern w:val="0"/>
                <w:sz w:val="20"/>
                <w:szCs w:val="20"/>
                <w:u w:val="none"/>
                <w:lang w:val="en-US" w:eastAsia="zh-CN" w:bidi="ar"/>
              </w:rPr>
              <w:t>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kern w:val="0"/>
                <w:sz w:val="20"/>
                <w:szCs w:val="20"/>
                <w:u w:val="none"/>
                <w:lang w:bidi="ar"/>
              </w:rPr>
            </w:pPr>
            <w:r>
              <w:rPr>
                <w:rFonts w:hint="eastAsia" w:ascii="宋体" w:hAnsi="宋体" w:eastAsia="宋体" w:cs="宋体"/>
                <w:b/>
                <w:bCs/>
                <w:i w:val="0"/>
                <w:iCs w:val="0"/>
                <w:kern w:val="0"/>
                <w:sz w:val="20"/>
                <w:szCs w:val="20"/>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6"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kern w:val="0"/>
                <w:sz w:val="20"/>
                <w:szCs w:val="20"/>
                <w:u w:val="none"/>
                <w:lang w:bidi="ar"/>
              </w:rPr>
            </w:pPr>
            <w:r>
              <w:rPr>
                <w:rFonts w:hint="eastAsia" w:ascii="宋体" w:hAnsi="宋体" w:eastAsia="宋体" w:cs="宋体"/>
                <w:b w:val="0"/>
                <w:bCs w:val="0"/>
                <w:i w:val="0"/>
                <w:iCs w:val="0"/>
                <w:kern w:val="0"/>
                <w:sz w:val="20"/>
                <w:szCs w:val="20"/>
                <w:u w:val="none"/>
                <w:lang w:val="en-US" w:eastAsia="zh-CN" w:bidi="ar"/>
              </w:rPr>
              <w:t>1</w:t>
            </w:r>
          </w:p>
        </w:tc>
        <w:tc>
          <w:tcPr>
            <w:tcW w:w="11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道路绿地</w:t>
            </w:r>
            <w:r>
              <w:rPr>
                <w:kern w:val="0"/>
                <w:sz w:val="20"/>
                <w:szCs w:val="20"/>
                <w:lang w:val="en-US" w:eastAsia="zh-CN" w:bidi="ar"/>
              </w:rPr>
              <w:t>特级</w:t>
            </w:r>
            <w:r>
              <w:rPr>
                <w:rFonts w:hint="eastAsia" w:ascii="宋体" w:hAnsi="宋体" w:eastAsia="宋体" w:cs="宋体"/>
                <w:i w:val="0"/>
                <w:iCs w:val="0"/>
                <w:kern w:val="0"/>
                <w:sz w:val="20"/>
                <w:szCs w:val="20"/>
                <w:u w:val="none"/>
                <w:lang w:val="en-US" w:eastAsia="zh-CN" w:bidi="ar"/>
              </w:rPr>
              <w:t>养护</w:t>
            </w: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地质公园路中间隔离带绿地</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1、道路绿地养护（</w:t>
            </w:r>
            <w:r>
              <w:rPr>
                <w:kern w:val="0"/>
                <w:sz w:val="20"/>
                <w:szCs w:val="20"/>
                <w:lang w:val="en-US" w:eastAsia="zh-CN" w:bidi="ar"/>
              </w:rPr>
              <w:t>特级</w:t>
            </w:r>
            <w:r>
              <w:rPr>
                <w:rFonts w:hint="eastAsia" w:ascii="宋体" w:hAnsi="宋体" w:eastAsia="宋体" w:cs="宋体"/>
                <w:i w:val="0"/>
                <w:iCs w:val="0"/>
                <w:kern w:val="0"/>
                <w:sz w:val="20"/>
                <w:szCs w:val="20"/>
                <w:u w:val="none"/>
                <w:lang w:val="en-US" w:eastAsia="zh-CN" w:bidi="ar"/>
              </w:rPr>
              <w:t>）</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2、养护期：12个月</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m</w:t>
            </w:r>
            <w:r>
              <w:rPr>
                <w:rFonts w:hint="eastAsia" w:ascii="宋体" w:hAnsi="宋体" w:eastAsia="宋体" w:cs="宋体"/>
                <w:i w:val="0"/>
                <w:iCs w:val="0"/>
                <w:kern w:val="0"/>
                <w:sz w:val="20"/>
                <w:szCs w:val="20"/>
                <w:u w:val="none"/>
                <w:vertAlign w:val="superscript"/>
                <w:lang w:val="en-US" w:eastAsia="zh-CN" w:bidi="ar"/>
              </w:rPr>
              <w:t>2</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3300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3"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kern w:val="0"/>
                <w:sz w:val="20"/>
                <w:szCs w:val="20"/>
                <w:u w:val="none"/>
                <w:lang w:bidi="ar"/>
              </w:rPr>
            </w:pPr>
            <w:r>
              <w:rPr>
                <w:rFonts w:hint="eastAsia" w:ascii="宋体" w:hAnsi="宋体" w:eastAsia="宋体" w:cs="宋体"/>
                <w:b w:val="0"/>
                <w:bCs w:val="0"/>
                <w:i w:val="0"/>
                <w:iCs w:val="0"/>
                <w:kern w:val="0"/>
                <w:sz w:val="20"/>
                <w:szCs w:val="20"/>
                <w:u w:val="none"/>
                <w:lang w:val="en-US" w:eastAsia="zh-CN" w:bidi="ar"/>
              </w:rPr>
              <w:t>2</w:t>
            </w:r>
          </w:p>
        </w:tc>
        <w:tc>
          <w:tcPr>
            <w:tcW w:w="11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道路绿地</w:t>
            </w:r>
            <w:r>
              <w:rPr>
                <w:kern w:val="0"/>
                <w:sz w:val="20"/>
                <w:szCs w:val="20"/>
                <w:lang w:val="en-US" w:eastAsia="zh-CN" w:bidi="ar"/>
              </w:rPr>
              <w:t>一级</w:t>
            </w:r>
            <w:r>
              <w:rPr>
                <w:rFonts w:hint="eastAsia" w:ascii="宋体" w:hAnsi="宋体" w:eastAsia="宋体" w:cs="宋体"/>
                <w:i w:val="0"/>
                <w:iCs w:val="0"/>
                <w:kern w:val="0"/>
                <w:sz w:val="20"/>
                <w:szCs w:val="20"/>
                <w:u w:val="none"/>
                <w:lang w:val="en-US" w:eastAsia="zh-CN" w:bidi="ar"/>
              </w:rPr>
              <w:t>养护</w:t>
            </w: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地质公园路两侧绿地(含花坛)</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1、道路绿地养护（</w:t>
            </w:r>
            <w:r>
              <w:rPr>
                <w:kern w:val="0"/>
                <w:sz w:val="20"/>
                <w:szCs w:val="20"/>
                <w:lang w:val="en-US" w:eastAsia="zh-CN" w:bidi="ar"/>
              </w:rPr>
              <w:t>一级</w:t>
            </w:r>
            <w:r>
              <w:rPr>
                <w:rFonts w:hint="eastAsia" w:ascii="宋体" w:hAnsi="宋体" w:eastAsia="宋体" w:cs="宋体"/>
                <w:i w:val="0"/>
                <w:iCs w:val="0"/>
                <w:kern w:val="0"/>
                <w:sz w:val="20"/>
                <w:szCs w:val="20"/>
                <w:u w:val="none"/>
                <w:lang w:val="en-US" w:eastAsia="zh-CN" w:bidi="ar"/>
              </w:rPr>
              <w:t>）</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2、养护期：12个月</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m</w:t>
            </w:r>
            <w:r>
              <w:rPr>
                <w:rFonts w:hint="eastAsia" w:ascii="宋体" w:hAnsi="宋体" w:eastAsia="宋体" w:cs="宋体"/>
                <w:i w:val="0"/>
                <w:iCs w:val="0"/>
                <w:kern w:val="0"/>
                <w:sz w:val="20"/>
                <w:szCs w:val="20"/>
                <w:u w:val="none"/>
                <w:vertAlign w:val="superscript"/>
                <w:lang w:val="en-US" w:eastAsia="zh-CN" w:bidi="ar"/>
              </w:rPr>
              <w:t>2</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4400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kern w:val="0"/>
                <w:sz w:val="20"/>
                <w:szCs w:val="20"/>
                <w:u w:val="none"/>
                <w:lang w:bidi="ar"/>
              </w:rPr>
            </w:pPr>
            <w:r>
              <w:rPr>
                <w:rFonts w:hint="eastAsia" w:ascii="宋体" w:hAnsi="宋体" w:eastAsia="宋体" w:cs="宋体"/>
                <w:b w:val="0"/>
                <w:bCs w:val="0"/>
                <w:i w:val="0"/>
                <w:iCs w:val="0"/>
                <w:kern w:val="0"/>
                <w:sz w:val="20"/>
                <w:szCs w:val="20"/>
                <w:u w:val="none"/>
                <w:lang w:val="en-US" w:eastAsia="zh-CN" w:bidi="ar"/>
              </w:rPr>
              <w:t>3</w:t>
            </w:r>
          </w:p>
        </w:tc>
        <w:tc>
          <w:tcPr>
            <w:tcW w:w="11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道路绿地</w:t>
            </w:r>
            <w:r>
              <w:rPr>
                <w:kern w:val="0"/>
                <w:sz w:val="20"/>
                <w:szCs w:val="20"/>
                <w:lang w:val="en-US" w:eastAsia="zh-CN" w:bidi="ar"/>
              </w:rPr>
              <w:t>一级</w:t>
            </w:r>
            <w:r>
              <w:rPr>
                <w:rFonts w:hint="eastAsia" w:ascii="宋体" w:hAnsi="宋体" w:eastAsia="宋体" w:cs="宋体"/>
                <w:i w:val="0"/>
                <w:iCs w:val="0"/>
                <w:kern w:val="0"/>
                <w:sz w:val="20"/>
                <w:szCs w:val="20"/>
                <w:u w:val="none"/>
                <w:lang w:val="en-US" w:eastAsia="zh-CN" w:bidi="ar"/>
              </w:rPr>
              <w:t>养护</w:t>
            </w: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地质公园路外侧绿地</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1、道路绿地养护（</w:t>
            </w:r>
            <w:r>
              <w:rPr>
                <w:kern w:val="0"/>
                <w:sz w:val="20"/>
                <w:szCs w:val="20"/>
                <w:lang w:val="en-US" w:eastAsia="zh-CN" w:bidi="ar"/>
              </w:rPr>
              <w:t>一级</w:t>
            </w:r>
            <w:r>
              <w:rPr>
                <w:rFonts w:hint="eastAsia" w:ascii="宋体" w:hAnsi="宋体" w:eastAsia="宋体" w:cs="宋体"/>
                <w:i w:val="0"/>
                <w:iCs w:val="0"/>
                <w:kern w:val="0"/>
                <w:sz w:val="20"/>
                <w:szCs w:val="20"/>
                <w:u w:val="none"/>
                <w:lang w:val="en-US" w:eastAsia="zh-CN" w:bidi="ar"/>
              </w:rPr>
              <w:t>）</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2、养护期：12个月</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m</w:t>
            </w:r>
            <w:r>
              <w:rPr>
                <w:rFonts w:hint="eastAsia" w:ascii="宋体" w:hAnsi="宋体" w:eastAsia="宋体" w:cs="宋体"/>
                <w:i w:val="0"/>
                <w:iCs w:val="0"/>
                <w:kern w:val="0"/>
                <w:sz w:val="20"/>
                <w:szCs w:val="20"/>
                <w:u w:val="none"/>
                <w:vertAlign w:val="superscript"/>
                <w:lang w:val="en-US" w:eastAsia="zh-CN" w:bidi="ar"/>
              </w:rPr>
              <w:t>2</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22000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1"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kern w:val="0"/>
                <w:sz w:val="20"/>
                <w:szCs w:val="20"/>
                <w:u w:val="none"/>
                <w:lang w:bidi="ar"/>
              </w:rPr>
            </w:pPr>
            <w:r>
              <w:rPr>
                <w:rFonts w:hint="eastAsia" w:ascii="宋体" w:hAnsi="宋体" w:eastAsia="宋体" w:cs="宋体"/>
                <w:b w:val="0"/>
                <w:bCs w:val="0"/>
                <w:i w:val="0"/>
                <w:iCs w:val="0"/>
                <w:kern w:val="0"/>
                <w:sz w:val="20"/>
                <w:szCs w:val="20"/>
                <w:u w:val="none"/>
                <w:lang w:val="en-US" w:eastAsia="zh-CN" w:bidi="ar"/>
              </w:rPr>
              <w:t>4</w:t>
            </w:r>
          </w:p>
        </w:tc>
        <w:tc>
          <w:tcPr>
            <w:tcW w:w="11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行道树二级养护</w:t>
            </w: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地质公园路行道树养护</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1、二级行道树养护</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株</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485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0"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kern w:val="0"/>
                <w:sz w:val="20"/>
                <w:szCs w:val="20"/>
                <w:u w:val="none"/>
                <w:lang w:bidi="ar"/>
              </w:rPr>
            </w:pPr>
            <w:r>
              <w:rPr>
                <w:rFonts w:hint="eastAsia" w:ascii="宋体" w:hAnsi="宋体" w:eastAsia="宋体" w:cs="宋体"/>
                <w:b w:val="0"/>
                <w:bCs w:val="0"/>
                <w:i w:val="0"/>
                <w:iCs w:val="0"/>
                <w:kern w:val="0"/>
                <w:sz w:val="20"/>
                <w:szCs w:val="20"/>
                <w:u w:val="none"/>
                <w:lang w:val="en-US" w:eastAsia="zh-CN" w:bidi="ar"/>
              </w:rPr>
              <w:t>5</w:t>
            </w:r>
          </w:p>
        </w:tc>
        <w:tc>
          <w:tcPr>
            <w:tcW w:w="11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公园绿地一级管养</w:t>
            </w: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博物馆园区内绿化管养（含花坛）</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1、含博物馆园区绿化养护</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2、含博物馆园区绿地及园路、广场、水体、园林设施与小品保洁</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3、保洁应整体无成片落叶、无大型枯枝枯叶、无建筑垃圾、无生活垃圾及其他杂物，此外铺装场地无积尘、无积水、无污渍、无口香糖痕迹，园林设施与小品洁净清爽、无乱张贴、无乱涂画、无蛛网、无鸟粪、无杂灌草生长</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4、绿化养护的乔灌木生长旺盛，枝叶健壮，外型美观，修剪适时；地被和草坪整齐雅观，四季常绿无坑洼积水，无裸露地</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5、养护期：12个月</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m</w:t>
            </w:r>
            <w:r>
              <w:rPr>
                <w:rFonts w:hint="eastAsia" w:ascii="宋体" w:hAnsi="宋体" w:eastAsia="宋体" w:cs="宋体"/>
                <w:i w:val="0"/>
                <w:iCs w:val="0"/>
                <w:kern w:val="0"/>
                <w:sz w:val="20"/>
                <w:szCs w:val="20"/>
                <w:u w:val="none"/>
                <w:vertAlign w:val="superscript"/>
                <w:lang w:val="en-US" w:eastAsia="zh-CN" w:bidi="ar"/>
              </w:rPr>
              <w:t>2</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32321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0"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kern w:val="0"/>
                <w:sz w:val="20"/>
                <w:szCs w:val="20"/>
                <w:u w:val="none"/>
                <w:lang w:bidi="ar"/>
              </w:rPr>
            </w:pPr>
            <w:r>
              <w:rPr>
                <w:rFonts w:hint="eastAsia" w:ascii="宋体" w:hAnsi="宋体" w:eastAsia="宋体" w:cs="宋体"/>
                <w:b w:val="0"/>
                <w:bCs w:val="0"/>
                <w:i w:val="0"/>
                <w:iCs w:val="0"/>
                <w:kern w:val="0"/>
                <w:sz w:val="20"/>
                <w:szCs w:val="20"/>
                <w:u w:val="none"/>
                <w:lang w:val="en-US" w:eastAsia="zh-CN" w:bidi="ar"/>
              </w:rPr>
              <w:t>6</w:t>
            </w:r>
          </w:p>
        </w:tc>
        <w:tc>
          <w:tcPr>
            <w:tcW w:w="11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公园绿地一级管养</w:t>
            </w: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主峰登山线广场绿化管养（含主峰登山线入口）</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1、含主峰登山线广场、凤凰广场及周边绿化养护</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2、含主峰登山线广场、凤凰广场绿地及园路、广场、人行道、水体、园林设施与小品保洁</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3、保洁应整体无成片落叶、无大型枯枝枯叶、无建筑垃圾、无生活垃圾及其他杂物，此外铺装场地无积尘、无积水、无污渍、无口香糖痕迹，园林设施与小品洁净清爽、无乱张贴、无乱涂画、无蛛网、无鸟粪、无杂灌草生长</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4、绿化养护的乔灌木生长旺盛，枝叶健壮，外型美观，修剪适时；地被和草坪整齐雅观，四季常绿无坑洼积水，无裸露地</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5、养护期：12个月</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m</w:t>
            </w:r>
            <w:r>
              <w:rPr>
                <w:rFonts w:hint="eastAsia" w:ascii="宋体" w:hAnsi="宋体" w:eastAsia="宋体" w:cs="宋体"/>
                <w:i w:val="0"/>
                <w:iCs w:val="0"/>
                <w:kern w:val="0"/>
                <w:sz w:val="20"/>
                <w:szCs w:val="20"/>
                <w:u w:val="none"/>
                <w:vertAlign w:val="superscript"/>
                <w:lang w:val="en-US" w:eastAsia="zh-CN" w:bidi="ar"/>
              </w:rPr>
              <w:t>2</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12455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5"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kern w:val="0"/>
                <w:sz w:val="20"/>
                <w:szCs w:val="20"/>
                <w:u w:val="none"/>
                <w:lang w:bidi="ar"/>
              </w:rPr>
            </w:pPr>
            <w:r>
              <w:rPr>
                <w:rFonts w:hint="eastAsia" w:ascii="宋体" w:hAnsi="宋体" w:eastAsia="宋体" w:cs="宋体"/>
                <w:b w:val="0"/>
                <w:bCs w:val="0"/>
                <w:i w:val="0"/>
                <w:iCs w:val="0"/>
                <w:kern w:val="0"/>
                <w:sz w:val="20"/>
                <w:szCs w:val="20"/>
                <w:u w:val="none"/>
                <w:lang w:val="en-US" w:eastAsia="zh-CN" w:bidi="ar"/>
              </w:rPr>
              <w:t>7</w:t>
            </w:r>
          </w:p>
        </w:tc>
        <w:tc>
          <w:tcPr>
            <w:tcW w:w="11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公园绿地二级管养</w:t>
            </w: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高岭管理站绿化管养、11个岗亭周边绿地管养</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1、二级养护</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2、养护期12个月</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m</w:t>
            </w:r>
            <w:r>
              <w:rPr>
                <w:rFonts w:hint="eastAsia" w:ascii="宋体" w:hAnsi="宋体" w:eastAsia="宋体" w:cs="宋体"/>
                <w:i w:val="0"/>
                <w:iCs w:val="0"/>
                <w:kern w:val="0"/>
                <w:sz w:val="20"/>
                <w:szCs w:val="20"/>
                <w:u w:val="none"/>
                <w:vertAlign w:val="superscript"/>
                <w:lang w:val="en-US" w:eastAsia="zh-CN" w:bidi="ar"/>
              </w:rPr>
              <w:t>2</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4"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kern w:val="0"/>
                <w:sz w:val="20"/>
                <w:szCs w:val="20"/>
                <w:u w:val="none"/>
                <w:lang w:bidi="ar"/>
              </w:rPr>
            </w:pPr>
            <w:r>
              <w:rPr>
                <w:rFonts w:hint="eastAsia" w:ascii="宋体" w:hAnsi="宋体" w:eastAsia="宋体" w:cs="宋体"/>
                <w:b w:val="0"/>
                <w:bCs w:val="0"/>
                <w:i w:val="0"/>
                <w:iCs w:val="0"/>
                <w:kern w:val="0"/>
                <w:sz w:val="20"/>
                <w:szCs w:val="20"/>
                <w:u w:val="none"/>
                <w:lang w:val="en-US" w:eastAsia="zh-CN" w:bidi="ar"/>
              </w:rPr>
              <w:t>8</w:t>
            </w:r>
          </w:p>
        </w:tc>
        <w:tc>
          <w:tcPr>
            <w:tcW w:w="11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绿道绿地保洁及绿化养护</w:t>
            </w: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主峰登山道（含平台）和鹿雁线登山道（含平台）</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1、登山道</w:t>
            </w:r>
            <w:r>
              <w:rPr>
                <w:kern w:val="0"/>
                <w:sz w:val="20"/>
                <w:szCs w:val="20"/>
                <w:lang w:val="en-US" w:eastAsia="zh-CN" w:bidi="ar"/>
              </w:rPr>
              <w:t>两侧</w:t>
            </w:r>
            <w:r>
              <w:rPr>
                <w:rFonts w:hint="eastAsia" w:ascii="宋体" w:hAnsi="宋体" w:eastAsia="宋体" w:cs="宋体"/>
                <w:i w:val="0"/>
                <w:iCs w:val="0"/>
                <w:kern w:val="0"/>
                <w:sz w:val="20"/>
                <w:szCs w:val="20"/>
                <w:u w:val="none"/>
                <w:lang w:val="en-US" w:eastAsia="zh-CN" w:bidi="ar"/>
              </w:rPr>
              <w:t>绿地保洁（二级）</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2、</w:t>
            </w:r>
            <w:r>
              <w:rPr>
                <w:kern w:val="0"/>
                <w:sz w:val="20"/>
                <w:szCs w:val="20"/>
                <w:lang w:val="en-US" w:eastAsia="zh-CN" w:bidi="ar"/>
              </w:rPr>
              <w:t>登山道两侧相邻林地</w:t>
            </w:r>
            <w:r>
              <w:rPr>
                <w:rFonts w:hint="eastAsia" w:ascii="宋体" w:hAnsi="宋体" w:eastAsia="宋体" w:cs="宋体"/>
                <w:i w:val="0"/>
                <w:iCs w:val="0"/>
                <w:kern w:val="0"/>
                <w:sz w:val="20"/>
                <w:szCs w:val="20"/>
                <w:u w:val="none"/>
                <w:lang w:val="en-US" w:eastAsia="zh-CN" w:bidi="ar"/>
              </w:rPr>
              <w:t>的养护，包含清除杂草、修剪等及排水和灌溉设施维护</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3、养护期12个月</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m</w:t>
            </w:r>
            <w:r>
              <w:rPr>
                <w:rFonts w:hint="eastAsia" w:ascii="宋体" w:hAnsi="宋体" w:eastAsia="宋体" w:cs="宋体"/>
                <w:i w:val="0"/>
                <w:iCs w:val="0"/>
                <w:kern w:val="0"/>
                <w:sz w:val="20"/>
                <w:szCs w:val="20"/>
                <w:u w:val="none"/>
                <w:vertAlign w:val="superscript"/>
                <w:lang w:val="en-US" w:eastAsia="zh-CN" w:bidi="ar"/>
              </w:rPr>
              <w:t>2</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115100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54"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kern w:val="0"/>
                <w:sz w:val="20"/>
                <w:szCs w:val="20"/>
                <w:u w:val="none"/>
                <w:lang w:bidi="ar"/>
              </w:rPr>
            </w:pPr>
            <w:r>
              <w:rPr>
                <w:rFonts w:hint="eastAsia" w:ascii="宋体" w:hAnsi="宋体" w:eastAsia="宋体" w:cs="宋体"/>
                <w:b w:val="0"/>
                <w:bCs w:val="0"/>
                <w:i w:val="0"/>
                <w:iCs w:val="0"/>
                <w:kern w:val="0"/>
                <w:sz w:val="20"/>
                <w:szCs w:val="20"/>
                <w:u w:val="none"/>
                <w:lang w:val="en-US" w:eastAsia="zh-CN" w:bidi="ar"/>
              </w:rPr>
              <w:t>9</w:t>
            </w:r>
          </w:p>
        </w:tc>
        <w:tc>
          <w:tcPr>
            <w:tcW w:w="11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绿道路面保洁与路面维护（含木平台）</w:t>
            </w: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主峰登山道（含平台）和鹿雁线登山道（含平台）</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1、登山道</w:t>
            </w:r>
            <w:r>
              <w:rPr>
                <w:kern w:val="0"/>
                <w:sz w:val="20"/>
                <w:szCs w:val="20"/>
                <w:lang w:val="en-US" w:eastAsia="zh-CN" w:bidi="ar"/>
              </w:rPr>
              <w:t>路面</w:t>
            </w:r>
            <w:r>
              <w:rPr>
                <w:rFonts w:hint="eastAsia" w:ascii="宋体" w:hAnsi="宋体" w:eastAsia="宋体" w:cs="宋体"/>
                <w:i w:val="0"/>
                <w:iCs w:val="0"/>
                <w:kern w:val="0"/>
                <w:sz w:val="20"/>
                <w:szCs w:val="20"/>
                <w:u w:val="none"/>
                <w:lang w:val="en-US" w:eastAsia="zh-CN" w:bidi="ar"/>
              </w:rPr>
              <w:t>保洁（三级）</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2、路面（含台阶）松动、缺损、沉陷的修复</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3、木平台及时更换破损、变形的部位，金属构件每年除锈及油漆一次</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4、养护期12个月</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m</w:t>
            </w:r>
            <w:r>
              <w:rPr>
                <w:rFonts w:hint="eastAsia" w:ascii="宋体" w:hAnsi="宋体" w:eastAsia="宋体" w:cs="宋体"/>
                <w:i w:val="0"/>
                <w:iCs w:val="0"/>
                <w:kern w:val="0"/>
                <w:sz w:val="20"/>
                <w:szCs w:val="20"/>
                <w:u w:val="none"/>
                <w:vertAlign w:val="superscript"/>
                <w:lang w:val="en-US" w:eastAsia="zh-CN" w:bidi="ar"/>
              </w:rPr>
              <w:t>2</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19865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0"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kern w:val="0"/>
                <w:sz w:val="20"/>
                <w:szCs w:val="20"/>
                <w:u w:val="none"/>
                <w:lang w:bidi="ar"/>
              </w:rPr>
            </w:pPr>
            <w:r>
              <w:rPr>
                <w:rFonts w:hint="eastAsia" w:ascii="宋体" w:hAnsi="宋体" w:eastAsia="宋体" w:cs="宋体"/>
                <w:b w:val="0"/>
                <w:bCs w:val="0"/>
                <w:i w:val="0"/>
                <w:iCs w:val="0"/>
                <w:kern w:val="0"/>
                <w:sz w:val="20"/>
                <w:szCs w:val="20"/>
                <w:u w:val="none"/>
                <w:lang w:val="en-US" w:eastAsia="zh-CN" w:bidi="ar"/>
              </w:rPr>
              <w:t>10</w:t>
            </w:r>
          </w:p>
        </w:tc>
        <w:tc>
          <w:tcPr>
            <w:tcW w:w="11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风雨亭1</w:t>
            </w: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主峰登山道（含平台）和鹿雁线登山道共6座（50平米以下，10平米以上）</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1、定期清除亭外周围杂草和杂物</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2、亭内保持整洁，油漆脱落或锈蚀现象重新刷油漆</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3、每一年刷新一次</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4、养护期12个月</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座</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kern w:val="0"/>
                <w:sz w:val="20"/>
                <w:szCs w:val="20"/>
                <w:u w:val="none"/>
                <w:lang w:bidi="ar"/>
              </w:rPr>
            </w:pPr>
            <w:r>
              <w:rPr>
                <w:rFonts w:hint="eastAsia" w:ascii="宋体" w:hAnsi="宋体" w:eastAsia="宋体" w:cs="宋体"/>
                <w:b w:val="0"/>
                <w:bCs w:val="0"/>
                <w:i w:val="0"/>
                <w:iCs w:val="0"/>
                <w:kern w:val="0"/>
                <w:sz w:val="20"/>
                <w:szCs w:val="20"/>
                <w:u w:val="none"/>
                <w:lang w:val="en-US" w:eastAsia="zh-CN" w:bidi="ar"/>
              </w:rPr>
              <w:t>11</w:t>
            </w:r>
          </w:p>
        </w:tc>
        <w:tc>
          <w:tcPr>
            <w:tcW w:w="11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风雨亭2</w:t>
            </w: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主峰登山道和鹿雁线登山道共2座（10平米以下）</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1、定期清除亭外周围杂草和杂物</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2、亭内保持整洁，油漆脱落或锈蚀现象重新刷油漆</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3、每一年刷新一次</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4、养护期12个月</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座</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0"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kern w:val="0"/>
                <w:sz w:val="20"/>
                <w:szCs w:val="20"/>
                <w:u w:val="none"/>
                <w:lang w:bidi="ar"/>
              </w:rPr>
            </w:pPr>
            <w:r>
              <w:rPr>
                <w:rFonts w:hint="eastAsia" w:ascii="宋体" w:hAnsi="宋体" w:eastAsia="宋体" w:cs="宋体"/>
                <w:b w:val="0"/>
                <w:bCs w:val="0"/>
                <w:i w:val="0"/>
                <w:iCs w:val="0"/>
                <w:kern w:val="0"/>
                <w:sz w:val="20"/>
                <w:szCs w:val="20"/>
                <w:u w:val="none"/>
                <w:lang w:val="en-US" w:eastAsia="zh-CN" w:bidi="ar"/>
              </w:rPr>
              <w:t>12</w:t>
            </w:r>
          </w:p>
        </w:tc>
        <w:tc>
          <w:tcPr>
            <w:tcW w:w="11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砼(石)栏杆（含柱）</w:t>
            </w: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主峰登山道和鹿雁线登山道</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1、定期清洁及维护</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2、如破损，原样修复或更换栏杆或柱子</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3、每一年刷新一次铁链</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4、养护期12个月</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m</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7"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kern w:val="0"/>
                <w:sz w:val="20"/>
                <w:szCs w:val="20"/>
                <w:u w:val="none"/>
                <w:lang w:bidi="ar"/>
              </w:rPr>
            </w:pPr>
            <w:r>
              <w:rPr>
                <w:rFonts w:hint="eastAsia" w:ascii="宋体" w:hAnsi="宋体" w:eastAsia="宋体" w:cs="宋体"/>
                <w:b w:val="0"/>
                <w:bCs w:val="0"/>
                <w:i w:val="0"/>
                <w:iCs w:val="0"/>
                <w:kern w:val="0"/>
                <w:sz w:val="20"/>
                <w:szCs w:val="20"/>
                <w:u w:val="none"/>
                <w:lang w:val="en-US" w:eastAsia="zh-CN" w:bidi="ar"/>
              </w:rPr>
              <w:t>13</w:t>
            </w:r>
          </w:p>
        </w:tc>
        <w:tc>
          <w:tcPr>
            <w:tcW w:w="11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公园绿地二级养护</w:t>
            </w: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博物馆周边人工景观林（含科普园）</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1、二级养护</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2、养护期12个月</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m</w:t>
            </w:r>
            <w:r>
              <w:rPr>
                <w:rFonts w:hint="eastAsia" w:ascii="宋体" w:hAnsi="宋体" w:eastAsia="宋体" w:cs="宋体"/>
                <w:i w:val="0"/>
                <w:iCs w:val="0"/>
                <w:kern w:val="0"/>
                <w:sz w:val="20"/>
                <w:szCs w:val="20"/>
                <w:u w:val="none"/>
                <w:vertAlign w:val="superscript"/>
                <w:lang w:val="en-US" w:eastAsia="zh-CN" w:bidi="ar"/>
              </w:rPr>
              <w:t>2</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49700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2"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kern w:val="0"/>
                <w:sz w:val="20"/>
                <w:szCs w:val="20"/>
                <w:u w:val="none"/>
                <w:lang w:bidi="ar"/>
              </w:rPr>
            </w:pPr>
            <w:r>
              <w:rPr>
                <w:rFonts w:hint="eastAsia" w:ascii="宋体" w:hAnsi="宋体" w:eastAsia="宋体" w:cs="宋体"/>
                <w:b w:val="0"/>
                <w:bCs w:val="0"/>
                <w:i w:val="0"/>
                <w:iCs w:val="0"/>
                <w:kern w:val="0"/>
                <w:sz w:val="20"/>
                <w:szCs w:val="20"/>
                <w:u w:val="none"/>
                <w:lang w:val="en-US" w:eastAsia="zh-CN" w:bidi="ar"/>
              </w:rPr>
              <w:t>14</w:t>
            </w:r>
          </w:p>
        </w:tc>
        <w:tc>
          <w:tcPr>
            <w:tcW w:w="11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鹿咀林地养护</w:t>
            </w: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对鹿咀片区林地进行养护（二级）</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1、二级林地养护</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2、养护期：12个月</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m</w:t>
            </w:r>
            <w:r>
              <w:rPr>
                <w:rFonts w:hint="eastAsia" w:ascii="宋体" w:hAnsi="宋体" w:eastAsia="宋体" w:cs="宋体"/>
                <w:i w:val="0"/>
                <w:iCs w:val="0"/>
                <w:kern w:val="0"/>
                <w:sz w:val="20"/>
                <w:szCs w:val="20"/>
                <w:u w:val="none"/>
                <w:vertAlign w:val="superscript"/>
                <w:lang w:val="en-US" w:eastAsia="zh-CN" w:bidi="ar"/>
              </w:rPr>
              <w:t>2</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72254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kern w:val="0"/>
                <w:sz w:val="20"/>
                <w:szCs w:val="20"/>
                <w:u w:val="none"/>
                <w:lang w:bidi="ar"/>
              </w:rPr>
            </w:pPr>
            <w:r>
              <w:rPr>
                <w:rFonts w:hint="eastAsia" w:ascii="宋体" w:hAnsi="宋体" w:eastAsia="宋体" w:cs="宋体"/>
                <w:b w:val="0"/>
                <w:bCs w:val="0"/>
                <w:i w:val="0"/>
                <w:iCs w:val="0"/>
                <w:kern w:val="0"/>
                <w:sz w:val="20"/>
                <w:szCs w:val="20"/>
                <w:u w:val="none"/>
                <w:lang w:val="en-US" w:eastAsia="zh-CN" w:bidi="ar"/>
              </w:rPr>
              <w:t>15</w:t>
            </w:r>
          </w:p>
        </w:tc>
        <w:tc>
          <w:tcPr>
            <w:tcW w:w="11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除“四害”及白蚁防治</w:t>
            </w: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室外开放绿地区域</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1、除“四害”每周一次，白蚁防治每周一次</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2、服务期：12个月</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m</w:t>
            </w:r>
            <w:r>
              <w:rPr>
                <w:rFonts w:hint="eastAsia" w:ascii="宋体" w:hAnsi="宋体" w:eastAsia="宋体" w:cs="宋体"/>
                <w:i w:val="0"/>
                <w:iCs w:val="0"/>
                <w:kern w:val="0"/>
                <w:sz w:val="20"/>
                <w:szCs w:val="20"/>
                <w:u w:val="none"/>
                <w:vertAlign w:val="superscript"/>
                <w:lang w:val="en-US" w:eastAsia="zh-CN" w:bidi="ar"/>
              </w:rPr>
              <w:t>2</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72476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6"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16</w:t>
            </w:r>
          </w:p>
        </w:tc>
        <w:tc>
          <w:tcPr>
            <w:tcW w:w="11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设施管养维护</w:t>
            </w:r>
          </w:p>
        </w:tc>
        <w:tc>
          <w:tcPr>
            <w:tcW w:w="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主峰登山道和鹿雁线登山道</w:t>
            </w:r>
          </w:p>
        </w:tc>
        <w:tc>
          <w:tcPr>
            <w:tcW w:w="16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1、登山道排水沟的清理及断面整修、加固</w:t>
            </w:r>
            <w:r>
              <w:rPr>
                <w:rFonts w:hint="eastAsia" w:ascii="宋体" w:hAnsi="宋体" w:eastAsia="宋体" w:cs="宋体"/>
                <w:i w:val="0"/>
                <w:iCs w:val="0"/>
                <w:kern w:val="0"/>
                <w:sz w:val="20"/>
                <w:szCs w:val="20"/>
                <w:u w:val="none"/>
                <w:lang w:val="en-US" w:eastAsia="zh-CN" w:bidi="ar"/>
              </w:rPr>
              <w:br w:type="textWrapping"/>
            </w:r>
            <w:r>
              <w:rPr>
                <w:rFonts w:hint="eastAsia" w:ascii="宋体" w:hAnsi="宋体" w:eastAsia="宋体" w:cs="宋体"/>
                <w:i w:val="0"/>
                <w:iCs w:val="0"/>
                <w:kern w:val="0"/>
                <w:sz w:val="20"/>
                <w:szCs w:val="20"/>
                <w:u w:val="none"/>
                <w:lang w:val="en-US" w:eastAsia="zh-CN" w:bidi="ar"/>
              </w:rPr>
              <w:t>2、养护期12个月</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kern w:val="0"/>
                <w:sz w:val="20"/>
                <w:szCs w:val="20"/>
                <w:u w:val="none"/>
                <w:lang w:bidi="ar"/>
              </w:rPr>
            </w:pPr>
            <w:r>
              <w:rPr>
                <w:rFonts w:hint="eastAsia" w:ascii="宋体" w:hAnsi="宋体" w:eastAsia="宋体" w:cs="宋体"/>
                <w:i w:val="0"/>
                <w:iCs w:val="0"/>
                <w:kern w:val="0"/>
                <w:sz w:val="20"/>
                <w:szCs w:val="20"/>
                <w:u w:val="none"/>
                <w:lang w:val="en-US" w:eastAsia="zh-CN" w:bidi="ar"/>
              </w:rPr>
              <w:t>m</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kern w:val="0"/>
                <w:sz w:val="20"/>
                <w:szCs w:val="20"/>
                <w:u w:val="none"/>
                <w:lang w:bidi="ar"/>
              </w:rPr>
            </w:pPr>
            <w:r>
              <w:rPr>
                <w:rFonts w:hint="eastAsia" w:ascii="宋体" w:hAnsi="宋体" w:eastAsia="宋体" w:cs="宋体"/>
                <w:b w:val="0"/>
                <w:bCs w:val="0"/>
                <w:i w:val="0"/>
                <w:iCs w:val="0"/>
                <w:kern w:val="0"/>
                <w:sz w:val="20"/>
                <w:szCs w:val="20"/>
                <w:u w:val="none"/>
                <w:lang w:val="en-US" w:eastAsia="zh-CN" w:bidi="ar"/>
              </w:rPr>
              <w:t>11510</w:t>
            </w:r>
          </w:p>
        </w:tc>
      </w:tr>
    </w:tbl>
    <w:p>
      <w:pPr>
        <w:widowControl/>
        <w:textAlignment w:val="auto"/>
        <w:rPr>
          <w:rFonts w:hint="eastAsia" w:ascii="宋体" w:hAnsi="宋体" w:cs="宋体"/>
          <w:bCs/>
          <w:kern w:val="0"/>
          <w:sz w:val="24"/>
          <w:lang w:bidi="ar"/>
        </w:rPr>
      </w:pPr>
      <w:r>
        <w:rPr>
          <w:rFonts w:hint="eastAsia" w:ascii="宋体" w:hAnsi="宋体" w:cs="宋体"/>
          <w:bCs/>
          <w:kern w:val="0"/>
          <w:sz w:val="24"/>
          <w:lang w:bidi="ar"/>
        </w:rPr>
        <w:br w:type="page"/>
      </w:r>
    </w:p>
    <w:p>
      <w:pPr>
        <w:widowControl/>
        <w:textAlignment w:val="center"/>
        <w:rPr>
          <w:rFonts w:ascii="宋体" w:hAnsi="宋体" w:cs="宋体"/>
          <w:bCs/>
          <w:kern w:val="0"/>
          <w:sz w:val="24"/>
          <w:lang w:bidi="ar"/>
        </w:rPr>
      </w:pPr>
      <w:r>
        <w:rPr>
          <w:rFonts w:hint="eastAsia" w:ascii="宋体" w:hAnsi="宋体" w:cs="宋体"/>
          <w:bCs/>
          <w:kern w:val="0"/>
          <w:sz w:val="24"/>
          <w:lang w:bidi="ar"/>
        </w:rPr>
        <w:t>附件</w:t>
      </w:r>
      <w:r>
        <w:rPr>
          <w:rFonts w:hint="eastAsia" w:ascii="宋体" w:hAnsi="宋体" w:cs="宋体"/>
          <w:bCs/>
          <w:kern w:val="0"/>
          <w:sz w:val="24"/>
          <w:lang w:val="en-US" w:eastAsia="zh-CN" w:bidi="ar"/>
        </w:rPr>
        <w:t>2</w:t>
      </w:r>
      <w:r>
        <w:rPr>
          <w:rFonts w:hint="eastAsia" w:ascii="宋体" w:hAnsi="宋体" w:cs="宋体"/>
          <w:bCs/>
          <w:kern w:val="0"/>
          <w:sz w:val="24"/>
          <w:lang w:bidi="ar"/>
        </w:rPr>
        <w:t>：</w:t>
      </w:r>
    </w:p>
    <w:p>
      <w:pPr>
        <w:widowControl/>
        <w:textAlignment w:val="center"/>
        <w:rPr>
          <w:rFonts w:ascii="宋体" w:hAnsi="宋体" w:cs="宋体"/>
          <w:bCs/>
          <w:kern w:val="0"/>
          <w:sz w:val="24"/>
          <w:lang w:bidi="ar"/>
        </w:rPr>
      </w:pPr>
    </w:p>
    <w:p>
      <w:pPr>
        <w:spacing w:line="440" w:lineRule="exact"/>
        <w:jc w:val="center"/>
        <w:rPr>
          <w:rFonts w:hAnsi="宋体"/>
          <w:b/>
          <w:bCs/>
          <w:sz w:val="28"/>
          <w:szCs w:val="28"/>
        </w:rPr>
      </w:pPr>
      <w:r>
        <w:rPr>
          <w:rFonts w:hint="eastAsia" w:ascii="宋体" w:hAnsi="宋体"/>
          <w:b/>
          <w:bCs/>
          <w:sz w:val="28"/>
          <w:szCs w:val="28"/>
        </w:rPr>
        <w:t>深圳大鹏半岛国家地质自然公园绿地养护、登山道设施维护及林地保洁监管考评指引</w:t>
      </w:r>
    </w:p>
    <w:p>
      <w:pPr>
        <w:spacing w:line="440" w:lineRule="exact"/>
        <w:jc w:val="center"/>
        <w:rPr>
          <w:rFonts w:hAnsi="宋体"/>
          <w:b/>
          <w:bCs/>
          <w:sz w:val="28"/>
          <w:szCs w:val="28"/>
        </w:rPr>
      </w:pPr>
    </w:p>
    <w:p>
      <w:pPr>
        <w:spacing w:line="440" w:lineRule="exact"/>
        <w:ind w:firstLine="420" w:firstLineChars="200"/>
        <w:rPr>
          <w:rFonts w:hAnsi="宋体"/>
        </w:rPr>
      </w:pPr>
      <w:r>
        <w:rPr>
          <w:rFonts w:hint="eastAsia" w:ascii="宋体" w:hAnsi="宋体"/>
        </w:rPr>
        <w:t>为了加强深圳大鹏半岛国家地质自然公园管理处绿地养护、登山道设施维护及林地保洁管理工作，不断提升管理水平，制定本指引。</w:t>
      </w:r>
    </w:p>
    <w:p>
      <w:pPr>
        <w:numPr>
          <w:ilvl w:val="0"/>
          <w:numId w:val="3"/>
        </w:numPr>
        <w:spacing w:line="440" w:lineRule="exact"/>
        <w:ind w:firstLine="422" w:firstLineChars="200"/>
        <w:rPr>
          <w:rFonts w:hAnsi="宋体"/>
          <w:b/>
          <w:bCs/>
        </w:rPr>
      </w:pPr>
      <w:r>
        <w:rPr>
          <w:rFonts w:ascii="宋体" w:hAnsi="宋体"/>
          <w:b/>
          <w:bCs/>
        </w:rPr>
        <w:t xml:space="preserve"> 考评小组</w:t>
      </w:r>
    </w:p>
    <w:p>
      <w:pPr>
        <w:spacing w:line="440" w:lineRule="exact"/>
        <w:ind w:firstLine="481"/>
        <w:rPr>
          <w:rFonts w:hAnsi="宋体"/>
        </w:rPr>
      </w:pPr>
      <w:r>
        <w:rPr>
          <w:rFonts w:hint="eastAsia" w:ascii="宋体" w:hAnsi="宋体"/>
        </w:rPr>
        <w:t>深圳大鹏半岛国家地质自然公园管理处成立绿地养护、登山道设施维护及林地保洁监管考评小组（以下简称考评小组），负责该项目的统筹管理。考评小组组长为管理部门分管领导，副组长为管理部门负责人，考评小组成员为管理部门该项目负责人。</w:t>
      </w:r>
    </w:p>
    <w:p>
      <w:pPr>
        <w:spacing w:line="440" w:lineRule="exact"/>
        <w:ind w:firstLine="422" w:firstLineChars="200"/>
        <w:rPr>
          <w:rFonts w:hAnsi="宋体"/>
          <w:b/>
          <w:bCs/>
        </w:rPr>
      </w:pPr>
      <w:r>
        <w:rPr>
          <w:rFonts w:hint="eastAsia" w:ascii="宋体" w:hAnsi="宋体"/>
          <w:b/>
          <w:bCs/>
        </w:rPr>
        <w:t>第二条</w:t>
      </w:r>
      <w:r>
        <w:rPr>
          <w:rFonts w:ascii="宋体" w:hAnsi="宋体"/>
          <w:b/>
          <w:bCs/>
        </w:rPr>
        <w:t xml:space="preserve"> </w:t>
      </w:r>
      <w:r>
        <w:rPr>
          <w:rFonts w:hint="eastAsia" w:ascii="宋体" w:hAnsi="宋体"/>
          <w:b/>
          <w:bCs/>
        </w:rPr>
        <w:t>考评方式</w:t>
      </w:r>
    </w:p>
    <w:p>
      <w:pPr>
        <w:spacing w:line="440" w:lineRule="exact"/>
        <w:ind w:firstLine="420" w:firstLineChars="200"/>
        <w:rPr>
          <w:rFonts w:hAnsi="宋体"/>
        </w:rPr>
      </w:pPr>
      <w:r>
        <w:rPr>
          <w:rFonts w:hint="eastAsia" w:ascii="宋体" w:hAnsi="宋体"/>
        </w:rPr>
        <w:t>该项目考评分为周考评</w:t>
      </w:r>
      <w:r>
        <w:rPr>
          <w:rFonts w:hint="eastAsia" w:ascii="宋体" w:hAnsi="宋体"/>
          <w:lang w:eastAsia="zh-CN"/>
        </w:rPr>
        <w:t>、</w:t>
      </w:r>
      <w:r>
        <w:rPr>
          <w:rFonts w:hint="eastAsia" w:ascii="宋体" w:hAnsi="宋体"/>
        </w:rPr>
        <w:t>月考评部分。</w:t>
      </w:r>
    </w:p>
    <w:p>
      <w:pPr>
        <w:spacing w:line="440" w:lineRule="exact"/>
        <w:ind w:firstLine="422" w:firstLineChars="200"/>
        <w:rPr>
          <w:rFonts w:hAnsi="宋体"/>
          <w:b/>
          <w:bCs/>
        </w:rPr>
      </w:pPr>
      <w:r>
        <w:rPr>
          <w:rFonts w:hint="eastAsia" w:ascii="宋体" w:hAnsi="宋体"/>
          <w:b/>
          <w:bCs/>
        </w:rPr>
        <w:t>第三条</w:t>
      </w:r>
      <w:r>
        <w:rPr>
          <w:rFonts w:ascii="宋体" w:hAnsi="宋体"/>
          <w:b/>
          <w:bCs/>
        </w:rPr>
        <w:t xml:space="preserve"> </w:t>
      </w:r>
      <w:r>
        <w:rPr>
          <w:rFonts w:hint="eastAsia" w:ascii="宋体" w:hAnsi="宋体"/>
          <w:b/>
          <w:bCs/>
        </w:rPr>
        <w:t>考评组织</w:t>
      </w:r>
    </w:p>
    <w:p>
      <w:pPr>
        <w:spacing w:line="440" w:lineRule="exact"/>
        <w:ind w:firstLine="420" w:firstLineChars="200"/>
        <w:rPr>
          <w:rFonts w:hAnsi="宋体"/>
        </w:rPr>
      </w:pPr>
      <w:r>
        <w:rPr>
          <w:rFonts w:hint="eastAsia" w:ascii="宋体" w:hAnsi="宋体"/>
        </w:rPr>
        <w:t>周考评由考评小组成员和服务单位项目主管</w:t>
      </w:r>
      <w:r>
        <w:rPr>
          <w:rFonts w:hint="eastAsia" w:ascii="宋体" w:hAnsi="宋体"/>
          <w:lang w:val="en-US" w:eastAsia="zh-CN"/>
        </w:rPr>
        <w:t>共同参加</w:t>
      </w:r>
      <w:r>
        <w:rPr>
          <w:rFonts w:hint="eastAsia" w:ascii="宋体" w:hAnsi="宋体"/>
        </w:rPr>
        <w:t>，每周开展考评，发现问题根据情况签发整改通知单/限期整改单并扣分处理。</w:t>
      </w:r>
    </w:p>
    <w:p>
      <w:pPr>
        <w:spacing w:line="440" w:lineRule="exact"/>
        <w:ind w:firstLine="420" w:firstLineChars="200"/>
        <w:rPr>
          <w:rFonts w:hint="eastAsia" w:ascii="宋体" w:hAnsi="宋体"/>
        </w:rPr>
      </w:pPr>
      <w:r>
        <w:rPr>
          <w:rFonts w:hint="eastAsia" w:ascii="宋体" w:hAnsi="宋体"/>
        </w:rPr>
        <w:t>月考评由考评小组组长带队，考评小组成员和服务单位</w:t>
      </w:r>
      <w:r>
        <w:rPr>
          <w:rFonts w:hint="eastAsia" w:ascii="宋体" w:hAnsi="宋体"/>
          <w:lang w:val="en-US" w:eastAsia="zh-CN"/>
        </w:rPr>
        <w:t>项目负责人、</w:t>
      </w:r>
      <w:r>
        <w:rPr>
          <w:rFonts w:hint="eastAsia" w:ascii="宋体" w:hAnsi="宋体"/>
        </w:rPr>
        <w:t>项目主管</w:t>
      </w:r>
      <w:r>
        <w:rPr>
          <w:rFonts w:hint="eastAsia" w:ascii="宋体" w:hAnsi="宋体"/>
          <w:lang w:val="en-US" w:eastAsia="zh-CN"/>
        </w:rPr>
        <w:t>共同参加</w:t>
      </w:r>
      <w:r>
        <w:rPr>
          <w:rFonts w:hint="eastAsia" w:ascii="宋体" w:hAnsi="宋体"/>
        </w:rPr>
        <w:t>，每</w:t>
      </w:r>
      <w:r>
        <w:rPr>
          <w:rFonts w:hint="eastAsia" w:ascii="宋体" w:hAnsi="宋体"/>
          <w:lang w:val="en-US" w:eastAsia="zh-CN"/>
        </w:rPr>
        <w:t>月</w:t>
      </w:r>
      <w:r>
        <w:rPr>
          <w:rFonts w:hint="eastAsia" w:ascii="宋体" w:hAnsi="宋体"/>
        </w:rPr>
        <w:t>开展考评，发现问题根据情况签发整改通知单/限期整改单并扣分处理。</w:t>
      </w:r>
    </w:p>
    <w:p>
      <w:pPr>
        <w:spacing w:line="440" w:lineRule="exact"/>
        <w:ind w:firstLine="422" w:firstLineChars="200"/>
        <w:rPr>
          <w:rFonts w:hAnsi="宋体"/>
          <w:b/>
          <w:bCs/>
        </w:rPr>
      </w:pPr>
      <w:r>
        <w:rPr>
          <w:rFonts w:hint="eastAsia" w:ascii="宋体" w:hAnsi="宋体"/>
          <w:b/>
          <w:bCs/>
        </w:rPr>
        <w:t>第四条</w:t>
      </w:r>
      <w:r>
        <w:rPr>
          <w:rFonts w:ascii="宋体" w:hAnsi="宋体"/>
          <w:b/>
          <w:bCs/>
        </w:rPr>
        <w:t xml:space="preserve"> </w:t>
      </w:r>
      <w:r>
        <w:rPr>
          <w:rFonts w:hint="eastAsia" w:ascii="宋体" w:hAnsi="宋体"/>
          <w:b/>
          <w:bCs/>
        </w:rPr>
        <w:t>考评计分</w:t>
      </w:r>
    </w:p>
    <w:p>
      <w:pPr>
        <w:spacing w:line="440" w:lineRule="exact"/>
        <w:ind w:firstLine="420" w:firstLineChars="200"/>
        <w:rPr>
          <w:rFonts w:hAnsi="宋体"/>
        </w:rPr>
      </w:pPr>
      <w:r>
        <w:rPr>
          <w:rFonts w:hint="eastAsia" w:ascii="宋体" w:hAnsi="宋体"/>
        </w:rPr>
        <w:t>周考评每周开展1次，按百分制考评计分，考评小组分别对照《绿地养护、登山道设施维护及林地保洁监管考评评分表（周）》进行考评，在《绿地养护、登山道设施维护及林地保洁监管考评月度总评分表》中占比</w:t>
      </w:r>
      <w:r>
        <w:rPr>
          <w:rFonts w:hint="eastAsia"/>
          <w:lang w:val="en-US" w:eastAsia="zh-CN"/>
        </w:rPr>
        <w:t>6</w:t>
      </w:r>
      <w:r>
        <w:rPr>
          <w:rFonts w:hAnsi="宋体"/>
        </w:rPr>
        <w:t>0%</w:t>
      </w:r>
      <w:r>
        <w:rPr>
          <w:rFonts w:hint="eastAsia" w:ascii="宋体" w:hAnsi="宋体"/>
        </w:rPr>
        <w:t>。周末及节假日等管理处园区巡查发现问题均为周考评依据。</w:t>
      </w:r>
    </w:p>
    <w:p>
      <w:pPr>
        <w:spacing w:line="440" w:lineRule="exact"/>
        <w:ind w:firstLine="420" w:firstLineChars="200"/>
        <w:rPr>
          <w:rFonts w:hint="eastAsia" w:ascii="宋体" w:hAnsi="宋体"/>
        </w:rPr>
      </w:pPr>
      <w:r>
        <w:rPr>
          <w:rFonts w:hint="eastAsia" w:ascii="宋体" w:hAnsi="宋体"/>
        </w:rPr>
        <w:t>月考评每月开展</w:t>
      </w:r>
      <w:r>
        <w:rPr>
          <w:rFonts w:hAnsi="宋体"/>
        </w:rPr>
        <w:t>1</w:t>
      </w:r>
      <w:r>
        <w:rPr>
          <w:rFonts w:hint="eastAsia" w:ascii="宋体" w:hAnsi="宋体"/>
        </w:rPr>
        <w:t>次，按百分制考评计分，由考评小组组长带队集中检查，考评小组分别对照《绿地养护、登山道设施维护及林地保洁监管考评评分表（月）》进行考评，在《绿地养护、登山道设施维护及林地保洁监管考评月度总评分表》中占比</w:t>
      </w:r>
      <w:r>
        <w:rPr>
          <w:rFonts w:hint="eastAsia"/>
          <w:lang w:val="en-US" w:eastAsia="zh-CN"/>
        </w:rPr>
        <w:t>4</w:t>
      </w:r>
      <w:r>
        <w:rPr>
          <w:rFonts w:hAnsi="宋体"/>
        </w:rPr>
        <w:t>0%</w:t>
      </w:r>
      <w:r>
        <w:rPr>
          <w:rFonts w:hint="eastAsia" w:ascii="宋体" w:hAnsi="宋体"/>
        </w:rPr>
        <w:t>。</w:t>
      </w:r>
    </w:p>
    <w:p>
      <w:pPr>
        <w:pStyle w:val="2"/>
        <w:rPr>
          <w:rFonts w:hint="default" w:eastAsia="宋体"/>
          <w:lang w:val="en-US" w:eastAsia="zh-CN"/>
        </w:rPr>
      </w:pPr>
    </w:p>
    <w:p>
      <w:pPr>
        <w:spacing w:line="440" w:lineRule="exact"/>
        <w:ind w:firstLine="420" w:firstLineChars="200"/>
        <w:rPr>
          <w:rFonts w:ascii="宋体" w:hAnsi="宋体"/>
        </w:rPr>
      </w:pPr>
    </w:p>
    <w:p/>
    <w:p>
      <w:r>
        <w:br w:type="page"/>
      </w:r>
    </w:p>
    <w:p>
      <w:pPr>
        <w:jc w:val="center"/>
        <w:rPr>
          <w:rFonts w:hAnsi="宋体"/>
          <w:b/>
          <w:bCs/>
          <w:sz w:val="28"/>
          <w:szCs w:val="28"/>
        </w:rPr>
      </w:pPr>
      <w:r>
        <w:rPr>
          <w:rFonts w:hint="eastAsia" w:ascii="宋体" w:hAnsi="宋体"/>
          <w:b/>
          <w:bCs/>
          <w:sz w:val="28"/>
          <w:szCs w:val="28"/>
        </w:rPr>
        <w:t>绿地养护、登山道设施维护及林地保洁监管考评月度总评分表</w:t>
      </w:r>
    </w:p>
    <w:p>
      <w:pPr>
        <w:spacing w:line="440" w:lineRule="exact"/>
        <w:ind w:right="26"/>
        <w:jc w:val="right"/>
        <w:rPr>
          <w:rFonts w:hAnsi="宋体"/>
        </w:rPr>
      </w:pPr>
      <w:r>
        <w:rPr>
          <w:rFonts w:hint="eastAsia" w:ascii="宋体" w:hAnsi="宋体"/>
        </w:rPr>
        <w:t>日期：</w:t>
      </w:r>
      <w:r>
        <w:rPr>
          <w:rFonts w:ascii="宋体" w:hAnsi="宋体"/>
        </w:rPr>
        <w:t xml:space="preserve">    </w:t>
      </w:r>
      <w:r>
        <w:rPr>
          <w:rFonts w:hint="eastAsia" w:ascii="宋体" w:hAnsi="宋体"/>
        </w:rPr>
        <w:t>年</w:t>
      </w:r>
      <w:r>
        <w:rPr>
          <w:rFonts w:ascii="宋体" w:hAnsi="宋体"/>
        </w:rPr>
        <w:t xml:space="preserve">   </w:t>
      </w:r>
      <w:r>
        <w:rPr>
          <w:rFonts w:hint="eastAsia" w:ascii="宋体" w:hAnsi="宋体"/>
        </w:rPr>
        <w:t>月</w:t>
      </w:r>
      <w:r>
        <w:rPr>
          <w:rFonts w:ascii="宋体" w:hAnsi="宋体"/>
        </w:rPr>
        <w:t xml:space="preserve">   </w:t>
      </w:r>
      <w:r>
        <w:rPr>
          <w:rFonts w:hint="eastAsia" w:ascii="宋体" w:hAnsi="宋体"/>
        </w:rPr>
        <w:t>日</w:t>
      </w:r>
    </w:p>
    <w:tbl>
      <w:tblPr>
        <w:tblStyle w:val="12"/>
        <w:tblW w:w="8522" w:type="dxa"/>
        <w:jc w:val="center"/>
        <w:tblLayout w:type="fixed"/>
        <w:tblCellMar>
          <w:top w:w="0" w:type="dxa"/>
          <w:left w:w="108" w:type="dxa"/>
          <w:bottom w:w="0" w:type="dxa"/>
          <w:right w:w="108" w:type="dxa"/>
        </w:tblCellMar>
      </w:tblPr>
      <w:tblGrid>
        <w:gridCol w:w="2281"/>
        <w:gridCol w:w="1248"/>
        <w:gridCol w:w="477"/>
        <w:gridCol w:w="771"/>
        <w:gridCol w:w="1248"/>
        <w:gridCol w:w="666"/>
        <w:gridCol w:w="582"/>
        <w:gridCol w:w="1249"/>
      </w:tblGrid>
      <w:tr>
        <w:tblPrEx>
          <w:tblCellMar>
            <w:top w:w="0" w:type="dxa"/>
            <w:left w:w="108" w:type="dxa"/>
            <w:bottom w:w="0" w:type="dxa"/>
            <w:right w:w="108" w:type="dxa"/>
          </w:tblCellMar>
        </w:tblPrEx>
        <w:trPr>
          <w:jc w:val="center"/>
        </w:trPr>
        <w:tc>
          <w:tcPr>
            <w:tcW w:w="2281" w:type="dxa"/>
            <w:tcBorders>
              <w:top w:val="single" w:color="auto" w:sz="4" w:space="0"/>
              <w:left w:val="single" w:color="auto" w:sz="4" w:space="0"/>
              <w:bottom w:val="single" w:color="auto" w:sz="4" w:space="0"/>
              <w:right w:val="single" w:color="auto" w:sz="4" w:space="0"/>
            </w:tcBorders>
            <w:vAlign w:val="center"/>
          </w:tcPr>
          <w:p>
            <w:pPr>
              <w:jc w:val="center"/>
              <w:rPr>
                <w:b/>
                <w:bCs/>
                <w:sz w:val="28"/>
                <w:szCs w:val="28"/>
              </w:rPr>
            </w:pPr>
            <w:r>
              <w:rPr>
                <w:rFonts w:hint="eastAsia"/>
                <w:b/>
                <w:bCs/>
                <w:sz w:val="28"/>
                <w:szCs w:val="28"/>
              </w:rPr>
              <w:t>项目</w:t>
            </w:r>
          </w:p>
        </w:tc>
        <w:tc>
          <w:tcPr>
            <w:tcW w:w="6241" w:type="dxa"/>
            <w:gridSpan w:val="7"/>
            <w:tcBorders>
              <w:top w:val="single" w:color="auto" w:sz="4" w:space="0"/>
              <w:left w:val="nil"/>
              <w:bottom w:val="single" w:color="auto" w:sz="4" w:space="0"/>
              <w:right w:val="single" w:color="auto" w:sz="4" w:space="0"/>
            </w:tcBorders>
            <w:vAlign w:val="center"/>
          </w:tcPr>
          <w:p>
            <w:pPr>
              <w:jc w:val="center"/>
              <w:rPr>
                <w:b/>
                <w:bCs/>
                <w:sz w:val="28"/>
                <w:szCs w:val="28"/>
              </w:rPr>
            </w:pPr>
            <w:r>
              <w:rPr>
                <w:rFonts w:hint="eastAsia"/>
                <w:b/>
                <w:bCs/>
                <w:sz w:val="28"/>
                <w:szCs w:val="28"/>
              </w:rPr>
              <w:t>内容</w:t>
            </w:r>
          </w:p>
        </w:tc>
      </w:tr>
      <w:tr>
        <w:tblPrEx>
          <w:tblCellMar>
            <w:top w:w="0" w:type="dxa"/>
            <w:left w:w="108" w:type="dxa"/>
            <w:bottom w:w="0" w:type="dxa"/>
            <w:right w:w="108" w:type="dxa"/>
          </w:tblCellMar>
        </w:tblPrEx>
        <w:trPr>
          <w:trHeight w:val="706" w:hRule="atLeast"/>
          <w:jc w:val="center"/>
        </w:trPr>
        <w:tc>
          <w:tcPr>
            <w:tcW w:w="2281" w:type="dxa"/>
            <w:vMerge w:val="restart"/>
            <w:tcBorders>
              <w:top w:val="nil"/>
              <w:left w:val="single" w:color="auto" w:sz="4" w:space="0"/>
              <w:bottom w:val="single" w:color="auto" w:sz="4" w:space="0"/>
              <w:right w:val="single" w:color="auto" w:sz="4" w:space="0"/>
            </w:tcBorders>
            <w:vAlign w:val="center"/>
          </w:tcPr>
          <w:p>
            <w:pPr>
              <w:jc w:val="center"/>
            </w:pPr>
            <w:r>
              <w:rPr>
                <w:rFonts w:hint="eastAsia"/>
              </w:rPr>
              <w:t>周考核平均得分</w:t>
            </w:r>
          </w:p>
        </w:tc>
        <w:tc>
          <w:tcPr>
            <w:tcW w:w="1248" w:type="dxa"/>
            <w:tcBorders>
              <w:top w:val="single" w:color="auto" w:sz="4" w:space="0"/>
              <w:left w:val="nil"/>
              <w:bottom w:val="single" w:color="auto" w:sz="4" w:space="0"/>
              <w:right w:val="single" w:color="auto" w:sz="4" w:space="0"/>
            </w:tcBorders>
            <w:vAlign w:val="center"/>
          </w:tcPr>
          <w:p>
            <w:pPr>
              <w:jc w:val="center"/>
            </w:pPr>
            <w:r>
              <w:rPr>
                <w:rFonts w:hint="eastAsia"/>
              </w:rPr>
              <w:t>第一周</w:t>
            </w:r>
          </w:p>
        </w:tc>
        <w:tc>
          <w:tcPr>
            <w:tcW w:w="1248" w:type="dxa"/>
            <w:gridSpan w:val="2"/>
            <w:tcBorders>
              <w:top w:val="single" w:color="auto" w:sz="4" w:space="0"/>
              <w:left w:val="nil"/>
              <w:bottom w:val="single" w:color="auto" w:sz="4" w:space="0"/>
              <w:right w:val="single" w:color="auto" w:sz="4" w:space="0"/>
            </w:tcBorders>
            <w:vAlign w:val="center"/>
          </w:tcPr>
          <w:p>
            <w:pPr>
              <w:jc w:val="center"/>
            </w:pPr>
            <w:r>
              <w:rPr>
                <w:rFonts w:hint="eastAsia"/>
              </w:rPr>
              <w:t>第二周</w:t>
            </w:r>
          </w:p>
        </w:tc>
        <w:tc>
          <w:tcPr>
            <w:tcW w:w="1248" w:type="dxa"/>
            <w:tcBorders>
              <w:top w:val="single" w:color="auto" w:sz="4" w:space="0"/>
              <w:left w:val="nil"/>
              <w:bottom w:val="single" w:color="auto" w:sz="4" w:space="0"/>
              <w:right w:val="single" w:color="auto" w:sz="4" w:space="0"/>
            </w:tcBorders>
            <w:vAlign w:val="center"/>
          </w:tcPr>
          <w:p>
            <w:pPr>
              <w:jc w:val="center"/>
            </w:pPr>
            <w:r>
              <w:rPr>
                <w:rFonts w:hint="eastAsia"/>
              </w:rPr>
              <w:t>第三周</w:t>
            </w:r>
          </w:p>
        </w:tc>
        <w:tc>
          <w:tcPr>
            <w:tcW w:w="1248" w:type="dxa"/>
            <w:gridSpan w:val="2"/>
            <w:tcBorders>
              <w:top w:val="single" w:color="auto" w:sz="4" w:space="0"/>
              <w:left w:val="nil"/>
              <w:bottom w:val="single" w:color="auto" w:sz="4" w:space="0"/>
              <w:right w:val="single" w:color="auto" w:sz="4" w:space="0"/>
            </w:tcBorders>
            <w:vAlign w:val="center"/>
          </w:tcPr>
          <w:p>
            <w:pPr>
              <w:jc w:val="center"/>
            </w:pPr>
            <w:r>
              <w:rPr>
                <w:rFonts w:hint="eastAsia"/>
              </w:rPr>
              <w:t>第四周</w:t>
            </w:r>
          </w:p>
        </w:tc>
        <w:tc>
          <w:tcPr>
            <w:tcW w:w="1249" w:type="dxa"/>
            <w:tcBorders>
              <w:top w:val="single" w:color="auto" w:sz="4" w:space="0"/>
              <w:left w:val="nil"/>
              <w:bottom w:val="single" w:color="auto" w:sz="4" w:space="0"/>
              <w:right w:val="single" w:color="auto" w:sz="4" w:space="0"/>
            </w:tcBorders>
            <w:vAlign w:val="center"/>
          </w:tcPr>
          <w:p>
            <w:pPr>
              <w:jc w:val="center"/>
            </w:pPr>
            <w:r>
              <w:rPr>
                <w:rFonts w:hint="eastAsia"/>
              </w:rPr>
              <w:t>平均</w:t>
            </w:r>
          </w:p>
        </w:tc>
      </w:tr>
      <w:tr>
        <w:tblPrEx>
          <w:tblCellMar>
            <w:top w:w="0" w:type="dxa"/>
            <w:left w:w="108" w:type="dxa"/>
            <w:bottom w:w="0" w:type="dxa"/>
            <w:right w:w="108" w:type="dxa"/>
          </w:tblCellMar>
        </w:tblPrEx>
        <w:trPr>
          <w:trHeight w:val="731" w:hRule="atLeast"/>
          <w:jc w:val="center"/>
        </w:trPr>
        <w:tc>
          <w:tcPr>
            <w:tcW w:w="2281" w:type="dxa"/>
            <w:vMerge w:val="continue"/>
            <w:tcBorders>
              <w:top w:val="nil"/>
              <w:left w:val="single" w:color="auto" w:sz="4" w:space="0"/>
              <w:bottom w:val="single" w:color="auto" w:sz="4" w:space="0"/>
              <w:right w:val="single" w:color="auto" w:sz="4" w:space="0"/>
            </w:tcBorders>
            <w:vAlign w:val="center"/>
          </w:tcPr>
          <w:p>
            <w:pPr>
              <w:widowControl/>
              <w:jc w:val="left"/>
            </w:pPr>
          </w:p>
        </w:tc>
        <w:tc>
          <w:tcPr>
            <w:tcW w:w="1248" w:type="dxa"/>
            <w:tcBorders>
              <w:top w:val="single" w:color="auto" w:sz="4" w:space="0"/>
              <w:left w:val="nil"/>
              <w:bottom w:val="single" w:color="auto" w:sz="4" w:space="0"/>
              <w:right w:val="single" w:color="auto" w:sz="4" w:space="0"/>
            </w:tcBorders>
            <w:vAlign w:val="center"/>
          </w:tcPr>
          <w:p>
            <w:pPr>
              <w:jc w:val="center"/>
            </w:pPr>
          </w:p>
        </w:tc>
        <w:tc>
          <w:tcPr>
            <w:tcW w:w="1248" w:type="dxa"/>
            <w:gridSpan w:val="2"/>
            <w:tcBorders>
              <w:top w:val="single" w:color="auto" w:sz="4" w:space="0"/>
              <w:left w:val="nil"/>
              <w:bottom w:val="single" w:color="auto" w:sz="4" w:space="0"/>
              <w:right w:val="single" w:color="auto" w:sz="4" w:space="0"/>
            </w:tcBorders>
            <w:vAlign w:val="center"/>
          </w:tcPr>
          <w:p>
            <w:pPr>
              <w:jc w:val="center"/>
            </w:pPr>
          </w:p>
        </w:tc>
        <w:tc>
          <w:tcPr>
            <w:tcW w:w="1248" w:type="dxa"/>
            <w:tcBorders>
              <w:top w:val="single" w:color="auto" w:sz="4" w:space="0"/>
              <w:left w:val="nil"/>
              <w:bottom w:val="single" w:color="auto" w:sz="4" w:space="0"/>
              <w:right w:val="single" w:color="auto" w:sz="4" w:space="0"/>
            </w:tcBorders>
            <w:vAlign w:val="center"/>
          </w:tcPr>
          <w:p>
            <w:pPr>
              <w:jc w:val="center"/>
            </w:pPr>
          </w:p>
        </w:tc>
        <w:tc>
          <w:tcPr>
            <w:tcW w:w="1248" w:type="dxa"/>
            <w:gridSpan w:val="2"/>
            <w:tcBorders>
              <w:top w:val="single" w:color="auto" w:sz="4" w:space="0"/>
              <w:left w:val="nil"/>
              <w:bottom w:val="single" w:color="auto" w:sz="4" w:space="0"/>
              <w:right w:val="single" w:color="auto" w:sz="4" w:space="0"/>
            </w:tcBorders>
            <w:vAlign w:val="center"/>
          </w:tcPr>
          <w:p>
            <w:pPr>
              <w:jc w:val="center"/>
            </w:pPr>
          </w:p>
        </w:tc>
        <w:tc>
          <w:tcPr>
            <w:tcW w:w="1249" w:type="dxa"/>
            <w:tcBorders>
              <w:top w:val="single" w:color="auto" w:sz="4" w:space="0"/>
              <w:left w:val="nil"/>
              <w:bottom w:val="single" w:color="auto" w:sz="4" w:space="0"/>
              <w:right w:val="single" w:color="auto" w:sz="4" w:space="0"/>
            </w:tcBorders>
            <w:vAlign w:val="center"/>
          </w:tcPr>
          <w:p>
            <w:pPr>
              <w:jc w:val="center"/>
            </w:pPr>
          </w:p>
        </w:tc>
      </w:tr>
      <w:tr>
        <w:tblPrEx>
          <w:tblCellMar>
            <w:top w:w="0" w:type="dxa"/>
            <w:left w:w="108" w:type="dxa"/>
            <w:bottom w:w="0" w:type="dxa"/>
            <w:right w:w="108" w:type="dxa"/>
          </w:tblCellMar>
        </w:tblPrEx>
        <w:trPr>
          <w:trHeight w:val="904" w:hRule="atLeast"/>
          <w:jc w:val="center"/>
        </w:trPr>
        <w:tc>
          <w:tcPr>
            <w:tcW w:w="228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月度考核得分</w:t>
            </w:r>
          </w:p>
        </w:tc>
        <w:tc>
          <w:tcPr>
            <w:tcW w:w="6241" w:type="dxa"/>
            <w:gridSpan w:val="7"/>
            <w:tcBorders>
              <w:top w:val="single" w:color="auto" w:sz="4" w:space="0"/>
              <w:left w:val="nil"/>
              <w:bottom w:val="single" w:color="auto" w:sz="4" w:space="0"/>
              <w:right w:val="single" w:color="auto" w:sz="4" w:space="0"/>
            </w:tcBorders>
            <w:vAlign w:val="center"/>
          </w:tcPr>
          <w:p>
            <w:pPr>
              <w:jc w:val="center"/>
            </w:pPr>
          </w:p>
        </w:tc>
      </w:tr>
      <w:tr>
        <w:tblPrEx>
          <w:tblCellMar>
            <w:top w:w="0" w:type="dxa"/>
            <w:left w:w="108" w:type="dxa"/>
            <w:bottom w:w="0" w:type="dxa"/>
            <w:right w:w="108" w:type="dxa"/>
          </w:tblCellMar>
        </w:tblPrEx>
        <w:trPr>
          <w:trHeight w:val="872" w:hRule="atLeast"/>
          <w:jc w:val="center"/>
        </w:trPr>
        <w:tc>
          <w:tcPr>
            <w:tcW w:w="228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月度总评分计算公式</w:t>
            </w:r>
          </w:p>
        </w:tc>
        <w:tc>
          <w:tcPr>
            <w:tcW w:w="6241" w:type="dxa"/>
            <w:gridSpan w:val="7"/>
            <w:tcBorders>
              <w:top w:val="single" w:color="auto" w:sz="4" w:space="0"/>
              <w:left w:val="nil"/>
              <w:bottom w:val="single" w:color="auto" w:sz="4" w:space="0"/>
              <w:right w:val="single" w:color="auto" w:sz="4" w:space="0"/>
            </w:tcBorders>
            <w:vAlign w:val="center"/>
          </w:tcPr>
          <w:p>
            <w:pPr>
              <w:jc w:val="center"/>
            </w:pPr>
            <w:r>
              <w:rPr>
                <w:rFonts w:hint="eastAsia" w:hAnsi="宋体"/>
              </w:rPr>
              <w:t>总评分</w:t>
            </w:r>
            <w:r>
              <w:rPr>
                <w:rFonts w:hAnsi="宋体"/>
              </w:rPr>
              <w:t>=60</w:t>
            </w:r>
            <w:r>
              <w:rPr>
                <w:rFonts w:hint="eastAsia" w:hAnsi="宋体"/>
              </w:rPr>
              <w:t>%</w:t>
            </w:r>
            <w:r>
              <w:rPr>
                <w:rFonts w:hint="eastAsia" w:ascii="宋体" w:hAnsi="宋体"/>
              </w:rPr>
              <w:t>×周考核平均得分</w:t>
            </w:r>
            <w:r>
              <w:rPr>
                <w:rFonts w:hint="eastAsia" w:hAnsi="宋体"/>
              </w:rPr>
              <w:t>＋</w:t>
            </w:r>
            <w:r>
              <w:t>40</w:t>
            </w:r>
            <w:r>
              <w:rPr>
                <w:rFonts w:hint="eastAsia"/>
              </w:rPr>
              <w:t>%</w:t>
            </w:r>
            <w:r>
              <w:rPr>
                <w:rFonts w:hint="eastAsia" w:ascii="宋体" w:hAnsi="宋体"/>
              </w:rPr>
              <w:t>×月度考核得分</w:t>
            </w:r>
          </w:p>
        </w:tc>
      </w:tr>
      <w:tr>
        <w:tblPrEx>
          <w:tblCellMar>
            <w:top w:w="0" w:type="dxa"/>
            <w:left w:w="108" w:type="dxa"/>
            <w:bottom w:w="0" w:type="dxa"/>
            <w:right w:w="108" w:type="dxa"/>
          </w:tblCellMar>
        </w:tblPrEx>
        <w:trPr>
          <w:trHeight w:val="905" w:hRule="atLeast"/>
          <w:jc w:val="center"/>
        </w:trPr>
        <w:tc>
          <w:tcPr>
            <w:tcW w:w="228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月度总评分</w:t>
            </w:r>
          </w:p>
        </w:tc>
        <w:tc>
          <w:tcPr>
            <w:tcW w:w="1725" w:type="dxa"/>
            <w:gridSpan w:val="2"/>
            <w:tcBorders>
              <w:top w:val="single" w:color="auto" w:sz="4" w:space="0"/>
              <w:left w:val="nil"/>
              <w:bottom w:val="single" w:color="auto" w:sz="4" w:space="0"/>
              <w:right w:val="single" w:color="auto" w:sz="4" w:space="0"/>
            </w:tcBorders>
            <w:vAlign w:val="center"/>
          </w:tcPr>
          <w:p>
            <w:pPr>
              <w:jc w:val="center"/>
            </w:pPr>
          </w:p>
        </w:tc>
        <w:tc>
          <w:tcPr>
            <w:tcW w:w="2685" w:type="dxa"/>
            <w:gridSpan w:val="3"/>
            <w:tcBorders>
              <w:top w:val="single" w:color="auto" w:sz="4" w:space="0"/>
              <w:left w:val="nil"/>
              <w:bottom w:val="single" w:color="auto" w:sz="4" w:space="0"/>
              <w:right w:val="single" w:color="auto" w:sz="4" w:space="0"/>
            </w:tcBorders>
            <w:vAlign w:val="center"/>
          </w:tcPr>
          <w:p>
            <w:pPr>
              <w:jc w:val="center"/>
            </w:pPr>
            <w:r>
              <w:rPr>
                <w:rFonts w:hint="eastAsia"/>
              </w:rPr>
              <w:t>考评扣款</w:t>
            </w:r>
          </w:p>
          <w:p>
            <w:pPr>
              <w:jc w:val="center"/>
            </w:pPr>
            <w:r>
              <w:rPr>
                <w:rFonts w:hint="eastAsia"/>
              </w:rPr>
              <w:t>（标准：500</w:t>
            </w:r>
            <w:r>
              <w:rPr>
                <w:rFonts w:hint="eastAsia" w:ascii="宋体" w:hAnsi="宋体"/>
              </w:rPr>
              <w:t>元</w:t>
            </w:r>
            <w:r>
              <w:t>/</w:t>
            </w:r>
            <w:r>
              <w:rPr>
                <w:rFonts w:hint="eastAsia" w:ascii="宋体" w:hAnsi="宋体"/>
              </w:rPr>
              <w:t>分）</w:t>
            </w:r>
          </w:p>
        </w:tc>
        <w:tc>
          <w:tcPr>
            <w:tcW w:w="1831" w:type="dxa"/>
            <w:gridSpan w:val="2"/>
            <w:tcBorders>
              <w:top w:val="single" w:color="auto" w:sz="4" w:space="0"/>
              <w:left w:val="nil"/>
              <w:bottom w:val="single" w:color="auto" w:sz="4" w:space="0"/>
              <w:right w:val="single" w:color="auto" w:sz="4" w:space="0"/>
            </w:tcBorders>
            <w:vAlign w:val="center"/>
          </w:tcPr>
          <w:p>
            <w:pPr>
              <w:jc w:val="center"/>
            </w:pPr>
          </w:p>
        </w:tc>
      </w:tr>
      <w:tr>
        <w:tblPrEx>
          <w:tblCellMar>
            <w:top w:w="0" w:type="dxa"/>
            <w:left w:w="108" w:type="dxa"/>
            <w:bottom w:w="0" w:type="dxa"/>
            <w:right w:w="108" w:type="dxa"/>
          </w:tblCellMar>
        </w:tblPrEx>
        <w:trPr>
          <w:trHeight w:val="644" w:hRule="atLeast"/>
          <w:jc w:val="center"/>
        </w:trPr>
        <w:tc>
          <w:tcPr>
            <w:tcW w:w="2281" w:type="dxa"/>
            <w:vMerge w:val="restar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履约情况扣款</w:t>
            </w:r>
          </w:p>
        </w:tc>
        <w:tc>
          <w:tcPr>
            <w:tcW w:w="1725" w:type="dxa"/>
            <w:gridSpan w:val="2"/>
            <w:tcBorders>
              <w:top w:val="single" w:color="auto" w:sz="4" w:space="0"/>
              <w:left w:val="nil"/>
              <w:bottom w:val="single" w:color="auto" w:sz="4" w:space="0"/>
              <w:right w:val="single" w:color="auto" w:sz="4" w:space="0"/>
            </w:tcBorders>
            <w:vAlign w:val="center"/>
          </w:tcPr>
          <w:p>
            <w:pPr>
              <w:jc w:val="center"/>
            </w:pPr>
            <w:r>
              <w:rPr>
                <w:rFonts w:hint="eastAsia"/>
              </w:rPr>
              <w:t>扣款金额</w:t>
            </w:r>
          </w:p>
        </w:tc>
        <w:tc>
          <w:tcPr>
            <w:tcW w:w="4516" w:type="dxa"/>
            <w:gridSpan w:val="5"/>
            <w:vMerge w:val="restart"/>
            <w:tcBorders>
              <w:top w:val="single" w:color="auto" w:sz="4" w:space="0"/>
              <w:left w:val="nil"/>
              <w:bottom w:val="single" w:color="auto" w:sz="4" w:space="0"/>
              <w:right w:val="single" w:color="auto" w:sz="4" w:space="0"/>
            </w:tcBorders>
          </w:tcPr>
          <w:p>
            <w:r>
              <w:rPr>
                <w:rFonts w:hint="eastAsia"/>
              </w:rPr>
              <w:t>扣款说明:</w:t>
            </w:r>
          </w:p>
        </w:tc>
      </w:tr>
      <w:tr>
        <w:tblPrEx>
          <w:tblCellMar>
            <w:top w:w="0" w:type="dxa"/>
            <w:left w:w="108" w:type="dxa"/>
            <w:bottom w:w="0" w:type="dxa"/>
            <w:right w:w="108" w:type="dxa"/>
          </w:tblCellMar>
        </w:tblPrEx>
        <w:trPr>
          <w:trHeight w:val="747" w:hRule="atLeast"/>
          <w:jc w:val="center"/>
        </w:trPr>
        <w:tc>
          <w:tcPr>
            <w:tcW w:w="2281" w:type="dxa"/>
            <w:vMerge w:val="continue"/>
            <w:tcBorders>
              <w:top w:val="nil"/>
              <w:left w:val="single" w:color="auto" w:sz="4" w:space="0"/>
              <w:bottom w:val="single" w:color="auto" w:sz="4" w:space="0"/>
              <w:right w:val="single" w:color="auto" w:sz="4" w:space="0"/>
            </w:tcBorders>
            <w:vAlign w:val="center"/>
          </w:tcPr>
          <w:p>
            <w:pPr>
              <w:widowControl/>
              <w:jc w:val="left"/>
            </w:pPr>
          </w:p>
        </w:tc>
        <w:tc>
          <w:tcPr>
            <w:tcW w:w="1725" w:type="dxa"/>
            <w:gridSpan w:val="2"/>
            <w:tcBorders>
              <w:top w:val="single" w:color="auto" w:sz="4" w:space="0"/>
              <w:left w:val="nil"/>
              <w:bottom w:val="single" w:color="auto" w:sz="4" w:space="0"/>
              <w:right w:val="single" w:color="auto" w:sz="4" w:space="0"/>
            </w:tcBorders>
            <w:vAlign w:val="center"/>
          </w:tcPr>
          <w:p>
            <w:pPr>
              <w:jc w:val="center"/>
            </w:pPr>
          </w:p>
        </w:tc>
        <w:tc>
          <w:tcPr>
            <w:tcW w:w="4516" w:type="dxa"/>
            <w:gridSpan w:val="5"/>
            <w:vMerge w:val="continue"/>
            <w:tcBorders>
              <w:top w:val="nil"/>
              <w:left w:val="nil"/>
              <w:bottom w:val="single" w:color="auto" w:sz="4" w:space="0"/>
              <w:right w:val="single" w:color="auto" w:sz="4" w:space="0"/>
            </w:tcBorders>
            <w:vAlign w:val="center"/>
          </w:tcPr>
          <w:p>
            <w:pPr>
              <w:widowControl/>
              <w:jc w:val="left"/>
            </w:pPr>
          </w:p>
        </w:tc>
      </w:tr>
      <w:tr>
        <w:tblPrEx>
          <w:tblCellMar>
            <w:top w:w="0" w:type="dxa"/>
            <w:left w:w="108" w:type="dxa"/>
            <w:bottom w:w="0" w:type="dxa"/>
            <w:right w:w="108" w:type="dxa"/>
          </w:tblCellMar>
        </w:tblPrEx>
        <w:trPr>
          <w:trHeight w:val="989" w:hRule="atLeast"/>
          <w:jc w:val="center"/>
        </w:trPr>
        <w:tc>
          <w:tcPr>
            <w:tcW w:w="228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pPr>
            <w:r>
              <w:rPr>
                <w:rFonts w:hint="eastAsia" w:ascii="宋体" w:hAnsi="宋体"/>
              </w:rPr>
              <w:t>服务单位项目负责人</w:t>
            </w:r>
            <w:r>
              <w:rPr>
                <w:rFonts w:hint="eastAsia" w:hAnsi="宋体"/>
              </w:rPr>
              <w:t>（签名）</w:t>
            </w:r>
          </w:p>
        </w:tc>
        <w:tc>
          <w:tcPr>
            <w:tcW w:w="6241" w:type="dxa"/>
            <w:gridSpan w:val="7"/>
            <w:tcBorders>
              <w:top w:val="single" w:color="auto" w:sz="4" w:space="0"/>
              <w:left w:val="nil"/>
              <w:bottom w:val="single" w:color="auto" w:sz="4" w:space="0"/>
              <w:right w:val="single" w:color="auto" w:sz="4" w:space="0"/>
            </w:tcBorders>
            <w:vAlign w:val="center"/>
          </w:tcPr>
          <w:p>
            <w:pPr>
              <w:jc w:val="center"/>
            </w:pPr>
          </w:p>
        </w:tc>
      </w:tr>
      <w:tr>
        <w:tblPrEx>
          <w:tblCellMar>
            <w:top w:w="0" w:type="dxa"/>
            <w:left w:w="108" w:type="dxa"/>
            <w:bottom w:w="0" w:type="dxa"/>
            <w:right w:w="108" w:type="dxa"/>
          </w:tblCellMar>
        </w:tblPrEx>
        <w:trPr>
          <w:trHeight w:val="912" w:hRule="atLeast"/>
          <w:jc w:val="center"/>
        </w:trPr>
        <w:tc>
          <w:tcPr>
            <w:tcW w:w="2281" w:type="dxa"/>
            <w:tcBorders>
              <w:top w:val="single" w:color="auto" w:sz="4" w:space="0"/>
              <w:left w:val="single" w:color="auto" w:sz="4" w:space="0"/>
              <w:bottom w:val="single" w:color="auto" w:sz="4" w:space="0"/>
              <w:right w:val="single" w:color="auto" w:sz="4" w:space="0"/>
            </w:tcBorders>
            <w:vAlign w:val="center"/>
          </w:tcPr>
          <w:p>
            <w:pPr>
              <w:jc w:val="center"/>
              <w:rPr>
                <w:rFonts w:hAnsi="宋体"/>
              </w:rPr>
            </w:pPr>
            <w:r>
              <w:rPr>
                <w:rFonts w:hint="eastAsia" w:hAnsi="宋体"/>
              </w:rPr>
              <w:t>考评小组成员</w:t>
            </w:r>
          </w:p>
          <w:p>
            <w:pPr>
              <w:jc w:val="center"/>
            </w:pPr>
            <w:r>
              <w:rPr>
                <w:rFonts w:hint="eastAsia" w:hAnsi="宋体"/>
              </w:rPr>
              <w:t>（签名）</w:t>
            </w:r>
          </w:p>
        </w:tc>
        <w:tc>
          <w:tcPr>
            <w:tcW w:w="6241" w:type="dxa"/>
            <w:gridSpan w:val="7"/>
            <w:tcBorders>
              <w:top w:val="single" w:color="auto" w:sz="4" w:space="0"/>
              <w:left w:val="nil"/>
              <w:bottom w:val="single" w:color="auto" w:sz="4" w:space="0"/>
              <w:right w:val="single" w:color="auto" w:sz="4" w:space="0"/>
            </w:tcBorders>
            <w:vAlign w:val="center"/>
          </w:tcPr>
          <w:p>
            <w:pPr>
              <w:jc w:val="center"/>
            </w:pPr>
          </w:p>
        </w:tc>
      </w:tr>
      <w:tr>
        <w:tblPrEx>
          <w:tblCellMar>
            <w:top w:w="0" w:type="dxa"/>
            <w:left w:w="108" w:type="dxa"/>
            <w:bottom w:w="0" w:type="dxa"/>
            <w:right w:w="108" w:type="dxa"/>
          </w:tblCellMar>
        </w:tblPrEx>
        <w:trPr>
          <w:trHeight w:val="967" w:hRule="atLeast"/>
          <w:jc w:val="center"/>
        </w:trPr>
        <w:tc>
          <w:tcPr>
            <w:tcW w:w="2281" w:type="dxa"/>
            <w:tcBorders>
              <w:top w:val="nil"/>
              <w:left w:val="single" w:color="auto" w:sz="4" w:space="0"/>
              <w:bottom w:val="single" w:color="auto" w:sz="4" w:space="0"/>
              <w:right w:val="single" w:color="auto" w:sz="4" w:space="0"/>
            </w:tcBorders>
            <w:vAlign w:val="center"/>
          </w:tcPr>
          <w:p>
            <w:pPr>
              <w:spacing w:line="440" w:lineRule="exact"/>
              <w:jc w:val="center"/>
              <w:rPr>
                <w:rFonts w:hAnsi="宋体"/>
              </w:rPr>
            </w:pPr>
            <w:r>
              <w:rPr>
                <w:rFonts w:hint="eastAsia" w:hAnsi="宋体"/>
              </w:rPr>
              <w:t>考评小组副组长</w:t>
            </w:r>
          </w:p>
          <w:p>
            <w:pPr>
              <w:spacing w:line="440" w:lineRule="exact"/>
              <w:jc w:val="center"/>
              <w:rPr>
                <w:rFonts w:hAnsi="宋体"/>
              </w:rPr>
            </w:pPr>
            <w:r>
              <w:rPr>
                <w:rFonts w:hint="eastAsia" w:hAnsi="宋体"/>
              </w:rPr>
              <w:t>（签名）</w:t>
            </w:r>
          </w:p>
        </w:tc>
        <w:tc>
          <w:tcPr>
            <w:tcW w:w="6241" w:type="dxa"/>
            <w:gridSpan w:val="7"/>
            <w:tcBorders>
              <w:top w:val="single" w:color="auto" w:sz="4" w:space="0"/>
              <w:left w:val="nil"/>
              <w:right w:val="single" w:color="auto" w:sz="4" w:space="0"/>
            </w:tcBorders>
            <w:vAlign w:val="center"/>
          </w:tcPr>
          <w:p>
            <w:pPr>
              <w:jc w:val="center"/>
            </w:pPr>
          </w:p>
        </w:tc>
      </w:tr>
      <w:tr>
        <w:tblPrEx>
          <w:tblCellMar>
            <w:top w:w="0" w:type="dxa"/>
            <w:left w:w="108" w:type="dxa"/>
            <w:bottom w:w="0" w:type="dxa"/>
            <w:right w:w="108" w:type="dxa"/>
          </w:tblCellMar>
        </w:tblPrEx>
        <w:trPr>
          <w:trHeight w:val="1002" w:hRule="atLeast"/>
          <w:jc w:val="center"/>
        </w:trPr>
        <w:tc>
          <w:tcPr>
            <w:tcW w:w="228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Ansi="宋体"/>
              </w:rPr>
            </w:pPr>
            <w:r>
              <w:rPr>
                <w:rFonts w:hint="eastAsia" w:hAnsi="宋体"/>
              </w:rPr>
              <w:t>考评小组组长</w:t>
            </w:r>
          </w:p>
          <w:p>
            <w:pPr>
              <w:spacing w:line="440" w:lineRule="exact"/>
              <w:jc w:val="center"/>
              <w:rPr>
                <w:rFonts w:hAnsi="宋体"/>
              </w:rPr>
            </w:pPr>
            <w:r>
              <w:rPr>
                <w:rFonts w:hint="eastAsia" w:hAnsi="宋体"/>
              </w:rPr>
              <w:t>（签名）</w:t>
            </w:r>
          </w:p>
        </w:tc>
        <w:tc>
          <w:tcPr>
            <w:tcW w:w="6241" w:type="dxa"/>
            <w:gridSpan w:val="7"/>
            <w:tcBorders>
              <w:top w:val="single" w:color="auto" w:sz="4" w:space="0"/>
              <w:left w:val="nil"/>
              <w:bottom w:val="single" w:color="auto" w:sz="4" w:space="0"/>
              <w:right w:val="single" w:color="auto" w:sz="4" w:space="0"/>
            </w:tcBorders>
            <w:vAlign w:val="center"/>
          </w:tcPr>
          <w:p>
            <w:pPr>
              <w:jc w:val="center"/>
            </w:pPr>
          </w:p>
        </w:tc>
      </w:tr>
    </w:tbl>
    <w:p>
      <w:pPr>
        <w:spacing w:line="360" w:lineRule="auto"/>
        <w:rPr>
          <w:rFonts w:hAnsi="宋体" w:cs="Arial"/>
          <w:sz w:val="18"/>
          <w:szCs w:val="21"/>
        </w:rPr>
      </w:pPr>
      <w:r>
        <w:rPr>
          <w:rFonts w:hint="eastAsia" w:ascii="宋体" w:hAnsi="宋体" w:cs="Arial"/>
          <w:sz w:val="18"/>
          <w:szCs w:val="21"/>
        </w:rPr>
        <w:t>注：考核评价满分为</w:t>
      </w:r>
      <w:r>
        <w:rPr>
          <w:rFonts w:hAnsi="宋体" w:cs="Arial"/>
          <w:sz w:val="18"/>
          <w:szCs w:val="21"/>
        </w:rPr>
        <w:t>100</w:t>
      </w:r>
      <w:r>
        <w:rPr>
          <w:rFonts w:hint="eastAsia" w:ascii="宋体" w:hAnsi="宋体" w:cs="Arial"/>
          <w:sz w:val="18"/>
          <w:szCs w:val="21"/>
        </w:rPr>
        <w:t>分，</w:t>
      </w:r>
      <w:r>
        <w:rPr>
          <w:sz w:val="18"/>
          <w:szCs w:val="21"/>
        </w:rPr>
        <w:t>86</w:t>
      </w:r>
      <w:r>
        <w:rPr>
          <w:rFonts w:hint="eastAsia" w:ascii="宋体" w:hAnsi="宋体" w:cs="Arial"/>
          <w:sz w:val="18"/>
          <w:szCs w:val="21"/>
        </w:rPr>
        <w:t>分（含）以上为优，</w:t>
      </w:r>
      <w:r>
        <w:rPr>
          <w:sz w:val="18"/>
          <w:szCs w:val="21"/>
        </w:rPr>
        <w:t>76-85</w:t>
      </w:r>
      <w:r>
        <w:rPr>
          <w:rFonts w:hint="eastAsia"/>
          <w:sz w:val="18"/>
          <w:szCs w:val="21"/>
        </w:rPr>
        <w:t>（含）</w:t>
      </w:r>
      <w:r>
        <w:rPr>
          <w:rFonts w:hint="eastAsia" w:ascii="宋体" w:hAnsi="宋体" w:cs="Arial"/>
          <w:sz w:val="18"/>
          <w:szCs w:val="21"/>
        </w:rPr>
        <w:t>分为良，</w:t>
      </w:r>
      <w:r>
        <w:rPr>
          <w:sz w:val="18"/>
          <w:szCs w:val="21"/>
        </w:rPr>
        <w:t>66-75</w:t>
      </w:r>
      <w:r>
        <w:rPr>
          <w:rFonts w:hint="eastAsia"/>
          <w:sz w:val="18"/>
          <w:szCs w:val="21"/>
        </w:rPr>
        <w:t>（含）</w:t>
      </w:r>
      <w:r>
        <w:rPr>
          <w:rFonts w:hint="eastAsia" w:ascii="宋体" w:hAnsi="宋体" w:cs="Arial"/>
          <w:sz w:val="18"/>
          <w:szCs w:val="21"/>
        </w:rPr>
        <w:t>分为中，</w:t>
      </w:r>
      <w:r>
        <w:rPr>
          <w:sz w:val="18"/>
          <w:szCs w:val="21"/>
        </w:rPr>
        <w:t>65</w:t>
      </w:r>
      <w:r>
        <w:rPr>
          <w:rFonts w:hint="eastAsia" w:ascii="宋体" w:hAnsi="宋体" w:cs="Arial"/>
          <w:sz w:val="18"/>
          <w:szCs w:val="21"/>
        </w:rPr>
        <w:t>分（含）以下为差。</w:t>
      </w:r>
    </w:p>
    <w:p>
      <w:pPr>
        <w:spacing w:line="360" w:lineRule="auto"/>
        <w:ind w:firstLine="360" w:firstLineChars="200"/>
        <w:jc w:val="left"/>
      </w:pPr>
      <w:r>
        <w:rPr>
          <w:rFonts w:hint="eastAsia" w:ascii="宋体" w:hAnsi="宋体"/>
          <w:sz w:val="18"/>
          <w:szCs w:val="21"/>
        </w:rPr>
        <w:t>单月综合评分按</w:t>
      </w:r>
      <w:r>
        <w:rPr>
          <w:rFonts w:hint="eastAsia" w:ascii="宋体" w:hAnsi="宋体"/>
          <w:sz w:val="18"/>
          <w:szCs w:val="21"/>
          <w:lang w:val="en-US" w:eastAsia="zh-CN"/>
        </w:rPr>
        <w:t>周</w:t>
      </w:r>
      <w:r>
        <w:rPr>
          <w:rFonts w:hint="eastAsia" w:ascii="宋体" w:hAnsi="宋体"/>
          <w:sz w:val="18"/>
          <w:szCs w:val="21"/>
        </w:rPr>
        <w:t>检</w:t>
      </w:r>
      <w:r>
        <w:rPr>
          <w:rFonts w:ascii="宋体" w:hAnsi="宋体"/>
          <w:sz w:val="18"/>
          <w:szCs w:val="21"/>
        </w:rPr>
        <w:t>60%、月检40%</w:t>
      </w:r>
      <w:r>
        <w:rPr>
          <w:rFonts w:hint="eastAsia" w:ascii="宋体" w:hAnsi="宋体"/>
          <w:sz w:val="18"/>
          <w:szCs w:val="21"/>
        </w:rPr>
        <w:t>权重计算。</w:t>
      </w:r>
    </w:p>
    <w:p>
      <w:pPr>
        <w:widowControl/>
        <w:shd w:val="clear" w:color="auto" w:fill="FFFFFF"/>
        <w:spacing w:before="100" w:beforeAutospacing="1" w:after="100" w:afterAutospacing="1"/>
        <w:rPr>
          <w:rFonts w:ascii="宋体" w:hAnsi="宋体" w:cs="宋体"/>
          <w:b/>
          <w:bCs/>
          <w:kern w:val="0"/>
          <w:sz w:val="28"/>
          <w:szCs w:val="28"/>
        </w:rPr>
      </w:pPr>
    </w:p>
    <w:p>
      <w:pPr>
        <w:widowControl/>
        <w:jc w:val="right"/>
        <w:rPr>
          <w:rFonts w:ascii="Calibri" w:hAnsi="Calibri"/>
        </w:rPr>
        <w:sectPr>
          <w:footerReference r:id="rId3" w:type="default"/>
          <w:pgSz w:w="11906" w:h="16838"/>
          <w:pgMar w:top="1440" w:right="1644" w:bottom="935" w:left="1644" w:header="851" w:footer="992" w:gutter="0"/>
          <w:cols w:space="720" w:num="1"/>
          <w:docGrid w:type="lines" w:linePitch="312" w:charSpace="0"/>
        </w:sectPr>
      </w:pPr>
    </w:p>
    <w:p>
      <w:pPr>
        <w:widowControl/>
        <w:jc w:val="center"/>
        <w:rPr>
          <w:rFonts w:ascii="宋体" w:hAnsi="宋体"/>
          <w:sz w:val="36"/>
          <w:szCs w:val="36"/>
        </w:rPr>
      </w:pPr>
      <w:r>
        <w:rPr>
          <w:rFonts w:hint="eastAsia" w:ascii="宋体" w:hAnsi="宋体" w:cs="宋体"/>
          <w:b/>
          <w:bCs/>
          <w:kern w:val="0"/>
          <w:sz w:val="36"/>
          <w:szCs w:val="36"/>
        </w:rPr>
        <w:t>绿地养护、登山道设施维护及林地保洁监管考评评分表（周）</w:t>
      </w:r>
    </w:p>
    <w:p>
      <w:pPr>
        <w:widowControl/>
        <w:jc w:val="left"/>
        <w:rPr>
          <w:kern w:val="0"/>
          <w:sz w:val="24"/>
          <w:szCs w:val="28"/>
        </w:rPr>
      </w:pPr>
      <w:r>
        <w:rPr>
          <w:rFonts w:hint="eastAsia"/>
          <w:kern w:val="0"/>
          <w:sz w:val="24"/>
          <w:szCs w:val="28"/>
        </w:rPr>
        <w:t xml:space="preserve"> 日期：  </w:t>
      </w:r>
      <w:r>
        <w:rPr>
          <w:kern w:val="0"/>
          <w:sz w:val="24"/>
          <w:szCs w:val="28"/>
        </w:rPr>
        <w:t xml:space="preserve"> </w:t>
      </w:r>
      <w:r>
        <w:rPr>
          <w:rFonts w:hint="eastAsia"/>
          <w:kern w:val="0"/>
          <w:sz w:val="24"/>
          <w:szCs w:val="28"/>
        </w:rPr>
        <w:t xml:space="preserve">年  月  日至 </w:t>
      </w:r>
      <w:r>
        <w:rPr>
          <w:kern w:val="0"/>
          <w:sz w:val="24"/>
          <w:szCs w:val="28"/>
        </w:rPr>
        <w:t xml:space="preserve">   </w:t>
      </w:r>
      <w:r>
        <w:rPr>
          <w:rFonts w:hint="eastAsia"/>
          <w:kern w:val="0"/>
          <w:sz w:val="24"/>
          <w:szCs w:val="28"/>
        </w:rPr>
        <w:t xml:space="preserve">年 </w:t>
      </w:r>
      <w:r>
        <w:rPr>
          <w:kern w:val="0"/>
          <w:sz w:val="24"/>
          <w:szCs w:val="28"/>
        </w:rPr>
        <w:t xml:space="preserve"> </w:t>
      </w:r>
      <w:r>
        <w:rPr>
          <w:rFonts w:hint="eastAsia"/>
          <w:kern w:val="0"/>
          <w:sz w:val="24"/>
          <w:szCs w:val="28"/>
        </w:rPr>
        <w:t xml:space="preserve">月 </w:t>
      </w:r>
      <w:r>
        <w:rPr>
          <w:kern w:val="0"/>
          <w:sz w:val="24"/>
          <w:szCs w:val="28"/>
        </w:rPr>
        <w:t xml:space="preserve"> </w:t>
      </w:r>
      <w:r>
        <w:rPr>
          <w:rFonts w:hint="eastAsia"/>
          <w:kern w:val="0"/>
          <w:sz w:val="24"/>
          <w:szCs w:val="28"/>
        </w:rPr>
        <w:t xml:space="preserve">日                                                                           </w:t>
      </w:r>
      <w:r>
        <w:rPr>
          <w:rFonts w:hint="eastAsia"/>
          <w:b/>
          <w:kern w:val="0"/>
          <w:sz w:val="24"/>
          <w:szCs w:val="28"/>
        </w:rPr>
        <w:t xml:space="preserve"> 总得分：</w:t>
      </w:r>
    </w:p>
    <w:tbl>
      <w:tblPr>
        <w:tblStyle w:val="12"/>
        <w:tblW w:w="15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91"/>
        <w:gridCol w:w="711"/>
        <w:gridCol w:w="10205"/>
        <w:gridCol w:w="1504"/>
        <w:gridCol w:w="695"/>
        <w:gridCol w:w="6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1491" w:type="dxa"/>
            <w:vAlign w:val="center"/>
          </w:tcPr>
          <w:p>
            <w:pPr>
              <w:widowControl/>
              <w:jc w:val="center"/>
              <w:rPr>
                <w:rFonts w:ascii="仿宋_GB2312" w:hAnsi="宋体" w:cs="宋体"/>
                <w:b/>
                <w:bCs/>
                <w:kern w:val="0"/>
                <w:szCs w:val="21"/>
              </w:rPr>
            </w:pPr>
            <w:r>
              <w:rPr>
                <w:rFonts w:hint="eastAsia" w:ascii="仿宋_GB2312" w:hAnsi="宋体" w:cs="宋体"/>
                <w:b/>
                <w:bCs/>
                <w:kern w:val="0"/>
                <w:szCs w:val="21"/>
              </w:rPr>
              <w:t>名称</w:t>
            </w:r>
          </w:p>
        </w:tc>
        <w:tc>
          <w:tcPr>
            <w:tcW w:w="711" w:type="dxa"/>
            <w:vAlign w:val="center"/>
          </w:tcPr>
          <w:p>
            <w:pPr>
              <w:widowControl/>
              <w:jc w:val="center"/>
              <w:rPr>
                <w:rFonts w:ascii="仿宋_GB2312" w:hAnsi="宋体" w:cs="宋体"/>
                <w:b/>
                <w:bCs/>
                <w:kern w:val="0"/>
                <w:szCs w:val="21"/>
              </w:rPr>
            </w:pPr>
            <w:r>
              <w:rPr>
                <w:rFonts w:hint="eastAsia" w:ascii="仿宋_GB2312" w:hAnsi="宋体" w:cs="宋体"/>
                <w:b/>
                <w:bCs/>
                <w:kern w:val="0"/>
                <w:szCs w:val="21"/>
              </w:rPr>
              <w:t>序号</w:t>
            </w:r>
          </w:p>
        </w:tc>
        <w:tc>
          <w:tcPr>
            <w:tcW w:w="10205" w:type="dxa"/>
            <w:vAlign w:val="center"/>
          </w:tcPr>
          <w:p>
            <w:pPr>
              <w:widowControl/>
              <w:jc w:val="center"/>
              <w:rPr>
                <w:rFonts w:ascii="仿宋_GB2312" w:hAnsi="宋体" w:cs="宋体"/>
                <w:b/>
                <w:bCs/>
                <w:kern w:val="0"/>
                <w:szCs w:val="21"/>
              </w:rPr>
            </w:pPr>
            <w:r>
              <w:rPr>
                <w:rFonts w:hint="eastAsia" w:ascii="仿宋_GB2312" w:hAnsi="宋体" w:cs="宋体"/>
                <w:b/>
                <w:bCs/>
                <w:kern w:val="0"/>
                <w:szCs w:val="21"/>
              </w:rPr>
              <w:t>评分内容</w:t>
            </w:r>
          </w:p>
        </w:tc>
        <w:tc>
          <w:tcPr>
            <w:tcW w:w="1504" w:type="dxa"/>
            <w:vAlign w:val="center"/>
          </w:tcPr>
          <w:p>
            <w:pPr>
              <w:widowControl/>
              <w:jc w:val="center"/>
              <w:rPr>
                <w:rFonts w:ascii="仿宋_GB2312" w:hAnsi="宋体" w:cs="宋体"/>
                <w:b/>
                <w:bCs/>
                <w:kern w:val="0"/>
                <w:szCs w:val="21"/>
              </w:rPr>
            </w:pPr>
            <w:r>
              <w:rPr>
                <w:rFonts w:hint="eastAsia" w:ascii="仿宋_GB2312" w:hAnsi="宋体" w:cs="宋体"/>
                <w:b/>
                <w:bCs/>
                <w:kern w:val="0"/>
                <w:szCs w:val="21"/>
              </w:rPr>
              <w:t>扣分标准</w:t>
            </w:r>
          </w:p>
        </w:tc>
        <w:tc>
          <w:tcPr>
            <w:tcW w:w="695" w:type="dxa"/>
            <w:vAlign w:val="center"/>
          </w:tcPr>
          <w:p>
            <w:pPr>
              <w:widowControl/>
              <w:jc w:val="center"/>
              <w:rPr>
                <w:rFonts w:ascii="仿宋_GB2312" w:hAnsi="宋体" w:cs="宋体"/>
                <w:b/>
                <w:bCs/>
                <w:kern w:val="0"/>
                <w:szCs w:val="21"/>
              </w:rPr>
            </w:pPr>
            <w:r>
              <w:rPr>
                <w:rFonts w:hint="eastAsia" w:ascii="仿宋_GB2312" w:hAnsi="宋体" w:cs="宋体"/>
                <w:b/>
                <w:bCs/>
                <w:kern w:val="0"/>
                <w:szCs w:val="21"/>
              </w:rPr>
              <w:t>分值</w:t>
            </w:r>
          </w:p>
        </w:tc>
        <w:tc>
          <w:tcPr>
            <w:tcW w:w="698" w:type="dxa"/>
            <w:vAlign w:val="center"/>
          </w:tcPr>
          <w:p>
            <w:pPr>
              <w:widowControl/>
              <w:jc w:val="center"/>
              <w:rPr>
                <w:rFonts w:ascii="仿宋_GB2312" w:hAnsi="宋体" w:cs="宋体"/>
                <w:b/>
                <w:bCs/>
                <w:kern w:val="0"/>
                <w:szCs w:val="21"/>
              </w:rPr>
            </w:pPr>
            <w:r>
              <w:rPr>
                <w:rFonts w:hint="eastAsia" w:ascii="仿宋_GB2312" w:hAnsi="宋体" w:cs="宋体"/>
                <w:b/>
                <w:bCs/>
                <w:kern w:val="0"/>
                <w:szCs w:val="21"/>
              </w:rPr>
              <w:t>扣分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1491" w:type="dxa"/>
            <w:vMerge w:val="restart"/>
            <w:vAlign w:val="center"/>
          </w:tcPr>
          <w:p>
            <w:pPr>
              <w:widowControl/>
              <w:jc w:val="center"/>
              <w:rPr>
                <w:rFonts w:ascii="仿宋_GB2312"/>
                <w:b/>
                <w:bCs/>
                <w:kern w:val="0"/>
                <w:szCs w:val="21"/>
              </w:rPr>
            </w:pPr>
            <w:r>
              <w:rPr>
                <w:b/>
                <w:bCs/>
                <w:kern w:val="0"/>
                <w:szCs w:val="21"/>
              </w:rPr>
              <w:t>1.</w:t>
            </w:r>
            <w:r>
              <w:rPr>
                <w:rFonts w:hint="eastAsia" w:ascii="仿宋_GB2312"/>
                <w:b/>
                <w:bCs/>
                <w:kern w:val="0"/>
                <w:szCs w:val="21"/>
              </w:rPr>
              <w:t>工作规范</w:t>
            </w:r>
          </w:p>
          <w:p>
            <w:pPr>
              <w:widowControl/>
              <w:jc w:val="center"/>
              <w:rPr>
                <w:b/>
                <w:bCs/>
                <w:kern w:val="0"/>
                <w:szCs w:val="21"/>
              </w:rPr>
            </w:pPr>
            <w:r>
              <w:rPr>
                <w:rFonts w:hint="eastAsia" w:ascii="仿宋_GB2312"/>
                <w:b/>
                <w:bCs/>
                <w:kern w:val="0"/>
                <w:szCs w:val="21"/>
              </w:rPr>
              <w:t>（</w:t>
            </w:r>
            <w:r>
              <w:rPr>
                <w:rFonts w:ascii="仿宋_GB2312"/>
                <w:b/>
                <w:bCs/>
                <w:kern w:val="0"/>
                <w:szCs w:val="21"/>
              </w:rPr>
              <w:t>15</w:t>
            </w:r>
            <w:r>
              <w:rPr>
                <w:rFonts w:hint="eastAsia" w:ascii="仿宋_GB2312"/>
                <w:b/>
                <w:bCs/>
                <w:kern w:val="0"/>
                <w:szCs w:val="21"/>
              </w:rPr>
              <w:t>分）</w:t>
            </w:r>
          </w:p>
        </w:tc>
        <w:tc>
          <w:tcPr>
            <w:tcW w:w="711" w:type="dxa"/>
            <w:vAlign w:val="center"/>
          </w:tcPr>
          <w:p>
            <w:pPr>
              <w:widowControl/>
              <w:jc w:val="center"/>
              <w:rPr>
                <w:kern w:val="0"/>
                <w:szCs w:val="21"/>
              </w:rPr>
            </w:pPr>
            <w:r>
              <w:rPr>
                <w:kern w:val="0"/>
                <w:szCs w:val="21"/>
              </w:rPr>
              <w:t>1</w:t>
            </w:r>
          </w:p>
        </w:tc>
        <w:tc>
          <w:tcPr>
            <w:tcW w:w="10205" w:type="dxa"/>
            <w:vAlign w:val="center"/>
          </w:tcPr>
          <w:p>
            <w:pPr>
              <w:widowControl/>
              <w:jc w:val="left"/>
              <w:rPr>
                <w:rFonts w:ascii="仿宋_GB2312" w:hAnsi="宋体" w:cs="宋体"/>
                <w:kern w:val="0"/>
                <w:szCs w:val="21"/>
              </w:rPr>
            </w:pPr>
            <w:r>
              <w:rPr>
                <w:rFonts w:hint="eastAsia" w:ascii="仿宋_GB2312" w:hAnsi="宋体" w:cs="宋体"/>
                <w:kern w:val="0"/>
                <w:szCs w:val="21"/>
              </w:rPr>
              <w:t>人员到岗情况</w:t>
            </w:r>
          </w:p>
        </w:tc>
        <w:tc>
          <w:tcPr>
            <w:tcW w:w="1504" w:type="dxa"/>
            <w:vAlign w:val="center"/>
          </w:tcPr>
          <w:p>
            <w:pPr>
              <w:widowControl/>
              <w:jc w:val="center"/>
              <w:rPr>
                <w:rFonts w:ascii="仿宋_GB2312" w:hAnsi="宋体" w:cs="宋体"/>
                <w:kern w:val="0"/>
                <w:szCs w:val="21"/>
              </w:rPr>
            </w:pPr>
            <w:r>
              <w:rPr>
                <w:rFonts w:hint="eastAsia" w:ascii="仿宋_GB2312" w:hAnsi="宋体" w:cs="宋体"/>
                <w:kern w:val="0"/>
                <w:szCs w:val="21"/>
              </w:rPr>
              <w:t>每人次扣</w:t>
            </w:r>
            <w:r>
              <w:rPr>
                <w:rFonts w:ascii="仿宋_GB2312" w:hAnsi="宋体" w:cs="宋体"/>
                <w:kern w:val="0"/>
                <w:szCs w:val="21"/>
              </w:rPr>
              <w:t>2分</w:t>
            </w:r>
          </w:p>
        </w:tc>
        <w:tc>
          <w:tcPr>
            <w:tcW w:w="695" w:type="dxa"/>
            <w:vAlign w:val="center"/>
          </w:tcPr>
          <w:p>
            <w:pPr>
              <w:widowControl/>
              <w:jc w:val="center"/>
              <w:rPr>
                <w:rFonts w:ascii="宋体" w:hAnsi="宋体" w:cs="宋体"/>
                <w:kern w:val="0"/>
                <w:szCs w:val="21"/>
              </w:rPr>
            </w:pPr>
            <w:r>
              <w:rPr>
                <w:rFonts w:ascii="宋体" w:hAnsi="宋体" w:cs="宋体"/>
                <w:kern w:val="0"/>
                <w:szCs w:val="21"/>
              </w:rPr>
              <w:t>10</w:t>
            </w:r>
          </w:p>
        </w:tc>
        <w:tc>
          <w:tcPr>
            <w:tcW w:w="698"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1491" w:type="dxa"/>
            <w:vMerge w:val="continue"/>
            <w:vAlign w:val="center"/>
          </w:tcPr>
          <w:p>
            <w:pPr>
              <w:widowControl/>
              <w:jc w:val="center"/>
              <w:rPr>
                <w:b/>
                <w:bCs/>
                <w:kern w:val="0"/>
                <w:szCs w:val="21"/>
              </w:rPr>
            </w:pPr>
          </w:p>
        </w:tc>
        <w:tc>
          <w:tcPr>
            <w:tcW w:w="711" w:type="dxa"/>
            <w:vAlign w:val="center"/>
          </w:tcPr>
          <w:p>
            <w:pPr>
              <w:widowControl/>
              <w:jc w:val="center"/>
              <w:rPr>
                <w:kern w:val="0"/>
                <w:szCs w:val="21"/>
              </w:rPr>
            </w:pPr>
            <w:r>
              <w:rPr>
                <w:kern w:val="0"/>
                <w:szCs w:val="21"/>
              </w:rPr>
              <w:t>2</w:t>
            </w:r>
          </w:p>
        </w:tc>
        <w:tc>
          <w:tcPr>
            <w:tcW w:w="10205" w:type="dxa"/>
            <w:vAlign w:val="center"/>
          </w:tcPr>
          <w:p>
            <w:pPr>
              <w:widowControl/>
              <w:rPr>
                <w:rFonts w:ascii="仿宋_GB2312" w:hAnsi="宋体" w:cs="宋体"/>
                <w:kern w:val="0"/>
                <w:szCs w:val="21"/>
              </w:rPr>
            </w:pPr>
            <w:r>
              <w:rPr>
                <w:rFonts w:hint="eastAsia" w:ascii="仿宋_GB2312" w:hAnsi="宋体" w:cs="宋体"/>
                <w:kern w:val="0"/>
                <w:szCs w:val="21"/>
              </w:rPr>
              <w:t>统一着装规范工作服（保洁和绿化工等统一帽子、衣服、鞋子</w:t>
            </w:r>
            <w:r>
              <w:rPr>
                <w:rFonts w:ascii="仿宋_GB2312" w:hAnsi="宋体" w:cs="宋体"/>
                <w:kern w:val="0"/>
                <w:szCs w:val="21"/>
              </w:rPr>
              <w:t>,雨天穿雨衣）情况</w:t>
            </w:r>
          </w:p>
        </w:tc>
        <w:tc>
          <w:tcPr>
            <w:tcW w:w="1504" w:type="dxa"/>
            <w:vAlign w:val="center"/>
          </w:tcPr>
          <w:p>
            <w:pPr>
              <w:widowControl/>
              <w:jc w:val="center"/>
              <w:rPr>
                <w:rFonts w:ascii="仿宋_GB2312" w:hAnsi="宋体" w:cs="宋体"/>
                <w:kern w:val="0"/>
                <w:szCs w:val="21"/>
              </w:rPr>
            </w:pPr>
            <w:r>
              <w:rPr>
                <w:rFonts w:hint="eastAsia" w:ascii="仿宋_GB2312" w:hAnsi="宋体" w:cs="宋体"/>
                <w:kern w:val="0"/>
                <w:szCs w:val="21"/>
              </w:rPr>
              <w:t>每人次扣</w:t>
            </w:r>
            <w:r>
              <w:rPr>
                <w:kern w:val="0"/>
                <w:szCs w:val="21"/>
              </w:rPr>
              <w:t>1</w:t>
            </w:r>
            <w:r>
              <w:rPr>
                <w:rFonts w:hint="eastAsia" w:ascii="仿宋_GB2312" w:hAnsi="宋体" w:cs="宋体"/>
                <w:kern w:val="0"/>
                <w:szCs w:val="21"/>
              </w:rPr>
              <w:t>分</w:t>
            </w:r>
          </w:p>
        </w:tc>
        <w:tc>
          <w:tcPr>
            <w:tcW w:w="695" w:type="dxa"/>
          </w:tcPr>
          <w:p>
            <w:pPr>
              <w:widowControl/>
              <w:jc w:val="center"/>
              <w:rPr>
                <w:rFonts w:ascii="宋体" w:hAnsi="宋体" w:cs="宋体"/>
                <w:kern w:val="0"/>
                <w:szCs w:val="21"/>
              </w:rPr>
            </w:pPr>
            <w:r>
              <w:rPr>
                <w:rFonts w:ascii="宋体" w:hAnsi="宋体" w:cs="宋体"/>
                <w:kern w:val="0"/>
                <w:szCs w:val="21"/>
              </w:rPr>
              <w:t>2</w:t>
            </w:r>
          </w:p>
        </w:tc>
        <w:tc>
          <w:tcPr>
            <w:tcW w:w="698"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1491" w:type="dxa"/>
            <w:vMerge w:val="continue"/>
            <w:vAlign w:val="center"/>
          </w:tcPr>
          <w:p>
            <w:pPr>
              <w:widowControl/>
              <w:jc w:val="center"/>
              <w:rPr>
                <w:b/>
                <w:bCs/>
                <w:kern w:val="0"/>
                <w:szCs w:val="21"/>
              </w:rPr>
            </w:pPr>
          </w:p>
        </w:tc>
        <w:tc>
          <w:tcPr>
            <w:tcW w:w="711" w:type="dxa"/>
            <w:vAlign w:val="center"/>
          </w:tcPr>
          <w:p>
            <w:pPr>
              <w:widowControl/>
              <w:jc w:val="center"/>
              <w:rPr>
                <w:kern w:val="0"/>
                <w:szCs w:val="21"/>
              </w:rPr>
            </w:pPr>
            <w:r>
              <w:rPr>
                <w:kern w:val="0"/>
                <w:szCs w:val="21"/>
              </w:rPr>
              <w:t>3</w:t>
            </w:r>
          </w:p>
        </w:tc>
        <w:tc>
          <w:tcPr>
            <w:tcW w:w="10205" w:type="dxa"/>
            <w:vAlign w:val="center"/>
          </w:tcPr>
          <w:p>
            <w:pPr>
              <w:widowControl/>
              <w:jc w:val="left"/>
              <w:rPr>
                <w:rFonts w:ascii="仿宋_GB2312" w:hAnsi="宋体" w:cs="宋体"/>
                <w:kern w:val="0"/>
                <w:szCs w:val="21"/>
              </w:rPr>
            </w:pPr>
            <w:r>
              <w:rPr>
                <w:rFonts w:hint="eastAsia" w:ascii="仿宋_GB2312" w:hAnsi="宋体" w:cs="宋体"/>
                <w:kern w:val="0"/>
                <w:szCs w:val="21"/>
              </w:rPr>
              <w:t>作业工具完整及规范摆放情况</w:t>
            </w:r>
          </w:p>
        </w:tc>
        <w:tc>
          <w:tcPr>
            <w:tcW w:w="1504" w:type="dxa"/>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1分</w:t>
            </w:r>
          </w:p>
        </w:tc>
        <w:tc>
          <w:tcPr>
            <w:tcW w:w="695" w:type="dxa"/>
            <w:vAlign w:val="center"/>
          </w:tcPr>
          <w:p>
            <w:pPr>
              <w:widowControl/>
              <w:jc w:val="center"/>
              <w:rPr>
                <w:rFonts w:ascii="宋体" w:hAnsi="宋体" w:cs="宋体"/>
                <w:kern w:val="0"/>
                <w:szCs w:val="21"/>
              </w:rPr>
            </w:pPr>
            <w:r>
              <w:rPr>
                <w:rFonts w:ascii="宋体" w:hAnsi="宋体" w:cs="宋体"/>
                <w:kern w:val="0"/>
                <w:szCs w:val="21"/>
              </w:rPr>
              <w:t>2</w:t>
            </w:r>
          </w:p>
        </w:tc>
        <w:tc>
          <w:tcPr>
            <w:tcW w:w="698"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1491" w:type="dxa"/>
            <w:vMerge w:val="continue"/>
            <w:vAlign w:val="center"/>
          </w:tcPr>
          <w:p>
            <w:pPr>
              <w:widowControl/>
              <w:jc w:val="center"/>
              <w:rPr>
                <w:b/>
                <w:bCs/>
                <w:kern w:val="0"/>
                <w:szCs w:val="21"/>
              </w:rPr>
            </w:pPr>
          </w:p>
        </w:tc>
        <w:tc>
          <w:tcPr>
            <w:tcW w:w="711" w:type="dxa"/>
            <w:vAlign w:val="center"/>
          </w:tcPr>
          <w:p>
            <w:pPr>
              <w:widowControl/>
              <w:jc w:val="center"/>
              <w:rPr>
                <w:kern w:val="0"/>
                <w:szCs w:val="21"/>
              </w:rPr>
            </w:pPr>
            <w:r>
              <w:rPr>
                <w:kern w:val="0"/>
                <w:szCs w:val="21"/>
              </w:rPr>
              <w:t>4</w:t>
            </w:r>
          </w:p>
        </w:tc>
        <w:tc>
          <w:tcPr>
            <w:tcW w:w="10205" w:type="dxa"/>
            <w:vAlign w:val="center"/>
          </w:tcPr>
          <w:p>
            <w:pPr>
              <w:widowControl/>
              <w:jc w:val="left"/>
              <w:rPr>
                <w:rFonts w:ascii="仿宋_GB2312" w:hAnsi="宋体" w:cs="宋体"/>
                <w:kern w:val="0"/>
                <w:szCs w:val="21"/>
              </w:rPr>
            </w:pPr>
            <w:r>
              <w:rPr>
                <w:rFonts w:hint="eastAsia" w:ascii="仿宋_GB2312" w:hAnsi="宋体" w:cs="宋体"/>
                <w:kern w:val="0"/>
                <w:szCs w:val="21"/>
              </w:rPr>
              <w:t>垃圾收集存放及清运规范情况</w:t>
            </w:r>
          </w:p>
        </w:tc>
        <w:tc>
          <w:tcPr>
            <w:tcW w:w="1504" w:type="dxa"/>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0.5分</w:t>
            </w:r>
          </w:p>
        </w:tc>
        <w:tc>
          <w:tcPr>
            <w:tcW w:w="695" w:type="dxa"/>
            <w:vAlign w:val="center"/>
          </w:tcPr>
          <w:p>
            <w:pPr>
              <w:widowControl/>
              <w:jc w:val="center"/>
              <w:rPr>
                <w:rFonts w:ascii="宋体" w:hAnsi="宋体" w:cs="宋体"/>
                <w:kern w:val="0"/>
                <w:szCs w:val="21"/>
              </w:rPr>
            </w:pPr>
            <w:r>
              <w:rPr>
                <w:rFonts w:hint="eastAsia" w:ascii="宋体" w:hAnsi="宋体" w:cs="宋体"/>
                <w:kern w:val="0"/>
                <w:szCs w:val="21"/>
              </w:rPr>
              <w:t>1</w:t>
            </w:r>
          </w:p>
        </w:tc>
        <w:tc>
          <w:tcPr>
            <w:tcW w:w="698"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1491" w:type="dxa"/>
            <w:vMerge w:val="restart"/>
            <w:vAlign w:val="center"/>
          </w:tcPr>
          <w:p>
            <w:pPr>
              <w:widowControl/>
              <w:jc w:val="center"/>
              <w:rPr>
                <w:rFonts w:ascii="仿宋_GB2312"/>
                <w:b/>
                <w:bCs/>
                <w:kern w:val="0"/>
                <w:szCs w:val="21"/>
              </w:rPr>
            </w:pPr>
            <w:r>
              <w:rPr>
                <w:b/>
                <w:bCs/>
                <w:kern w:val="0"/>
                <w:szCs w:val="21"/>
              </w:rPr>
              <w:t>2</w:t>
            </w:r>
            <w:r>
              <w:rPr>
                <w:rFonts w:hint="eastAsia" w:ascii="仿宋_GB2312"/>
                <w:b/>
                <w:bCs/>
                <w:kern w:val="0"/>
                <w:szCs w:val="21"/>
              </w:rPr>
              <w:t>.环境卫生及</w:t>
            </w:r>
          </w:p>
          <w:p>
            <w:pPr>
              <w:widowControl/>
              <w:jc w:val="center"/>
              <w:rPr>
                <w:rFonts w:ascii="仿宋_GB2312"/>
                <w:b/>
                <w:bCs/>
                <w:kern w:val="0"/>
                <w:szCs w:val="21"/>
              </w:rPr>
            </w:pPr>
            <w:r>
              <w:rPr>
                <w:rFonts w:hint="eastAsia" w:ascii="仿宋_GB2312"/>
                <w:b/>
                <w:bCs/>
                <w:kern w:val="0"/>
                <w:szCs w:val="21"/>
              </w:rPr>
              <w:t xml:space="preserve">设施维护 </w:t>
            </w:r>
          </w:p>
          <w:p>
            <w:pPr>
              <w:widowControl/>
              <w:jc w:val="center"/>
              <w:rPr>
                <w:b/>
                <w:bCs/>
                <w:kern w:val="0"/>
                <w:szCs w:val="21"/>
              </w:rPr>
            </w:pPr>
            <w:r>
              <w:rPr>
                <w:rFonts w:hint="eastAsia" w:ascii="仿宋_GB2312"/>
                <w:b/>
                <w:bCs/>
                <w:kern w:val="0"/>
                <w:szCs w:val="21"/>
              </w:rPr>
              <w:t>（</w:t>
            </w:r>
            <w:r>
              <w:rPr>
                <w:rFonts w:ascii="仿宋_GB2312"/>
                <w:b/>
                <w:bCs/>
                <w:kern w:val="0"/>
                <w:szCs w:val="21"/>
              </w:rPr>
              <w:t>25</w:t>
            </w:r>
            <w:r>
              <w:rPr>
                <w:rFonts w:hint="eastAsia" w:ascii="仿宋_GB2312"/>
                <w:b/>
                <w:bCs/>
                <w:kern w:val="0"/>
                <w:szCs w:val="21"/>
              </w:rPr>
              <w:t>分）</w:t>
            </w:r>
          </w:p>
        </w:tc>
        <w:tc>
          <w:tcPr>
            <w:tcW w:w="711" w:type="dxa"/>
            <w:vAlign w:val="center"/>
          </w:tcPr>
          <w:p>
            <w:pPr>
              <w:widowControl/>
              <w:jc w:val="center"/>
              <w:rPr>
                <w:kern w:val="0"/>
                <w:szCs w:val="21"/>
              </w:rPr>
            </w:pPr>
            <w:r>
              <w:rPr>
                <w:kern w:val="0"/>
                <w:szCs w:val="21"/>
              </w:rPr>
              <w:t>5</w:t>
            </w:r>
          </w:p>
        </w:tc>
        <w:tc>
          <w:tcPr>
            <w:tcW w:w="10205" w:type="dxa"/>
            <w:vAlign w:val="center"/>
          </w:tcPr>
          <w:p>
            <w:pPr>
              <w:widowControl/>
              <w:jc w:val="left"/>
              <w:rPr>
                <w:rFonts w:ascii="仿宋_GB2312" w:hAnsi="宋体" w:cs="宋体"/>
                <w:kern w:val="0"/>
                <w:szCs w:val="21"/>
              </w:rPr>
            </w:pPr>
            <w:r>
              <w:rPr>
                <w:rFonts w:hint="eastAsia" w:ascii="仿宋_GB2312" w:hAnsi="宋体" w:cs="宋体"/>
                <w:kern w:val="0"/>
                <w:szCs w:val="21"/>
              </w:rPr>
              <w:t>硬质地面（道路、广场等）、绿地及雨水井、排水沟等有生活、建筑垃圾、枯枝落叶等未清理情况</w:t>
            </w:r>
          </w:p>
        </w:tc>
        <w:tc>
          <w:tcPr>
            <w:tcW w:w="1504" w:type="dxa"/>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1分</w:t>
            </w:r>
          </w:p>
        </w:tc>
        <w:tc>
          <w:tcPr>
            <w:tcW w:w="695" w:type="dxa"/>
            <w:vAlign w:val="center"/>
          </w:tcPr>
          <w:p>
            <w:pPr>
              <w:widowControl/>
              <w:jc w:val="center"/>
              <w:rPr>
                <w:rFonts w:ascii="宋体" w:hAnsi="宋体" w:cs="宋体"/>
                <w:kern w:val="0"/>
                <w:szCs w:val="21"/>
              </w:rPr>
            </w:pPr>
            <w:r>
              <w:rPr>
                <w:rFonts w:ascii="宋体" w:hAnsi="宋体" w:cs="宋体"/>
                <w:kern w:val="0"/>
                <w:szCs w:val="21"/>
              </w:rPr>
              <w:t>3</w:t>
            </w:r>
          </w:p>
        </w:tc>
        <w:tc>
          <w:tcPr>
            <w:tcW w:w="698"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1491" w:type="dxa"/>
            <w:vMerge w:val="continue"/>
            <w:vAlign w:val="center"/>
          </w:tcPr>
          <w:p>
            <w:pPr>
              <w:widowControl/>
              <w:jc w:val="center"/>
              <w:rPr>
                <w:b/>
                <w:bCs/>
                <w:kern w:val="0"/>
                <w:szCs w:val="21"/>
              </w:rPr>
            </w:pPr>
          </w:p>
        </w:tc>
        <w:tc>
          <w:tcPr>
            <w:tcW w:w="711" w:type="dxa"/>
            <w:vAlign w:val="center"/>
          </w:tcPr>
          <w:p>
            <w:pPr>
              <w:widowControl/>
              <w:jc w:val="center"/>
              <w:rPr>
                <w:kern w:val="0"/>
                <w:szCs w:val="21"/>
              </w:rPr>
            </w:pPr>
            <w:r>
              <w:rPr>
                <w:kern w:val="0"/>
                <w:szCs w:val="21"/>
              </w:rPr>
              <w:t>6</w:t>
            </w:r>
          </w:p>
        </w:tc>
        <w:tc>
          <w:tcPr>
            <w:tcW w:w="10205" w:type="dxa"/>
            <w:vAlign w:val="center"/>
          </w:tcPr>
          <w:p>
            <w:pPr>
              <w:widowControl/>
              <w:jc w:val="left"/>
              <w:rPr>
                <w:rFonts w:ascii="仿宋_GB2312" w:hAnsi="宋体" w:cs="宋体"/>
                <w:kern w:val="0"/>
                <w:szCs w:val="21"/>
              </w:rPr>
            </w:pPr>
            <w:r>
              <w:rPr>
                <w:rFonts w:hint="eastAsia" w:ascii="仿宋_GB2312" w:hAnsi="宋体" w:cs="宋体"/>
                <w:kern w:val="0"/>
                <w:szCs w:val="21"/>
              </w:rPr>
              <w:t>硬质地面（广场、停车场、道路、平台、石阶等）有污渍、乱涂画、乱张贴、鸟粪等</w:t>
            </w:r>
          </w:p>
        </w:tc>
        <w:tc>
          <w:tcPr>
            <w:tcW w:w="1504" w:type="dxa"/>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1分</w:t>
            </w:r>
          </w:p>
        </w:tc>
        <w:tc>
          <w:tcPr>
            <w:tcW w:w="695" w:type="dxa"/>
            <w:vAlign w:val="center"/>
          </w:tcPr>
          <w:p>
            <w:pPr>
              <w:widowControl/>
              <w:jc w:val="center"/>
              <w:rPr>
                <w:rFonts w:ascii="宋体" w:hAnsi="宋体" w:cs="宋体"/>
                <w:kern w:val="0"/>
                <w:szCs w:val="21"/>
              </w:rPr>
            </w:pPr>
            <w:r>
              <w:rPr>
                <w:rFonts w:ascii="宋体" w:hAnsi="宋体" w:cs="宋体"/>
                <w:kern w:val="0"/>
                <w:szCs w:val="21"/>
              </w:rPr>
              <w:t>3</w:t>
            </w:r>
          </w:p>
        </w:tc>
        <w:tc>
          <w:tcPr>
            <w:tcW w:w="698"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1491" w:type="dxa"/>
            <w:vMerge w:val="continue"/>
            <w:vAlign w:val="center"/>
          </w:tcPr>
          <w:p>
            <w:pPr>
              <w:widowControl/>
              <w:jc w:val="center"/>
              <w:rPr>
                <w:b/>
                <w:bCs/>
                <w:kern w:val="0"/>
                <w:szCs w:val="21"/>
              </w:rPr>
            </w:pPr>
          </w:p>
        </w:tc>
        <w:tc>
          <w:tcPr>
            <w:tcW w:w="711" w:type="dxa"/>
            <w:vAlign w:val="center"/>
          </w:tcPr>
          <w:p>
            <w:pPr>
              <w:widowControl/>
              <w:jc w:val="center"/>
              <w:rPr>
                <w:kern w:val="0"/>
                <w:szCs w:val="21"/>
              </w:rPr>
            </w:pPr>
            <w:r>
              <w:rPr>
                <w:kern w:val="0"/>
                <w:szCs w:val="21"/>
              </w:rPr>
              <w:t>7</w:t>
            </w:r>
          </w:p>
        </w:tc>
        <w:tc>
          <w:tcPr>
            <w:tcW w:w="10205" w:type="dxa"/>
            <w:vAlign w:val="center"/>
          </w:tcPr>
          <w:p>
            <w:pPr>
              <w:widowControl/>
              <w:jc w:val="left"/>
              <w:rPr>
                <w:kern w:val="0"/>
                <w:szCs w:val="21"/>
              </w:rPr>
            </w:pPr>
            <w:r>
              <w:rPr>
                <w:rFonts w:hint="eastAsia"/>
                <w:kern w:val="0"/>
                <w:szCs w:val="21"/>
              </w:rPr>
              <w:t>构筑物、设施（宣传栏、具有休憩功能的座椅、路灯等）等</w:t>
            </w:r>
            <w:r>
              <w:rPr>
                <w:rFonts w:hint="eastAsia" w:ascii="仿宋_GB2312" w:hAnsi="宋体" w:cs="宋体"/>
                <w:kern w:val="0"/>
                <w:szCs w:val="21"/>
              </w:rPr>
              <w:t>存在灰尘、污迹、</w:t>
            </w:r>
            <w:r>
              <w:rPr>
                <w:rFonts w:hint="eastAsia"/>
                <w:kern w:val="0"/>
                <w:szCs w:val="21"/>
              </w:rPr>
              <w:t>乱涂画张贴等</w:t>
            </w:r>
          </w:p>
        </w:tc>
        <w:tc>
          <w:tcPr>
            <w:tcW w:w="1504" w:type="dxa"/>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1分</w:t>
            </w:r>
          </w:p>
        </w:tc>
        <w:tc>
          <w:tcPr>
            <w:tcW w:w="695" w:type="dxa"/>
            <w:vAlign w:val="center"/>
          </w:tcPr>
          <w:p>
            <w:pPr>
              <w:widowControl/>
              <w:jc w:val="center"/>
              <w:rPr>
                <w:rFonts w:ascii="宋体" w:hAnsi="宋体" w:cs="宋体"/>
                <w:kern w:val="0"/>
                <w:szCs w:val="21"/>
              </w:rPr>
            </w:pPr>
            <w:r>
              <w:rPr>
                <w:rFonts w:ascii="宋体" w:hAnsi="宋体" w:cs="宋体"/>
                <w:kern w:val="0"/>
                <w:szCs w:val="21"/>
              </w:rPr>
              <w:t>3</w:t>
            </w:r>
          </w:p>
        </w:tc>
        <w:tc>
          <w:tcPr>
            <w:tcW w:w="698"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1491" w:type="dxa"/>
            <w:vMerge w:val="continue"/>
            <w:vAlign w:val="center"/>
          </w:tcPr>
          <w:p>
            <w:pPr>
              <w:widowControl/>
              <w:jc w:val="center"/>
              <w:rPr>
                <w:b/>
                <w:bCs/>
                <w:kern w:val="0"/>
                <w:szCs w:val="21"/>
              </w:rPr>
            </w:pPr>
          </w:p>
        </w:tc>
        <w:tc>
          <w:tcPr>
            <w:tcW w:w="711" w:type="dxa"/>
            <w:vAlign w:val="center"/>
          </w:tcPr>
          <w:p>
            <w:pPr>
              <w:widowControl/>
              <w:jc w:val="center"/>
              <w:rPr>
                <w:kern w:val="0"/>
                <w:szCs w:val="21"/>
              </w:rPr>
            </w:pPr>
            <w:r>
              <w:rPr>
                <w:kern w:val="0"/>
                <w:szCs w:val="21"/>
              </w:rPr>
              <w:t>8</w:t>
            </w:r>
          </w:p>
        </w:tc>
        <w:tc>
          <w:tcPr>
            <w:tcW w:w="10205" w:type="dxa"/>
            <w:vAlign w:val="center"/>
          </w:tcPr>
          <w:p>
            <w:pPr>
              <w:widowControl/>
              <w:jc w:val="left"/>
              <w:rPr>
                <w:kern w:val="0"/>
                <w:szCs w:val="21"/>
              </w:rPr>
            </w:pPr>
            <w:r>
              <w:rPr>
                <w:rFonts w:hint="eastAsia"/>
                <w:kern w:val="0"/>
                <w:szCs w:val="21"/>
              </w:rPr>
              <w:t>水体（溪流、鱼池、岩溶景区喷泉、湿地等）等有无漂浮垃圾</w:t>
            </w:r>
          </w:p>
        </w:tc>
        <w:tc>
          <w:tcPr>
            <w:tcW w:w="1504" w:type="dxa"/>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1分</w:t>
            </w:r>
          </w:p>
        </w:tc>
        <w:tc>
          <w:tcPr>
            <w:tcW w:w="695" w:type="dxa"/>
            <w:vAlign w:val="center"/>
          </w:tcPr>
          <w:p>
            <w:pPr>
              <w:widowControl/>
              <w:jc w:val="center"/>
              <w:rPr>
                <w:rFonts w:ascii="宋体" w:hAnsi="宋体" w:cs="宋体"/>
                <w:kern w:val="0"/>
                <w:szCs w:val="21"/>
              </w:rPr>
            </w:pPr>
            <w:r>
              <w:rPr>
                <w:rFonts w:ascii="宋体" w:hAnsi="宋体" w:cs="宋体"/>
                <w:kern w:val="0"/>
                <w:szCs w:val="21"/>
              </w:rPr>
              <w:t>3</w:t>
            </w:r>
          </w:p>
        </w:tc>
        <w:tc>
          <w:tcPr>
            <w:tcW w:w="698"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1491" w:type="dxa"/>
            <w:vMerge w:val="continue"/>
            <w:vAlign w:val="center"/>
          </w:tcPr>
          <w:p>
            <w:pPr>
              <w:widowControl/>
              <w:jc w:val="center"/>
              <w:rPr>
                <w:b/>
                <w:bCs/>
                <w:kern w:val="0"/>
                <w:szCs w:val="21"/>
              </w:rPr>
            </w:pPr>
          </w:p>
        </w:tc>
        <w:tc>
          <w:tcPr>
            <w:tcW w:w="711" w:type="dxa"/>
            <w:vAlign w:val="center"/>
          </w:tcPr>
          <w:p>
            <w:pPr>
              <w:widowControl/>
              <w:jc w:val="center"/>
              <w:rPr>
                <w:kern w:val="0"/>
                <w:szCs w:val="21"/>
              </w:rPr>
            </w:pPr>
            <w:r>
              <w:rPr>
                <w:kern w:val="0"/>
                <w:szCs w:val="21"/>
              </w:rPr>
              <w:t>9</w:t>
            </w:r>
          </w:p>
        </w:tc>
        <w:tc>
          <w:tcPr>
            <w:tcW w:w="10205" w:type="dxa"/>
            <w:vAlign w:val="center"/>
          </w:tcPr>
          <w:p>
            <w:pPr>
              <w:widowControl/>
              <w:jc w:val="left"/>
              <w:rPr>
                <w:kern w:val="0"/>
                <w:szCs w:val="21"/>
              </w:rPr>
            </w:pPr>
            <w:r>
              <w:rPr>
                <w:rFonts w:hint="eastAsia"/>
                <w:kern w:val="0"/>
                <w:szCs w:val="21"/>
              </w:rPr>
              <w:t>登山道垃圾未及时清理；道路两侧5米干枯枝较多；登山道台阶、护栏或相关设施损坏未修复</w:t>
            </w:r>
          </w:p>
        </w:tc>
        <w:tc>
          <w:tcPr>
            <w:tcW w:w="1504" w:type="dxa"/>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1分</w:t>
            </w:r>
          </w:p>
        </w:tc>
        <w:tc>
          <w:tcPr>
            <w:tcW w:w="695" w:type="dxa"/>
            <w:vAlign w:val="center"/>
          </w:tcPr>
          <w:p>
            <w:pPr>
              <w:widowControl/>
              <w:jc w:val="center"/>
              <w:rPr>
                <w:rFonts w:ascii="宋体" w:hAnsi="宋体" w:cs="宋体"/>
                <w:kern w:val="0"/>
                <w:szCs w:val="21"/>
              </w:rPr>
            </w:pPr>
            <w:r>
              <w:rPr>
                <w:rFonts w:ascii="宋体" w:hAnsi="宋体" w:cs="宋体"/>
                <w:kern w:val="0"/>
                <w:szCs w:val="21"/>
              </w:rPr>
              <w:t>8</w:t>
            </w:r>
          </w:p>
        </w:tc>
        <w:tc>
          <w:tcPr>
            <w:tcW w:w="698"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1491" w:type="dxa"/>
            <w:vMerge w:val="continue"/>
            <w:vAlign w:val="center"/>
          </w:tcPr>
          <w:p>
            <w:pPr>
              <w:widowControl/>
              <w:jc w:val="center"/>
              <w:rPr>
                <w:b/>
                <w:bCs/>
                <w:kern w:val="0"/>
                <w:szCs w:val="21"/>
              </w:rPr>
            </w:pPr>
          </w:p>
        </w:tc>
        <w:tc>
          <w:tcPr>
            <w:tcW w:w="711" w:type="dxa"/>
            <w:vAlign w:val="center"/>
          </w:tcPr>
          <w:p>
            <w:pPr>
              <w:widowControl/>
              <w:jc w:val="center"/>
              <w:rPr>
                <w:kern w:val="0"/>
                <w:szCs w:val="21"/>
              </w:rPr>
            </w:pPr>
            <w:r>
              <w:rPr>
                <w:kern w:val="0"/>
                <w:szCs w:val="21"/>
              </w:rPr>
              <w:t>10</w:t>
            </w:r>
          </w:p>
        </w:tc>
        <w:tc>
          <w:tcPr>
            <w:tcW w:w="10205" w:type="dxa"/>
            <w:vAlign w:val="center"/>
          </w:tcPr>
          <w:p>
            <w:pPr>
              <w:widowControl/>
              <w:jc w:val="left"/>
              <w:rPr>
                <w:kern w:val="0"/>
                <w:szCs w:val="21"/>
              </w:rPr>
            </w:pPr>
            <w:r>
              <w:rPr>
                <w:rFonts w:hint="eastAsia"/>
                <w:kern w:val="0"/>
                <w:szCs w:val="21"/>
              </w:rPr>
              <w:t>园区绿化管养设施（垃圾桶、围栏、浇水设施、护树架等）未及时维护</w:t>
            </w:r>
          </w:p>
        </w:tc>
        <w:tc>
          <w:tcPr>
            <w:tcW w:w="1504" w:type="dxa"/>
            <w:vAlign w:val="center"/>
          </w:tcPr>
          <w:p>
            <w:pPr>
              <w:widowControl/>
              <w:jc w:val="center"/>
              <w:rPr>
                <w:rFonts w:ascii="仿宋_GB2312" w:hAnsi="宋体" w:cs="宋体"/>
                <w:kern w:val="0"/>
                <w:szCs w:val="21"/>
              </w:rPr>
            </w:pPr>
            <w:r>
              <w:rPr>
                <w:rFonts w:hint="eastAsia" w:ascii="仿宋_GB2312" w:hAnsi="宋体"/>
                <w:szCs w:val="21"/>
              </w:rPr>
              <w:t>每处扣</w:t>
            </w:r>
            <w:r>
              <w:rPr>
                <w:rFonts w:ascii="仿宋_GB2312" w:hAnsi="宋体"/>
                <w:szCs w:val="21"/>
              </w:rPr>
              <w:t>1分</w:t>
            </w:r>
          </w:p>
        </w:tc>
        <w:tc>
          <w:tcPr>
            <w:tcW w:w="695" w:type="dxa"/>
            <w:vAlign w:val="center"/>
          </w:tcPr>
          <w:p>
            <w:pPr>
              <w:widowControl/>
              <w:jc w:val="center"/>
              <w:rPr>
                <w:rFonts w:ascii="宋体" w:hAnsi="宋体" w:cs="宋体"/>
                <w:kern w:val="0"/>
                <w:szCs w:val="21"/>
              </w:rPr>
            </w:pPr>
            <w:r>
              <w:rPr>
                <w:rFonts w:ascii="宋体" w:hAnsi="宋体" w:cs="宋体"/>
                <w:kern w:val="0"/>
                <w:szCs w:val="21"/>
              </w:rPr>
              <w:t>4</w:t>
            </w:r>
          </w:p>
        </w:tc>
        <w:tc>
          <w:tcPr>
            <w:tcW w:w="698"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1491" w:type="dxa"/>
            <w:vMerge w:val="continue"/>
            <w:vAlign w:val="center"/>
          </w:tcPr>
          <w:p>
            <w:pPr>
              <w:widowControl/>
              <w:jc w:val="center"/>
              <w:rPr>
                <w:b/>
                <w:bCs/>
                <w:kern w:val="0"/>
                <w:szCs w:val="21"/>
              </w:rPr>
            </w:pPr>
          </w:p>
        </w:tc>
        <w:tc>
          <w:tcPr>
            <w:tcW w:w="711" w:type="dxa"/>
            <w:vAlign w:val="center"/>
          </w:tcPr>
          <w:p>
            <w:pPr>
              <w:widowControl/>
              <w:jc w:val="center"/>
              <w:rPr>
                <w:kern w:val="0"/>
                <w:szCs w:val="21"/>
              </w:rPr>
            </w:pPr>
            <w:r>
              <w:rPr>
                <w:kern w:val="0"/>
                <w:szCs w:val="21"/>
              </w:rPr>
              <w:t>11</w:t>
            </w:r>
          </w:p>
        </w:tc>
        <w:tc>
          <w:tcPr>
            <w:tcW w:w="10205" w:type="dxa"/>
            <w:vAlign w:val="center"/>
          </w:tcPr>
          <w:p>
            <w:pPr>
              <w:widowControl/>
              <w:jc w:val="left"/>
              <w:rPr>
                <w:kern w:val="0"/>
                <w:szCs w:val="21"/>
              </w:rPr>
            </w:pPr>
            <w:r>
              <w:rPr>
                <w:rFonts w:hint="eastAsia"/>
                <w:kern w:val="0"/>
                <w:szCs w:val="21"/>
              </w:rPr>
              <w:t>管养范围内存在的其它影响园区环境卫生的现象（可视范围内存在生活垃圾、建筑垃圾、蚊虫滋生地等）</w:t>
            </w:r>
          </w:p>
        </w:tc>
        <w:tc>
          <w:tcPr>
            <w:tcW w:w="1504" w:type="dxa"/>
            <w:vAlign w:val="center"/>
          </w:tcPr>
          <w:p>
            <w:pPr>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1分</w:t>
            </w:r>
          </w:p>
        </w:tc>
        <w:tc>
          <w:tcPr>
            <w:tcW w:w="695" w:type="dxa"/>
            <w:vAlign w:val="center"/>
          </w:tcPr>
          <w:p>
            <w:pPr>
              <w:jc w:val="center"/>
              <w:rPr>
                <w:rFonts w:ascii="宋体" w:hAnsi="宋体" w:cs="宋体"/>
                <w:kern w:val="0"/>
                <w:szCs w:val="21"/>
              </w:rPr>
            </w:pPr>
            <w:r>
              <w:rPr>
                <w:rFonts w:ascii="宋体" w:hAnsi="宋体" w:cs="宋体"/>
                <w:kern w:val="0"/>
                <w:szCs w:val="21"/>
              </w:rPr>
              <w:t>1</w:t>
            </w:r>
          </w:p>
        </w:tc>
        <w:tc>
          <w:tcPr>
            <w:tcW w:w="698"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1491" w:type="dxa"/>
            <w:vMerge w:val="restart"/>
            <w:vAlign w:val="center"/>
          </w:tcPr>
          <w:p>
            <w:pPr>
              <w:widowControl/>
              <w:jc w:val="center"/>
              <w:rPr>
                <w:b/>
                <w:bCs/>
                <w:kern w:val="0"/>
                <w:szCs w:val="21"/>
              </w:rPr>
            </w:pPr>
            <w:r>
              <w:rPr>
                <w:rFonts w:hint="eastAsia"/>
                <w:b/>
                <w:bCs/>
                <w:kern w:val="0"/>
                <w:szCs w:val="21"/>
              </w:rPr>
              <w:t>3.绿化养护</w:t>
            </w:r>
          </w:p>
          <w:p>
            <w:pPr>
              <w:widowControl/>
              <w:jc w:val="center"/>
              <w:rPr>
                <w:b/>
                <w:bCs/>
                <w:kern w:val="0"/>
                <w:szCs w:val="21"/>
              </w:rPr>
            </w:pPr>
            <w:r>
              <w:rPr>
                <w:rFonts w:hint="eastAsia" w:ascii="宋体" w:hAnsi="宋体" w:cs="宋体"/>
                <w:b/>
                <w:bCs/>
                <w:kern w:val="0"/>
                <w:szCs w:val="21"/>
              </w:rPr>
              <w:t>（</w:t>
            </w:r>
            <w:r>
              <w:rPr>
                <w:rFonts w:ascii="宋体" w:hAnsi="宋体" w:cs="宋体"/>
                <w:b/>
                <w:bCs/>
                <w:kern w:val="0"/>
                <w:szCs w:val="21"/>
              </w:rPr>
              <w:t>40分）</w:t>
            </w:r>
          </w:p>
        </w:tc>
        <w:tc>
          <w:tcPr>
            <w:tcW w:w="711" w:type="dxa"/>
            <w:vAlign w:val="center"/>
          </w:tcPr>
          <w:p>
            <w:pPr>
              <w:widowControl/>
              <w:jc w:val="center"/>
              <w:rPr>
                <w:kern w:val="0"/>
                <w:szCs w:val="21"/>
              </w:rPr>
            </w:pPr>
            <w:r>
              <w:rPr>
                <w:kern w:val="0"/>
                <w:szCs w:val="21"/>
              </w:rPr>
              <w:t>12</w:t>
            </w:r>
          </w:p>
        </w:tc>
        <w:tc>
          <w:tcPr>
            <w:tcW w:w="10205" w:type="dxa"/>
            <w:vAlign w:val="center"/>
          </w:tcPr>
          <w:p>
            <w:pPr>
              <w:widowControl/>
              <w:spacing w:line="340" w:lineRule="exact"/>
              <w:rPr>
                <w:kern w:val="0"/>
                <w:szCs w:val="21"/>
              </w:rPr>
            </w:pPr>
            <w:r>
              <w:rPr>
                <w:rFonts w:hint="eastAsia"/>
                <w:kern w:val="0"/>
                <w:szCs w:val="21"/>
              </w:rPr>
              <w:t>植物（乔灌木、地被等）长势弱，枯枝较多，病虫害较严重或治理不及时</w:t>
            </w:r>
            <w:r>
              <w:rPr>
                <w:rFonts w:hint="eastAsia" w:ascii="仿宋_GB2312" w:hAnsi="宋体"/>
                <w:sz w:val="18"/>
                <w:szCs w:val="18"/>
              </w:rPr>
              <w:t>（乔木每株扣</w:t>
            </w:r>
            <w:r>
              <w:rPr>
                <w:rFonts w:ascii="仿宋_GB2312" w:hAnsi="宋体"/>
                <w:sz w:val="18"/>
                <w:szCs w:val="18"/>
              </w:rPr>
              <w:t>2分，灌木等每</w:t>
            </w:r>
            <w:r>
              <w:rPr>
                <w:kern w:val="0"/>
                <w:szCs w:val="21"/>
              </w:rPr>
              <w:t>m</w:t>
            </w:r>
            <w:r>
              <w:rPr>
                <w:kern w:val="0"/>
                <w:szCs w:val="21"/>
                <w:vertAlign w:val="superscript"/>
              </w:rPr>
              <w:t>2</w:t>
            </w:r>
            <w:r>
              <w:rPr>
                <w:rFonts w:hint="eastAsia" w:ascii="仿宋_GB2312" w:hAnsi="宋体"/>
                <w:sz w:val="18"/>
                <w:szCs w:val="18"/>
              </w:rPr>
              <w:t>扣</w:t>
            </w:r>
            <w:r>
              <w:rPr>
                <w:rFonts w:ascii="仿宋_GB2312" w:hAnsi="宋体"/>
                <w:sz w:val="18"/>
                <w:szCs w:val="18"/>
              </w:rPr>
              <w:t>1分）</w:t>
            </w:r>
          </w:p>
        </w:tc>
        <w:tc>
          <w:tcPr>
            <w:tcW w:w="1504" w:type="dxa"/>
            <w:vAlign w:val="center"/>
          </w:tcPr>
          <w:p>
            <w:pPr>
              <w:widowControl/>
              <w:jc w:val="center"/>
              <w:rPr>
                <w:rFonts w:ascii="仿宋_GB2312" w:hAnsi="宋体" w:cs="宋体"/>
                <w:kern w:val="0"/>
                <w:szCs w:val="21"/>
              </w:rPr>
            </w:pPr>
          </w:p>
        </w:tc>
        <w:tc>
          <w:tcPr>
            <w:tcW w:w="695" w:type="dxa"/>
            <w:vAlign w:val="center"/>
          </w:tcPr>
          <w:p>
            <w:pPr>
              <w:widowControl/>
              <w:jc w:val="center"/>
              <w:rPr>
                <w:rFonts w:ascii="宋体" w:hAnsi="宋体" w:cs="宋体"/>
                <w:bCs/>
                <w:kern w:val="0"/>
                <w:szCs w:val="21"/>
              </w:rPr>
            </w:pPr>
            <w:r>
              <w:rPr>
                <w:rFonts w:ascii="宋体" w:hAnsi="宋体" w:cs="宋体"/>
                <w:bCs/>
                <w:kern w:val="0"/>
                <w:szCs w:val="21"/>
              </w:rPr>
              <w:t>8</w:t>
            </w:r>
          </w:p>
        </w:tc>
        <w:tc>
          <w:tcPr>
            <w:tcW w:w="698" w:type="dxa"/>
            <w:vAlign w:val="center"/>
          </w:tcPr>
          <w:p>
            <w:pPr>
              <w:widowControl/>
              <w:jc w:val="center"/>
              <w:rPr>
                <w:rFonts w:ascii="宋体" w:hAnsi="宋体" w:cs="宋体"/>
                <w:b/>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1491" w:type="dxa"/>
            <w:vMerge w:val="continue"/>
            <w:vAlign w:val="center"/>
          </w:tcPr>
          <w:p>
            <w:pPr>
              <w:widowControl/>
              <w:jc w:val="center"/>
              <w:rPr>
                <w:b/>
                <w:bCs/>
                <w:kern w:val="0"/>
                <w:szCs w:val="21"/>
              </w:rPr>
            </w:pPr>
          </w:p>
        </w:tc>
        <w:tc>
          <w:tcPr>
            <w:tcW w:w="711" w:type="dxa"/>
            <w:vAlign w:val="center"/>
          </w:tcPr>
          <w:p>
            <w:pPr>
              <w:widowControl/>
              <w:jc w:val="center"/>
              <w:rPr>
                <w:kern w:val="0"/>
                <w:szCs w:val="21"/>
              </w:rPr>
            </w:pPr>
            <w:r>
              <w:rPr>
                <w:kern w:val="0"/>
                <w:szCs w:val="21"/>
              </w:rPr>
              <w:t>13</w:t>
            </w:r>
          </w:p>
        </w:tc>
        <w:tc>
          <w:tcPr>
            <w:tcW w:w="10205" w:type="dxa"/>
            <w:vAlign w:val="center"/>
          </w:tcPr>
          <w:p>
            <w:pPr>
              <w:widowControl/>
              <w:spacing w:line="340" w:lineRule="exact"/>
              <w:rPr>
                <w:kern w:val="0"/>
                <w:szCs w:val="21"/>
              </w:rPr>
            </w:pPr>
            <w:r>
              <w:rPr>
                <w:rFonts w:hint="eastAsia"/>
                <w:kern w:val="0"/>
                <w:szCs w:val="21"/>
              </w:rPr>
              <w:t>植物（乔灌木、地被、草坪等）未及时修剪影响安全、长势或景观等</w:t>
            </w:r>
          </w:p>
        </w:tc>
        <w:tc>
          <w:tcPr>
            <w:tcW w:w="1504" w:type="dxa"/>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1分</w:t>
            </w:r>
          </w:p>
        </w:tc>
        <w:tc>
          <w:tcPr>
            <w:tcW w:w="695" w:type="dxa"/>
            <w:vAlign w:val="center"/>
          </w:tcPr>
          <w:p>
            <w:pPr>
              <w:widowControl/>
              <w:jc w:val="center"/>
              <w:rPr>
                <w:rFonts w:ascii="宋体" w:hAnsi="宋体" w:cs="宋体"/>
                <w:bCs/>
                <w:kern w:val="0"/>
                <w:szCs w:val="21"/>
              </w:rPr>
            </w:pPr>
            <w:r>
              <w:rPr>
                <w:rFonts w:ascii="宋体" w:hAnsi="宋体" w:cs="宋体"/>
                <w:bCs/>
                <w:kern w:val="0"/>
                <w:szCs w:val="21"/>
              </w:rPr>
              <w:t>8</w:t>
            </w:r>
          </w:p>
        </w:tc>
        <w:tc>
          <w:tcPr>
            <w:tcW w:w="698" w:type="dxa"/>
            <w:vAlign w:val="center"/>
          </w:tcPr>
          <w:p>
            <w:pPr>
              <w:widowControl/>
              <w:jc w:val="center"/>
              <w:rPr>
                <w:rFonts w:ascii="宋体" w:hAnsi="宋体" w:cs="宋体"/>
                <w:b/>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1491" w:type="dxa"/>
            <w:vMerge w:val="continue"/>
            <w:vAlign w:val="center"/>
          </w:tcPr>
          <w:p>
            <w:pPr>
              <w:widowControl/>
              <w:jc w:val="center"/>
              <w:rPr>
                <w:b/>
                <w:bCs/>
                <w:kern w:val="0"/>
                <w:szCs w:val="21"/>
              </w:rPr>
            </w:pPr>
          </w:p>
        </w:tc>
        <w:tc>
          <w:tcPr>
            <w:tcW w:w="711" w:type="dxa"/>
            <w:vAlign w:val="center"/>
          </w:tcPr>
          <w:p>
            <w:pPr>
              <w:widowControl/>
              <w:jc w:val="center"/>
              <w:rPr>
                <w:kern w:val="0"/>
                <w:szCs w:val="21"/>
              </w:rPr>
            </w:pPr>
            <w:r>
              <w:rPr>
                <w:kern w:val="0"/>
                <w:szCs w:val="21"/>
              </w:rPr>
              <w:t>14</w:t>
            </w:r>
          </w:p>
        </w:tc>
        <w:tc>
          <w:tcPr>
            <w:tcW w:w="10205" w:type="dxa"/>
            <w:vAlign w:val="center"/>
          </w:tcPr>
          <w:p>
            <w:pPr>
              <w:widowControl/>
              <w:spacing w:line="340" w:lineRule="exact"/>
              <w:rPr>
                <w:kern w:val="0"/>
                <w:szCs w:val="21"/>
              </w:rPr>
            </w:pPr>
            <w:r>
              <w:rPr>
                <w:rFonts w:hint="eastAsia"/>
                <w:kern w:val="0"/>
                <w:szCs w:val="21"/>
              </w:rPr>
              <w:t>死树、死树桩等未及时清理</w:t>
            </w:r>
          </w:p>
        </w:tc>
        <w:tc>
          <w:tcPr>
            <w:tcW w:w="1504" w:type="dxa"/>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2分</w:t>
            </w:r>
          </w:p>
        </w:tc>
        <w:tc>
          <w:tcPr>
            <w:tcW w:w="695" w:type="dxa"/>
            <w:vAlign w:val="center"/>
          </w:tcPr>
          <w:p>
            <w:pPr>
              <w:widowControl/>
              <w:jc w:val="center"/>
              <w:rPr>
                <w:rFonts w:ascii="宋体" w:hAnsi="宋体" w:cs="宋体"/>
                <w:bCs/>
                <w:kern w:val="0"/>
                <w:szCs w:val="21"/>
              </w:rPr>
            </w:pPr>
            <w:r>
              <w:rPr>
                <w:rFonts w:ascii="宋体" w:hAnsi="宋体" w:cs="宋体"/>
                <w:bCs/>
                <w:kern w:val="0"/>
                <w:szCs w:val="21"/>
              </w:rPr>
              <w:t>8</w:t>
            </w:r>
          </w:p>
        </w:tc>
        <w:tc>
          <w:tcPr>
            <w:tcW w:w="698" w:type="dxa"/>
            <w:vAlign w:val="center"/>
          </w:tcPr>
          <w:p>
            <w:pPr>
              <w:widowControl/>
              <w:jc w:val="center"/>
              <w:rPr>
                <w:rFonts w:ascii="宋体" w:hAnsi="宋体" w:cs="宋体"/>
                <w:b/>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1491" w:type="dxa"/>
            <w:vMerge w:val="continue"/>
            <w:vAlign w:val="center"/>
          </w:tcPr>
          <w:p>
            <w:pPr>
              <w:widowControl/>
              <w:jc w:val="center"/>
              <w:rPr>
                <w:b/>
                <w:bCs/>
                <w:kern w:val="0"/>
                <w:szCs w:val="21"/>
              </w:rPr>
            </w:pPr>
          </w:p>
        </w:tc>
        <w:tc>
          <w:tcPr>
            <w:tcW w:w="711" w:type="dxa"/>
            <w:vAlign w:val="center"/>
          </w:tcPr>
          <w:p>
            <w:pPr>
              <w:widowControl/>
              <w:jc w:val="center"/>
              <w:rPr>
                <w:kern w:val="0"/>
                <w:szCs w:val="21"/>
              </w:rPr>
            </w:pPr>
            <w:r>
              <w:rPr>
                <w:kern w:val="0"/>
                <w:szCs w:val="21"/>
              </w:rPr>
              <w:t>15</w:t>
            </w:r>
          </w:p>
        </w:tc>
        <w:tc>
          <w:tcPr>
            <w:tcW w:w="10205" w:type="dxa"/>
            <w:vAlign w:val="center"/>
          </w:tcPr>
          <w:p>
            <w:pPr>
              <w:widowControl/>
              <w:spacing w:line="340" w:lineRule="exact"/>
              <w:rPr>
                <w:kern w:val="0"/>
                <w:szCs w:val="21"/>
              </w:rPr>
            </w:pPr>
            <w:r>
              <w:rPr>
                <w:rFonts w:hint="eastAsia"/>
                <w:kern w:val="0"/>
                <w:szCs w:val="21"/>
              </w:rPr>
              <w:t>灌木丛、地被、草坪等有杂株或杂草明显（杂草</w:t>
            </w:r>
            <w:r>
              <w:rPr>
                <w:rFonts w:hint="eastAsia" w:ascii="仿宋_GB2312" w:hAnsi="宋体"/>
                <w:szCs w:val="21"/>
              </w:rPr>
              <w:t>每</w:t>
            </w:r>
            <w:r>
              <w:rPr>
                <w:kern w:val="0"/>
                <w:szCs w:val="21"/>
              </w:rPr>
              <w:t>m</w:t>
            </w:r>
            <w:r>
              <w:rPr>
                <w:kern w:val="0"/>
                <w:szCs w:val="21"/>
                <w:vertAlign w:val="superscript"/>
              </w:rPr>
              <w:t>2</w:t>
            </w:r>
            <w:r>
              <w:rPr>
                <w:rFonts w:hint="eastAsia" w:ascii="仿宋_GB2312" w:hAnsi="宋体"/>
                <w:szCs w:val="21"/>
              </w:rPr>
              <w:t>扣</w:t>
            </w:r>
            <w:r>
              <w:rPr>
                <w:rFonts w:ascii="仿宋_GB2312" w:hAnsi="宋体"/>
                <w:szCs w:val="21"/>
              </w:rPr>
              <w:t>1分</w:t>
            </w:r>
            <w:r>
              <w:rPr>
                <w:rFonts w:hint="eastAsia"/>
                <w:kern w:val="0"/>
                <w:szCs w:val="21"/>
              </w:rPr>
              <w:t>）</w:t>
            </w:r>
          </w:p>
        </w:tc>
        <w:tc>
          <w:tcPr>
            <w:tcW w:w="1504" w:type="dxa"/>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1分</w:t>
            </w:r>
          </w:p>
        </w:tc>
        <w:tc>
          <w:tcPr>
            <w:tcW w:w="695" w:type="dxa"/>
            <w:vAlign w:val="center"/>
          </w:tcPr>
          <w:p>
            <w:pPr>
              <w:widowControl/>
              <w:jc w:val="center"/>
              <w:rPr>
                <w:rFonts w:ascii="宋体" w:hAnsi="宋体" w:cs="宋体"/>
                <w:bCs/>
                <w:kern w:val="0"/>
                <w:szCs w:val="21"/>
              </w:rPr>
            </w:pPr>
            <w:r>
              <w:rPr>
                <w:rFonts w:ascii="宋体" w:hAnsi="宋体" w:cs="宋体"/>
                <w:bCs/>
                <w:kern w:val="0"/>
                <w:szCs w:val="21"/>
              </w:rPr>
              <w:t>8</w:t>
            </w:r>
          </w:p>
        </w:tc>
        <w:tc>
          <w:tcPr>
            <w:tcW w:w="698" w:type="dxa"/>
            <w:vAlign w:val="center"/>
          </w:tcPr>
          <w:p>
            <w:pPr>
              <w:widowControl/>
              <w:jc w:val="center"/>
              <w:rPr>
                <w:rFonts w:ascii="宋体" w:hAnsi="宋体" w:cs="宋体"/>
                <w:b/>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1491" w:type="dxa"/>
            <w:vMerge w:val="continue"/>
            <w:vAlign w:val="center"/>
          </w:tcPr>
          <w:p>
            <w:pPr>
              <w:widowControl/>
              <w:jc w:val="center"/>
              <w:rPr>
                <w:b/>
                <w:bCs/>
                <w:kern w:val="0"/>
                <w:szCs w:val="21"/>
              </w:rPr>
            </w:pPr>
          </w:p>
        </w:tc>
        <w:tc>
          <w:tcPr>
            <w:tcW w:w="711" w:type="dxa"/>
            <w:vAlign w:val="center"/>
          </w:tcPr>
          <w:p>
            <w:pPr>
              <w:widowControl/>
              <w:jc w:val="center"/>
              <w:rPr>
                <w:kern w:val="0"/>
                <w:szCs w:val="21"/>
              </w:rPr>
            </w:pPr>
            <w:r>
              <w:rPr>
                <w:kern w:val="0"/>
                <w:szCs w:val="21"/>
              </w:rPr>
              <w:t>16</w:t>
            </w:r>
          </w:p>
        </w:tc>
        <w:tc>
          <w:tcPr>
            <w:tcW w:w="10205" w:type="dxa"/>
            <w:vAlign w:val="center"/>
          </w:tcPr>
          <w:p>
            <w:pPr>
              <w:widowControl/>
              <w:jc w:val="left"/>
              <w:rPr>
                <w:kern w:val="0"/>
                <w:szCs w:val="21"/>
              </w:rPr>
            </w:pPr>
            <w:r>
              <w:rPr>
                <w:rFonts w:hint="eastAsia"/>
                <w:kern w:val="0"/>
                <w:szCs w:val="21"/>
              </w:rPr>
              <w:t>重点区域、主入口、主景点、办公区域及主园路两侧等绿地出现黄土裸露现象（每0.</w:t>
            </w:r>
            <w:r>
              <w:rPr>
                <w:kern w:val="0"/>
                <w:szCs w:val="21"/>
              </w:rPr>
              <w:t>5</w:t>
            </w:r>
            <w:r>
              <w:rPr>
                <w:rFonts w:hint="eastAsia"/>
                <w:kern w:val="0"/>
                <w:szCs w:val="21"/>
              </w:rPr>
              <w:t>m</w:t>
            </w:r>
            <w:r>
              <w:rPr>
                <w:kern w:val="0"/>
                <w:szCs w:val="21"/>
                <w:vertAlign w:val="superscript"/>
              </w:rPr>
              <w:t>2</w:t>
            </w:r>
            <w:r>
              <w:rPr>
                <w:rFonts w:hint="eastAsia"/>
                <w:kern w:val="0"/>
                <w:szCs w:val="21"/>
              </w:rPr>
              <w:t xml:space="preserve"> 扣1分）</w:t>
            </w:r>
          </w:p>
        </w:tc>
        <w:tc>
          <w:tcPr>
            <w:tcW w:w="1504" w:type="dxa"/>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1分</w:t>
            </w:r>
          </w:p>
        </w:tc>
        <w:tc>
          <w:tcPr>
            <w:tcW w:w="695" w:type="dxa"/>
            <w:vAlign w:val="center"/>
          </w:tcPr>
          <w:p>
            <w:pPr>
              <w:widowControl/>
              <w:jc w:val="center"/>
              <w:rPr>
                <w:rFonts w:ascii="宋体" w:hAnsi="宋体" w:cs="宋体"/>
                <w:bCs/>
                <w:kern w:val="0"/>
                <w:szCs w:val="21"/>
              </w:rPr>
            </w:pPr>
            <w:r>
              <w:rPr>
                <w:rFonts w:ascii="宋体" w:hAnsi="宋体" w:cs="宋体"/>
                <w:bCs/>
                <w:kern w:val="0"/>
                <w:szCs w:val="21"/>
              </w:rPr>
              <w:t>8</w:t>
            </w:r>
          </w:p>
        </w:tc>
        <w:tc>
          <w:tcPr>
            <w:tcW w:w="698" w:type="dxa"/>
            <w:vAlign w:val="center"/>
          </w:tcPr>
          <w:p>
            <w:pPr>
              <w:widowControl/>
              <w:jc w:val="center"/>
              <w:rPr>
                <w:rFonts w:ascii="宋体" w:hAnsi="宋体" w:cs="宋体"/>
                <w:b/>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1491" w:type="dxa"/>
            <w:vAlign w:val="center"/>
          </w:tcPr>
          <w:p>
            <w:pPr>
              <w:widowControl/>
              <w:jc w:val="center"/>
              <w:rPr>
                <w:b/>
                <w:bCs/>
                <w:kern w:val="0"/>
                <w:szCs w:val="21"/>
              </w:rPr>
            </w:pPr>
            <w:r>
              <w:rPr>
                <w:rFonts w:hint="eastAsia"/>
                <w:b/>
                <w:bCs/>
                <w:kern w:val="0"/>
                <w:szCs w:val="21"/>
              </w:rPr>
              <w:t>4.安全生产（</w:t>
            </w:r>
            <w:r>
              <w:rPr>
                <w:b/>
                <w:bCs/>
                <w:kern w:val="0"/>
                <w:szCs w:val="21"/>
              </w:rPr>
              <w:t>2</w:t>
            </w:r>
            <w:r>
              <w:rPr>
                <w:rFonts w:hint="eastAsia"/>
                <w:b/>
                <w:bCs/>
                <w:kern w:val="0"/>
                <w:szCs w:val="21"/>
              </w:rPr>
              <w:t>0分）</w:t>
            </w:r>
          </w:p>
        </w:tc>
        <w:tc>
          <w:tcPr>
            <w:tcW w:w="711" w:type="dxa"/>
            <w:vAlign w:val="center"/>
          </w:tcPr>
          <w:p>
            <w:pPr>
              <w:widowControl/>
              <w:jc w:val="center"/>
              <w:rPr>
                <w:kern w:val="0"/>
                <w:szCs w:val="21"/>
              </w:rPr>
            </w:pPr>
            <w:r>
              <w:rPr>
                <w:kern w:val="0"/>
                <w:szCs w:val="21"/>
              </w:rPr>
              <w:t>17</w:t>
            </w:r>
          </w:p>
        </w:tc>
        <w:tc>
          <w:tcPr>
            <w:tcW w:w="10205" w:type="dxa"/>
            <w:vAlign w:val="center"/>
          </w:tcPr>
          <w:p>
            <w:pPr>
              <w:widowControl/>
              <w:jc w:val="left"/>
              <w:rPr>
                <w:kern w:val="0"/>
                <w:szCs w:val="21"/>
              </w:rPr>
            </w:pPr>
            <w:r>
              <w:rPr>
                <w:rFonts w:hint="eastAsia"/>
                <w:kern w:val="0"/>
                <w:szCs w:val="21"/>
              </w:rPr>
              <w:t>存在安全隐患(每次扣</w:t>
            </w:r>
            <w:r>
              <w:rPr>
                <w:kern w:val="0"/>
                <w:szCs w:val="21"/>
              </w:rPr>
              <w:t>2</w:t>
            </w:r>
            <w:r>
              <w:rPr>
                <w:rFonts w:hint="eastAsia"/>
                <w:kern w:val="0"/>
                <w:szCs w:val="21"/>
              </w:rPr>
              <w:t>分)；发生安全事故(每次扣</w:t>
            </w:r>
            <w:r>
              <w:rPr>
                <w:kern w:val="0"/>
                <w:szCs w:val="21"/>
              </w:rPr>
              <w:t>20</w:t>
            </w:r>
            <w:r>
              <w:rPr>
                <w:rFonts w:hint="eastAsia"/>
                <w:kern w:val="0"/>
                <w:szCs w:val="21"/>
              </w:rPr>
              <w:t>分)</w:t>
            </w:r>
          </w:p>
        </w:tc>
        <w:tc>
          <w:tcPr>
            <w:tcW w:w="1504" w:type="dxa"/>
            <w:vAlign w:val="center"/>
          </w:tcPr>
          <w:p>
            <w:pPr>
              <w:widowControl/>
              <w:jc w:val="center"/>
              <w:rPr>
                <w:rFonts w:ascii="仿宋_GB2312" w:hAnsi="宋体" w:cs="宋体"/>
                <w:kern w:val="0"/>
                <w:szCs w:val="21"/>
              </w:rPr>
            </w:pPr>
          </w:p>
        </w:tc>
        <w:tc>
          <w:tcPr>
            <w:tcW w:w="695" w:type="dxa"/>
            <w:vAlign w:val="center"/>
          </w:tcPr>
          <w:p>
            <w:pPr>
              <w:widowControl/>
              <w:jc w:val="center"/>
              <w:rPr>
                <w:rFonts w:ascii="宋体" w:hAnsi="宋体" w:cs="宋体"/>
                <w:bCs/>
                <w:kern w:val="0"/>
                <w:szCs w:val="21"/>
              </w:rPr>
            </w:pPr>
            <w:r>
              <w:rPr>
                <w:rFonts w:ascii="宋体" w:hAnsi="宋体" w:cs="宋体"/>
                <w:bCs/>
                <w:kern w:val="0"/>
                <w:szCs w:val="21"/>
              </w:rPr>
              <w:t>20</w:t>
            </w:r>
          </w:p>
        </w:tc>
        <w:tc>
          <w:tcPr>
            <w:tcW w:w="698" w:type="dxa"/>
            <w:vAlign w:val="center"/>
          </w:tcPr>
          <w:p>
            <w:pPr>
              <w:widowControl/>
              <w:jc w:val="center"/>
              <w:rPr>
                <w:rFonts w:ascii="宋体" w:hAnsi="宋体" w:cs="宋体"/>
                <w:b/>
                <w:bCs/>
                <w:kern w:val="0"/>
                <w:szCs w:val="21"/>
              </w:rPr>
            </w:pPr>
          </w:p>
        </w:tc>
      </w:tr>
    </w:tbl>
    <w:p>
      <w:pPr>
        <w:widowControl/>
        <w:ind w:firstLine="630" w:firstLineChars="300"/>
        <w:jc w:val="left"/>
        <w:rPr>
          <w:kern w:val="0"/>
          <w:szCs w:val="21"/>
        </w:rPr>
      </w:pPr>
      <w:r>
        <w:rPr>
          <w:rFonts w:hint="eastAsia"/>
          <w:kern w:val="0"/>
          <w:szCs w:val="21"/>
        </w:rPr>
        <w:t>养护单位：</w:t>
      </w:r>
      <w:r>
        <w:rPr>
          <w:kern w:val="0"/>
          <w:szCs w:val="21"/>
        </w:rPr>
        <w:t xml:space="preserve">                                                                           </w:t>
      </w:r>
      <w:r>
        <w:rPr>
          <w:rFonts w:hint="eastAsia"/>
          <w:kern w:val="0"/>
          <w:szCs w:val="21"/>
        </w:rPr>
        <w:t>考评小组：</w:t>
      </w:r>
    </w:p>
    <w:p>
      <w:pPr>
        <w:widowControl/>
        <w:jc w:val="center"/>
        <w:rPr>
          <w:rFonts w:ascii="宋体" w:hAnsi="宋体"/>
          <w:sz w:val="36"/>
          <w:szCs w:val="36"/>
        </w:rPr>
      </w:pPr>
      <w:r>
        <w:rPr>
          <w:rFonts w:hint="eastAsia" w:ascii="宋体" w:hAnsi="宋体" w:cs="宋体"/>
          <w:b/>
          <w:bCs/>
          <w:kern w:val="0"/>
          <w:sz w:val="36"/>
          <w:szCs w:val="36"/>
        </w:rPr>
        <w:t>绿地养护、登山道设施维护及林地保洁监管考评评分表（月）</w:t>
      </w:r>
    </w:p>
    <w:p>
      <w:pPr>
        <w:widowControl/>
        <w:jc w:val="left"/>
        <w:rPr>
          <w:kern w:val="0"/>
          <w:sz w:val="24"/>
          <w:szCs w:val="28"/>
        </w:rPr>
      </w:pPr>
      <w:r>
        <w:rPr>
          <w:rFonts w:hint="eastAsia"/>
          <w:kern w:val="0"/>
          <w:sz w:val="24"/>
          <w:szCs w:val="28"/>
        </w:rPr>
        <w:t xml:space="preserve"> 日期：  </w:t>
      </w:r>
      <w:r>
        <w:rPr>
          <w:kern w:val="0"/>
          <w:sz w:val="24"/>
          <w:szCs w:val="28"/>
        </w:rPr>
        <w:t xml:space="preserve"> </w:t>
      </w:r>
      <w:r>
        <w:rPr>
          <w:rFonts w:hint="eastAsia"/>
          <w:kern w:val="0"/>
          <w:sz w:val="24"/>
          <w:szCs w:val="28"/>
        </w:rPr>
        <w:t xml:space="preserve">年  月  日 </w:t>
      </w:r>
      <w:r>
        <w:rPr>
          <w:kern w:val="0"/>
          <w:sz w:val="24"/>
          <w:szCs w:val="28"/>
        </w:rPr>
        <w:t xml:space="preserve">     </w:t>
      </w:r>
      <w:r>
        <w:rPr>
          <w:rFonts w:hint="eastAsia"/>
          <w:kern w:val="0"/>
          <w:sz w:val="24"/>
          <w:szCs w:val="28"/>
        </w:rPr>
        <w:t xml:space="preserve">                                                                           </w:t>
      </w:r>
      <w:r>
        <w:rPr>
          <w:rFonts w:hint="eastAsia"/>
          <w:b/>
          <w:kern w:val="0"/>
          <w:sz w:val="24"/>
          <w:szCs w:val="28"/>
        </w:rPr>
        <w:t xml:space="preserve"> 总得分：</w:t>
      </w:r>
    </w:p>
    <w:tbl>
      <w:tblPr>
        <w:tblStyle w:val="12"/>
        <w:tblW w:w="153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40"/>
        <w:gridCol w:w="704"/>
        <w:gridCol w:w="10209"/>
        <w:gridCol w:w="1500"/>
        <w:gridCol w:w="704"/>
        <w:gridCol w:w="6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1540" w:type="dxa"/>
            <w:vAlign w:val="center"/>
          </w:tcPr>
          <w:p>
            <w:pPr>
              <w:widowControl/>
              <w:jc w:val="center"/>
              <w:rPr>
                <w:rFonts w:ascii="仿宋_GB2312" w:hAnsi="宋体" w:cs="宋体"/>
                <w:b/>
                <w:bCs/>
                <w:kern w:val="0"/>
                <w:szCs w:val="21"/>
              </w:rPr>
            </w:pPr>
            <w:r>
              <w:rPr>
                <w:rFonts w:hint="eastAsia" w:ascii="仿宋_GB2312" w:hAnsi="宋体" w:cs="宋体"/>
                <w:b/>
                <w:bCs/>
                <w:kern w:val="0"/>
                <w:szCs w:val="21"/>
              </w:rPr>
              <w:t>名称</w:t>
            </w:r>
          </w:p>
        </w:tc>
        <w:tc>
          <w:tcPr>
            <w:tcW w:w="704" w:type="dxa"/>
            <w:vAlign w:val="center"/>
          </w:tcPr>
          <w:p>
            <w:pPr>
              <w:widowControl/>
              <w:jc w:val="center"/>
              <w:rPr>
                <w:rFonts w:ascii="仿宋_GB2312" w:hAnsi="宋体" w:cs="宋体"/>
                <w:b/>
                <w:bCs/>
                <w:kern w:val="0"/>
                <w:szCs w:val="21"/>
              </w:rPr>
            </w:pPr>
            <w:r>
              <w:rPr>
                <w:rFonts w:hint="eastAsia" w:ascii="仿宋_GB2312" w:hAnsi="宋体" w:cs="宋体"/>
                <w:b/>
                <w:bCs/>
                <w:kern w:val="0"/>
                <w:szCs w:val="21"/>
              </w:rPr>
              <w:t>序号</w:t>
            </w:r>
          </w:p>
        </w:tc>
        <w:tc>
          <w:tcPr>
            <w:tcW w:w="10209" w:type="dxa"/>
            <w:vAlign w:val="center"/>
          </w:tcPr>
          <w:p>
            <w:pPr>
              <w:widowControl/>
              <w:jc w:val="center"/>
              <w:rPr>
                <w:rFonts w:ascii="仿宋_GB2312" w:hAnsi="宋体" w:cs="宋体"/>
                <w:b/>
                <w:bCs/>
                <w:kern w:val="0"/>
                <w:szCs w:val="21"/>
              </w:rPr>
            </w:pPr>
            <w:r>
              <w:rPr>
                <w:rFonts w:hint="eastAsia" w:ascii="仿宋_GB2312" w:hAnsi="宋体" w:cs="宋体"/>
                <w:b/>
                <w:bCs/>
                <w:kern w:val="0"/>
                <w:szCs w:val="21"/>
              </w:rPr>
              <w:t>评分内容</w:t>
            </w:r>
          </w:p>
        </w:tc>
        <w:tc>
          <w:tcPr>
            <w:tcW w:w="1500" w:type="dxa"/>
            <w:tcMar>
              <w:top w:w="0" w:type="dxa"/>
              <w:left w:w="0" w:type="dxa"/>
              <w:bottom w:w="0" w:type="dxa"/>
              <w:right w:w="0" w:type="dxa"/>
            </w:tcMar>
            <w:vAlign w:val="center"/>
          </w:tcPr>
          <w:p>
            <w:pPr>
              <w:widowControl/>
              <w:jc w:val="center"/>
              <w:rPr>
                <w:rFonts w:ascii="仿宋_GB2312" w:hAnsi="宋体" w:cs="宋体"/>
                <w:b/>
                <w:bCs/>
                <w:kern w:val="0"/>
                <w:szCs w:val="21"/>
              </w:rPr>
            </w:pPr>
            <w:r>
              <w:rPr>
                <w:rFonts w:hint="eastAsia" w:ascii="仿宋_GB2312" w:hAnsi="宋体" w:cs="宋体"/>
                <w:b/>
                <w:bCs/>
                <w:kern w:val="0"/>
                <w:szCs w:val="21"/>
              </w:rPr>
              <w:t>扣分标准</w:t>
            </w:r>
          </w:p>
        </w:tc>
        <w:tc>
          <w:tcPr>
            <w:tcW w:w="704" w:type="dxa"/>
            <w:vAlign w:val="center"/>
          </w:tcPr>
          <w:p>
            <w:pPr>
              <w:widowControl/>
              <w:jc w:val="center"/>
              <w:rPr>
                <w:rFonts w:ascii="仿宋_GB2312" w:hAnsi="宋体" w:cs="宋体"/>
                <w:b/>
                <w:bCs/>
                <w:kern w:val="0"/>
                <w:szCs w:val="21"/>
              </w:rPr>
            </w:pPr>
            <w:r>
              <w:rPr>
                <w:rFonts w:hint="eastAsia" w:ascii="仿宋_GB2312" w:hAnsi="宋体" w:cs="宋体"/>
                <w:b/>
                <w:bCs/>
                <w:kern w:val="0"/>
                <w:szCs w:val="21"/>
              </w:rPr>
              <w:t>分值</w:t>
            </w:r>
          </w:p>
        </w:tc>
        <w:tc>
          <w:tcPr>
            <w:tcW w:w="689" w:type="dxa"/>
            <w:vAlign w:val="center"/>
          </w:tcPr>
          <w:p>
            <w:pPr>
              <w:widowControl/>
              <w:jc w:val="center"/>
              <w:rPr>
                <w:rFonts w:ascii="仿宋_GB2312" w:hAnsi="宋体" w:cs="宋体"/>
                <w:b/>
                <w:bCs/>
                <w:kern w:val="0"/>
                <w:szCs w:val="21"/>
              </w:rPr>
            </w:pPr>
            <w:r>
              <w:rPr>
                <w:rFonts w:hint="eastAsia" w:ascii="仿宋_GB2312" w:hAnsi="宋体" w:cs="宋体"/>
                <w:b/>
                <w:bCs/>
                <w:kern w:val="0"/>
                <w:szCs w:val="21"/>
              </w:rPr>
              <w:t>扣分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540" w:type="dxa"/>
            <w:vMerge w:val="restart"/>
            <w:vAlign w:val="center"/>
          </w:tcPr>
          <w:p>
            <w:pPr>
              <w:widowControl/>
              <w:jc w:val="center"/>
              <w:rPr>
                <w:rFonts w:ascii="仿宋_GB2312"/>
                <w:b/>
                <w:bCs/>
                <w:kern w:val="0"/>
                <w:szCs w:val="21"/>
              </w:rPr>
            </w:pPr>
            <w:r>
              <w:rPr>
                <w:b/>
                <w:bCs/>
                <w:kern w:val="0"/>
                <w:szCs w:val="21"/>
              </w:rPr>
              <w:t>1.</w:t>
            </w:r>
            <w:r>
              <w:rPr>
                <w:rFonts w:hint="eastAsia" w:ascii="仿宋_GB2312"/>
                <w:b/>
                <w:bCs/>
                <w:kern w:val="0"/>
                <w:szCs w:val="21"/>
              </w:rPr>
              <w:t>工作规范</w:t>
            </w:r>
          </w:p>
          <w:p>
            <w:pPr>
              <w:widowControl/>
              <w:jc w:val="center"/>
              <w:rPr>
                <w:b/>
                <w:bCs/>
                <w:kern w:val="0"/>
                <w:szCs w:val="21"/>
              </w:rPr>
            </w:pPr>
            <w:r>
              <w:rPr>
                <w:rFonts w:hint="eastAsia" w:ascii="仿宋_GB2312"/>
                <w:b/>
                <w:bCs/>
                <w:kern w:val="0"/>
                <w:szCs w:val="21"/>
              </w:rPr>
              <w:t>（</w:t>
            </w:r>
            <w:r>
              <w:rPr>
                <w:rFonts w:ascii="仿宋_GB2312"/>
                <w:b/>
                <w:bCs/>
                <w:kern w:val="0"/>
                <w:szCs w:val="21"/>
              </w:rPr>
              <w:t>15</w:t>
            </w:r>
            <w:r>
              <w:rPr>
                <w:rFonts w:hint="eastAsia" w:ascii="仿宋_GB2312"/>
                <w:b/>
                <w:bCs/>
                <w:kern w:val="0"/>
                <w:szCs w:val="21"/>
              </w:rPr>
              <w:t>分）</w:t>
            </w:r>
          </w:p>
        </w:tc>
        <w:tc>
          <w:tcPr>
            <w:tcW w:w="704" w:type="dxa"/>
            <w:vAlign w:val="center"/>
          </w:tcPr>
          <w:p>
            <w:pPr>
              <w:widowControl/>
              <w:jc w:val="center"/>
              <w:rPr>
                <w:kern w:val="0"/>
                <w:szCs w:val="21"/>
              </w:rPr>
            </w:pPr>
            <w:r>
              <w:rPr>
                <w:kern w:val="0"/>
                <w:szCs w:val="21"/>
              </w:rPr>
              <w:t>1</w:t>
            </w:r>
          </w:p>
        </w:tc>
        <w:tc>
          <w:tcPr>
            <w:tcW w:w="10209" w:type="dxa"/>
            <w:vAlign w:val="center"/>
          </w:tcPr>
          <w:p>
            <w:pPr>
              <w:widowControl/>
              <w:jc w:val="left"/>
              <w:rPr>
                <w:rFonts w:ascii="仿宋_GB2312" w:hAnsi="宋体" w:cs="宋体"/>
                <w:kern w:val="0"/>
                <w:szCs w:val="21"/>
              </w:rPr>
            </w:pPr>
            <w:r>
              <w:rPr>
                <w:rFonts w:hint="eastAsia" w:ascii="仿宋_GB2312" w:hAnsi="宋体" w:cs="宋体"/>
                <w:kern w:val="0"/>
                <w:szCs w:val="21"/>
              </w:rPr>
              <w:t>人员到岗情况</w:t>
            </w:r>
          </w:p>
        </w:tc>
        <w:tc>
          <w:tcPr>
            <w:tcW w:w="1500" w:type="dxa"/>
            <w:tcMar>
              <w:top w:w="0" w:type="dxa"/>
              <w:left w:w="0" w:type="dxa"/>
              <w:bottom w:w="0" w:type="dxa"/>
              <w:right w:w="0" w:type="dxa"/>
            </w:tcMar>
            <w:vAlign w:val="center"/>
          </w:tcPr>
          <w:p>
            <w:pPr>
              <w:widowControl/>
              <w:jc w:val="center"/>
              <w:rPr>
                <w:rFonts w:ascii="仿宋_GB2312" w:hAnsi="宋体" w:cs="宋体"/>
                <w:kern w:val="0"/>
                <w:szCs w:val="21"/>
              </w:rPr>
            </w:pPr>
            <w:r>
              <w:rPr>
                <w:rFonts w:hint="eastAsia" w:ascii="仿宋_GB2312" w:hAnsi="宋体" w:cs="宋体"/>
                <w:kern w:val="0"/>
                <w:szCs w:val="21"/>
              </w:rPr>
              <w:t>每人次扣</w:t>
            </w:r>
            <w:r>
              <w:rPr>
                <w:rFonts w:ascii="仿宋_GB2312" w:hAnsi="宋体" w:cs="宋体"/>
                <w:kern w:val="0"/>
                <w:szCs w:val="21"/>
              </w:rPr>
              <w:t>3分</w:t>
            </w:r>
          </w:p>
        </w:tc>
        <w:tc>
          <w:tcPr>
            <w:tcW w:w="704" w:type="dxa"/>
            <w:vAlign w:val="center"/>
          </w:tcPr>
          <w:p>
            <w:pPr>
              <w:widowControl/>
              <w:jc w:val="center"/>
              <w:rPr>
                <w:rFonts w:ascii="宋体" w:hAnsi="宋体" w:cs="宋体"/>
                <w:kern w:val="0"/>
                <w:szCs w:val="21"/>
              </w:rPr>
            </w:pPr>
            <w:r>
              <w:rPr>
                <w:rFonts w:ascii="宋体" w:hAnsi="宋体" w:cs="宋体"/>
                <w:kern w:val="0"/>
                <w:szCs w:val="21"/>
              </w:rPr>
              <w:t>10</w:t>
            </w:r>
          </w:p>
        </w:tc>
        <w:tc>
          <w:tcPr>
            <w:tcW w:w="689"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540" w:type="dxa"/>
            <w:vMerge w:val="continue"/>
            <w:vAlign w:val="center"/>
          </w:tcPr>
          <w:p>
            <w:pPr>
              <w:widowControl/>
              <w:jc w:val="center"/>
              <w:rPr>
                <w:b/>
                <w:bCs/>
                <w:kern w:val="0"/>
                <w:szCs w:val="21"/>
              </w:rPr>
            </w:pPr>
          </w:p>
        </w:tc>
        <w:tc>
          <w:tcPr>
            <w:tcW w:w="704" w:type="dxa"/>
            <w:vAlign w:val="center"/>
          </w:tcPr>
          <w:p>
            <w:pPr>
              <w:widowControl/>
              <w:jc w:val="center"/>
              <w:rPr>
                <w:kern w:val="0"/>
                <w:szCs w:val="21"/>
              </w:rPr>
            </w:pPr>
            <w:r>
              <w:rPr>
                <w:kern w:val="0"/>
                <w:szCs w:val="21"/>
              </w:rPr>
              <w:t>2</w:t>
            </w:r>
          </w:p>
        </w:tc>
        <w:tc>
          <w:tcPr>
            <w:tcW w:w="10209" w:type="dxa"/>
          </w:tcPr>
          <w:p>
            <w:pPr>
              <w:widowControl/>
              <w:rPr>
                <w:rFonts w:ascii="仿宋_GB2312" w:hAnsi="宋体" w:cs="宋体"/>
                <w:kern w:val="0"/>
                <w:szCs w:val="21"/>
              </w:rPr>
            </w:pPr>
            <w:r>
              <w:rPr>
                <w:rFonts w:hint="eastAsia" w:ascii="仿宋_GB2312" w:hAnsi="宋体" w:cs="宋体"/>
                <w:kern w:val="0"/>
                <w:szCs w:val="21"/>
              </w:rPr>
              <w:t>统一着装规范工作服（保洁和绿化工等统一帽子、衣服、鞋子</w:t>
            </w:r>
            <w:r>
              <w:rPr>
                <w:rFonts w:ascii="仿宋_GB2312" w:hAnsi="宋体" w:cs="宋体"/>
                <w:kern w:val="0"/>
                <w:szCs w:val="21"/>
              </w:rPr>
              <w:t>,雨天穿雨衣）情况</w:t>
            </w:r>
          </w:p>
        </w:tc>
        <w:tc>
          <w:tcPr>
            <w:tcW w:w="1500" w:type="dxa"/>
            <w:tcMar>
              <w:top w:w="0" w:type="dxa"/>
              <w:left w:w="0" w:type="dxa"/>
              <w:bottom w:w="0" w:type="dxa"/>
              <w:right w:w="0" w:type="dxa"/>
            </w:tcMar>
            <w:vAlign w:val="center"/>
          </w:tcPr>
          <w:p>
            <w:pPr>
              <w:widowControl/>
              <w:jc w:val="center"/>
              <w:rPr>
                <w:rFonts w:ascii="仿宋_GB2312" w:hAnsi="宋体" w:cs="宋体"/>
                <w:kern w:val="0"/>
                <w:szCs w:val="21"/>
              </w:rPr>
            </w:pPr>
            <w:r>
              <w:rPr>
                <w:rFonts w:hint="eastAsia" w:ascii="仿宋_GB2312" w:hAnsi="宋体" w:cs="宋体"/>
                <w:kern w:val="0"/>
                <w:szCs w:val="21"/>
              </w:rPr>
              <w:t>每人次扣</w:t>
            </w:r>
            <w:r>
              <w:rPr>
                <w:kern w:val="0"/>
                <w:szCs w:val="21"/>
              </w:rPr>
              <w:t>2</w:t>
            </w:r>
            <w:r>
              <w:rPr>
                <w:rFonts w:hint="eastAsia" w:ascii="仿宋_GB2312" w:hAnsi="宋体" w:cs="宋体"/>
                <w:kern w:val="0"/>
                <w:szCs w:val="21"/>
              </w:rPr>
              <w:t>分</w:t>
            </w:r>
          </w:p>
        </w:tc>
        <w:tc>
          <w:tcPr>
            <w:tcW w:w="704" w:type="dxa"/>
          </w:tcPr>
          <w:p>
            <w:pPr>
              <w:widowControl/>
              <w:jc w:val="center"/>
              <w:rPr>
                <w:rFonts w:ascii="宋体" w:hAnsi="宋体" w:cs="宋体"/>
                <w:kern w:val="0"/>
                <w:szCs w:val="21"/>
              </w:rPr>
            </w:pPr>
            <w:r>
              <w:rPr>
                <w:rFonts w:ascii="宋体" w:hAnsi="宋体" w:cs="宋体"/>
                <w:kern w:val="0"/>
                <w:szCs w:val="21"/>
              </w:rPr>
              <w:t>2</w:t>
            </w:r>
          </w:p>
        </w:tc>
        <w:tc>
          <w:tcPr>
            <w:tcW w:w="689"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540" w:type="dxa"/>
            <w:vMerge w:val="continue"/>
            <w:vAlign w:val="center"/>
          </w:tcPr>
          <w:p>
            <w:pPr>
              <w:widowControl/>
              <w:jc w:val="center"/>
              <w:rPr>
                <w:b/>
                <w:bCs/>
                <w:kern w:val="0"/>
                <w:szCs w:val="21"/>
              </w:rPr>
            </w:pPr>
          </w:p>
        </w:tc>
        <w:tc>
          <w:tcPr>
            <w:tcW w:w="704" w:type="dxa"/>
            <w:vAlign w:val="center"/>
          </w:tcPr>
          <w:p>
            <w:pPr>
              <w:widowControl/>
              <w:jc w:val="center"/>
              <w:rPr>
                <w:kern w:val="0"/>
                <w:szCs w:val="21"/>
              </w:rPr>
            </w:pPr>
            <w:r>
              <w:rPr>
                <w:kern w:val="0"/>
                <w:szCs w:val="21"/>
              </w:rPr>
              <w:t>3</w:t>
            </w:r>
          </w:p>
        </w:tc>
        <w:tc>
          <w:tcPr>
            <w:tcW w:w="10209" w:type="dxa"/>
            <w:vAlign w:val="center"/>
          </w:tcPr>
          <w:p>
            <w:pPr>
              <w:widowControl/>
              <w:jc w:val="left"/>
              <w:rPr>
                <w:rFonts w:ascii="仿宋_GB2312" w:hAnsi="宋体" w:cs="宋体"/>
                <w:kern w:val="0"/>
                <w:szCs w:val="21"/>
              </w:rPr>
            </w:pPr>
            <w:r>
              <w:rPr>
                <w:rFonts w:hint="eastAsia" w:ascii="仿宋_GB2312" w:hAnsi="宋体" w:cs="宋体"/>
                <w:kern w:val="0"/>
                <w:szCs w:val="21"/>
              </w:rPr>
              <w:t>作业工具完整及规范摆放情况</w:t>
            </w:r>
          </w:p>
        </w:tc>
        <w:tc>
          <w:tcPr>
            <w:tcW w:w="1500" w:type="dxa"/>
            <w:tcMar>
              <w:top w:w="0" w:type="dxa"/>
              <w:left w:w="0" w:type="dxa"/>
              <w:bottom w:w="0" w:type="dxa"/>
              <w:right w:w="0" w:type="dxa"/>
            </w:tcMar>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2分</w:t>
            </w:r>
          </w:p>
        </w:tc>
        <w:tc>
          <w:tcPr>
            <w:tcW w:w="704" w:type="dxa"/>
            <w:vAlign w:val="center"/>
          </w:tcPr>
          <w:p>
            <w:pPr>
              <w:widowControl/>
              <w:jc w:val="center"/>
              <w:rPr>
                <w:rFonts w:ascii="宋体" w:hAnsi="宋体" w:cs="宋体"/>
                <w:kern w:val="0"/>
                <w:szCs w:val="21"/>
              </w:rPr>
            </w:pPr>
            <w:r>
              <w:rPr>
                <w:rFonts w:ascii="宋体" w:hAnsi="宋体" w:cs="宋体"/>
                <w:kern w:val="0"/>
                <w:szCs w:val="21"/>
              </w:rPr>
              <w:t>2</w:t>
            </w:r>
          </w:p>
        </w:tc>
        <w:tc>
          <w:tcPr>
            <w:tcW w:w="689"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540" w:type="dxa"/>
            <w:vMerge w:val="continue"/>
            <w:vAlign w:val="center"/>
          </w:tcPr>
          <w:p>
            <w:pPr>
              <w:widowControl/>
              <w:jc w:val="center"/>
              <w:rPr>
                <w:b/>
                <w:bCs/>
                <w:kern w:val="0"/>
                <w:szCs w:val="21"/>
              </w:rPr>
            </w:pPr>
          </w:p>
        </w:tc>
        <w:tc>
          <w:tcPr>
            <w:tcW w:w="704" w:type="dxa"/>
            <w:vAlign w:val="center"/>
          </w:tcPr>
          <w:p>
            <w:pPr>
              <w:widowControl/>
              <w:jc w:val="center"/>
              <w:rPr>
                <w:kern w:val="0"/>
                <w:szCs w:val="21"/>
              </w:rPr>
            </w:pPr>
            <w:r>
              <w:rPr>
                <w:kern w:val="0"/>
                <w:szCs w:val="21"/>
              </w:rPr>
              <w:t>4</w:t>
            </w:r>
          </w:p>
        </w:tc>
        <w:tc>
          <w:tcPr>
            <w:tcW w:w="10209" w:type="dxa"/>
            <w:vAlign w:val="center"/>
          </w:tcPr>
          <w:p>
            <w:pPr>
              <w:widowControl/>
              <w:jc w:val="left"/>
              <w:rPr>
                <w:rFonts w:ascii="仿宋_GB2312" w:hAnsi="宋体" w:cs="宋体"/>
                <w:kern w:val="0"/>
                <w:szCs w:val="21"/>
              </w:rPr>
            </w:pPr>
            <w:r>
              <w:rPr>
                <w:rFonts w:hint="eastAsia" w:ascii="仿宋_GB2312" w:hAnsi="宋体" w:cs="宋体"/>
                <w:kern w:val="0"/>
                <w:szCs w:val="21"/>
              </w:rPr>
              <w:t>垃圾收集存放及清运规范情况</w:t>
            </w:r>
          </w:p>
        </w:tc>
        <w:tc>
          <w:tcPr>
            <w:tcW w:w="1500" w:type="dxa"/>
            <w:tcMar>
              <w:top w:w="0" w:type="dxa"/>
              <w:left w:w="0" w:type="dxa"/>
              <w:bottom w:w="0" w:type="dxa"/>
              <w:right w:w="0" w:type="dxa"/>
            </w:tcMar>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1分</w:t>
            </w:r>
          </w:p>
        </w:tc>
        <w:tc>
          <w:tcPr>
            <w:tcW w:w="704" w:type="dxa"/>
            <w:vAlign w:val="center"/>
          </w:tcPr>
          <w:p>
            <w:pPr>
              <w:widowControl/>
              <w:jc w:val="center"/>
              <w:rPr>
                <w:rFonts w:ascii="宋体" w:hAnsi="宋体" w:cs="宋体"/>
                <w:kern w:val="0"/>
                <w:szCs w:val="21"/>
              </w:rPr>
            </w:pPr>
            <w:r>
              <w:rPr>
                <w:rFonts w:hint="eastAsia" w:ascii="宋体" w:hAnsi="宋体" w:cs="宋体"/>
                <w:kern w:val="0"/>
                <w:szCs w:val="21"/>
              </w:rPr>
              <w:t>1</w:t>
            </w:r>
          </w:p>
        </w:tc>
        <w:tc>
          <w:tcPr>
            <w:tcW w:w="689"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540" w:type="dxa"/>
            <w:vMerge w:val="restart"/>
            <w:vAlign w:val="center"/>
          </w:tcPr>
          <w:p>
            <w:pPr>
              <w:widowControl/>
              <w:jc w:val="center"/>
              <w:rPr>
                <w:rFonts w:ascii="仿宋_GB2312"/>
                <w:b/>
                <w:bCs/>
                <w:kern w:val="0"/>
                <w:szCs w:val="21"/>
              </w:rPr>
            </w:pPr>
            <w:r>
              <w:rPr>
                <w:b/>
                <w:bCs/>
                <w:kern w:val="0"/>
                <w:szCs w:val="21"/>
              </w:rPr>
              <w:t>2</w:t>
            </w:r>
            <w:r>
              <w:rPr>
                <w:rFonts w:hint="eastAsia" w:ascii="仿宋_GB2312"/>
                <w:b/>
                <w:bCs/>
                <w:kern w:val="0"/>
                <w:szCs w:val="21"/>
              </w:rPr>
              <w:t>.环境卫生及</w:t>
            </w:r>
          </w:p>
          <w:p>
            <w:pPr>
              <w:widowControl/>
              <w:jc w:val="center"/>
              <w:rPr>
                <w:rFonts w:ascii="仿宋_GB2312"/>
                <w:b/>
                <w:bCs/>
                <w:kern w:val="0"/>
                <w:szCs w:val="21"/>
              </w:rPr>
            </w:pPr>
            <w:r>
              <w:rPr>
                <w:rFonts w:hint="eastAsia" w:ascii="仿宋_GB2312"/>
                <w:b/>
                <w:bCs/>
                <w:kern w:val="0"/>
                <w:szCs w:val="21"/>
              </w:rPr>
              <w:t xml:space="preserve">设施维护 </w:t>
            </w:r>
          </w:p>
          <w:p>
            <w:pPr>
              <w:widowControl/>
              <w:jc w:val="center"/>
              <w:rPr>
                <w:b/>
                <w:bCs/>
                <w:kern w:val="0"/>
                <w:szCs w:val="21"/>
              </w:rPr>
            </w:pPr>
            <w:r>
              <w:rPr>
                <w:rFonts w:hint="eastAsia" w:ascii="仿宋_GB2312"/>
                <w:b/>
                <w:bCs/>
                <w:kern w:val="0"/>
                <w:szCs w:val="21"/>
              </w:rPr>
              <w:t>（</w:t>
            </w:r>
            <w:r>
              <w:rPr>
                <w:rFonts w:ascii="仿宋_GB2312"/>
                <w:b/>
                <w:bCs/>
                <w:kern w:val="0"/>
                <w:szCs w:val="21"/>
              </w:rPr>
              <w:t>25</w:t>
            </w:r>
            <w:r>
              <w:rPr>
                <w:rFonts w:hint="eastAsia" w:ascii="仿宋_GB2312"/>
                <w:b/>
                <w:bCs/>
                <w:kern w:val="0"/>
                <w:szCs w:val="21"/>
              </w:rPr>
              <w:t>分）</w:t>
            </w:r>
          </w:p>
        </w:tc>
        <w:tc>
          <w:tcPr>
            <w:tcW w:w="704" w:type="dxa"/>
            <w:vAlign w:val="center"/>
          </w:tcPr>
          <w:p>
            <w:pPr>
              <w:widowControl/>
              <w:jc w:val="center"/>
              <w:rPr>
                <w:kern w:val="0"/>
                <w:szCs w:val="21"/>
              </w:rPr>
            </w:pPr>
            <w:r>
              <w:rPr>
                <w:kern w:val="0"/>
                <w:szCs w:val="21"/>
              </w:rPr>
              <w:t>5</w:t>
            </w:r>
          </w:p>
        </w:tc>
        <w:tc>
          <w:tcPr>
            <w:tcW w:w="10209" w:type="dxa"/>
            <w:vAlign w:val="center"/>
          </w:tcPr>
          <w:p>
            <w:pPr>
              <w:widowControl/>
              <w:jc w:val="left"/>
              <w:rPr>
                <w:rFonts w:ascii="仿宋_GB2312" w:hAnsi="宋体" w:cs="宋体"/>
                <w:kern w:val="0"/>
                <w:szCs w:val="21"/>
              </w:rPr>
            </w:pPr>
            <w:r>
              <w:rPr>
                <w:rFonts w:hint="eastAsia" w:ascii="仿宋_GB2312" w:hAnsi="宋体" w:cs="宋体"/>
                <w:kern w:val="0"/>
                <w:szCs w:val="21"/>
              </w:rPr>
              <w:t>硬质地面（道路、广场等）、绿地及雨水井、排水沟等有生活、建筑垃圾、枯枝落叶等未清理情况</w:t>
            </w:r>
          </w:p>
        </w:tc>
        <w:tc>
          <w:tcPr>
            <w:tcW w:w="1500" w:type="dxa"/>
            <w:tcMar>
              <w:top w:w="0" w:type="dxa"/>
              <w:left w:w="0" w:type="dxa"/>
              <w:bottom w:w="0" w:type="dxa"/>
              <w:right w:w="0" w:type="dxa"/>
            </w:tcMar>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2分</w:t>
            </w:r>
          </w:p>
        </w:tc>
        <w:tc>
          <w:tcPr>
            <w:tcW w:w="704" w:type="dxa"/>
            <w:vAlign w:val="center"/>
          </w:tcPr>
          <w:p>
            <w:pPr>
              <w:widowControl/>
              <w:jc w:val="center"/>
              <w:rPr>
                <w:rFonts w:ascii="宋体" w:hAnsi="宋体" w:cs="宋体"/>
                <w:kern w:val="0"/>
                <w:szCs w:val="21"/>
              </w:rPr>
            </w:pPr>
            <w:r>
              <w:rPr>
                <w:rFonts w:ascii="宋体" w:hAnsi="宋体" w:cs="宋体"/>
                <w:kern w:val="0"/>
                <w:szCs w:val="21"/>
              </w:rPr>
              <w:t>3</w:t>
            </w:r>
          </w:p>
        </w:tc>
        <w:tc>
          <w:tcPr>
            <w:tcW w:w="689"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540" w:type="dxa"/>
            <w:vMerge w:val="continue"/>
            <w:vAlign w:val="center"/>
          </w:tcPr>
          <w:p>
            <w:pPr>
              <w:widowControl/>
              <w:jc w:val="center"/>
              <w:rPr>
                <w:b/>
                <w:bCs/>
                <w:kern w:val="0"/>
                <w:szCs w:val="21"/>
              </w:rPr>
            </w:pPr>
          </w:p>
        </w:tc>
        <w:tc>
          <w:tcPr>
            <w:tcW w:w="704" w:type="dxa"/>
            <w:vAlign w:val="center"/>
          </w:tcPr>
          <w:p>
            <w:pPr>
              <w:widowControl/>
              <w:jc w:val="center"/>
              <w:rPr>
                <w:kern w:val="0"/>
                <w:szCs w:val="21"/>
              </w:rPr>
            </w:pPr>
            <w:r>
              <w:rPr>
                <w:kern w:val="0"/>
                <w:szCs w:val="21"/>
              </w:rPr>
              <w:t>6</w:t>
            </w:r>
          </w:p>
        </w:tc>
        <w:tc>
          <w:tcPr>
            <w:tcW w:w="10209" w:type="dxa"/>
            <w:vAlign w:val="center"/>
          </w:tcPr>
          <w:p>
            <w:pPr>
              <w:widowControl/>
              <w:jc w:val="left"/>
              <w:rPr>
                <w:rFonts w:ascii="仿宋_GB2312" w:hAnsi="宋体" w:cs="宋体"/>
                <w:kern w:val="0"/>
                <w:szCs w:val="21"/>
              </w:rPr>
            </w:pPr>
            <w:r>
              <w:rPr>
                <w:rFonts w:hint="eastAsia" w:ascii="仿宋_GB2312" w:hAnsi="宋体" w:cs="宋体"/>
                <w:kern w:val="0"/>
                <w:szCs w:val="21"/>
              </w:rPr>
              <w:t>硬质地面（广场、停车场、道路、平台、石阶等）有污渍、乱涂画、乱张贴、鸟粪等</w:t>
            </w:r>
          </w:p>
        </w:tc>
        <w:tc>
          <w:tcPr>
            <w:tcW w:w="1500" w:type="dxa"/>
            <w:tcMar>
              <w:top w:w="0" w:type="dxa"/>
              <w:left w:w="0" w:type="dxa"/>
              <w:bottom w:w="0" w:type="dxa"/>
              <w:right w:w="0" w:type="dxa"/>
            </w:tcMar>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2分</w:t>
            </w:r>
          </w:p>
        </w:tc>
        <w:tc>
          <w:tcPr>
            <w:tcW w:w="704" w:type="dxa"/>
            <w:vAlign w:val="center"/>
          </w:tcPr>
          <w:p>
            <w:pPr>
              <w:widowControl/>
              <w:jc w:val="center"/>
              <w:rPr>
                <w:rFonts w:ascii="宋体" w:hAnsi="宋体" w:cs="宋体"/>
                <w:kern w:val="0"/>
                <w:szCs w:val="21"/>
              </w:rPr>
            </w:pPr>
            <w:r>
              <w:rPr>
                <w:rFonts w:ascii="宋体" w:hAnsi="宋体" w:cs="宋体"/>
                <w:kern w:val="0"/>
                <w:szCs w:val="21"/>
              </w:rPr>
              <w:t>3</w:t>
            </w:r>
          </w:p>
        </w:tc>
        <w:tc>
          <w:tcPr>
            <w:tcW w:w="689"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1540" w:type="dxa"/>
            <w:vMerge w:val="continue"/>
            <w:vAlign w:val="center"/>
          </w:tcPr>
          <w:p>
            <w:pPr>
              <w:widowControl/>
              <w:jc w:val="center"/>
              <w:rPr>
                <w:b/>
                <w:bCs/>
                <w:kern w:val="0"/>
                <w:szCs w:val="21"/>
              </w:rPr>
            </w:pPr>
          </w:p>
        </w:tc>
        <w:tc>
          <w:tcPr>
            <w:tcW w:w="704" w:type="dxa"/>
            <w:vAlign w:val="center"/>
          </w:tcPr>
          <w:p>
            <w:pPr>
              <w:widowControl/>
              <w:jc w:val="center"/>
              <w:rPr>
                <w:kern w:val="0"/>
                <w:szCs w:val="21"/>
              </w:rPr>
            </w:pPr>
            <w:r>
              <w:rPr>
                <w:kern w:val="0"/>
                <w:szCs w:val="21"/>
              </w:rPr>
              <w:t>7</w:t>
            </w:r>
          </w:p>
        </w:tc>
        <w:tc>
          <w:tcPr>
            <w:tcW w:w="10209" w:type="dxa"/>
            <w:vAlign w:val="center"/>
          </w:tcPr>
          <w:p>
            <w:pPr>
              <w:widowControl/>
              <w:jc w:val="left"/>
              <w:rPr>
                <w:kern w:val="0"/>
                <w:szCs w:val="21"/>
              </w:rPr>
            </w:pPr>
            <w:r>
              <w:rPr>
                <w:rFonts w:hint="eastAsia"/>
                <w:kern w:val="0"/>
                <w:szCs w:val="21"/>
              </w:rPr>
              <w:t>构筑物、设施（宣传栏、具有休憩功能的座椅、路灯等）等</w:t>
            </w:r>
            <w:r>
              <w:rPr>
                <w:rFonts w:hint="eastAsia" w:ascii="仿宋_GB2312" w:hAnsi="宋体" w:cs="宋体"/>
                <w:kern w:val="0"/>
                <w:szCs w:val="21"/>
              </w:rPr>
              <w:t>存在灰尘、污迹、</w:t>
            </w:r>
            <w:r>
              <w:rPr>
                <w:rFonts w:hint="eastAsia"/>
                <w:kern w:val="0"/>
                <w:szCs w:val="21"/>
              </w:rPr>
              <w:t>乱涂画张贴等</w:t>
            </w:r>
          </w:p>
        </w:tc>
        <w:tc>
          <w:tcPr>
            <w:tcW w:w="1500" w:type="dxa"/>
            <w:tcMar>
              <w:top w:w="0" w:type="dxa"/>
              <w:left w:w="0" w:type="dxa"/>
              <w:bottom w:w="0" w:type="dxa"/>
              <w:right w:w="0" w:type="dxa"/>
            </w:tcMar>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2分</w:t>
            </w:r>
          </w:p>
        </w:tc>
        <w:tc>
          <w:tcPr>
            <w:tcW w:w="704" w:type="dxa"/>
            <w:vAlign w:val="center"/>
          </w:tcPr>
          <w:p>
            <w:pPr>
              <w:widowControl/>
              <w:jc w:val="center"/>
              <w:rPr>
                <w:rFonts w:ascii="宋体" w:hAnsi="宋体" w:cs="宋体"/>
                <w:kern w:val="0"/>
                <w:szCs w:val="21"/>
              </w:rPr>
            </w:pPr>
            <w:r>
              <w:rPr>
                <w:rFonts w:ascii="宋体" w:hAnsi="宋体" w:cs="宋体"/>
                <w:kern w:val="0"/>
                <w:szCs w:val="21"/>
              </w:rPr>
              <w:t>3</w:t>
            </w:r>
          </w:p>
        </w:tc>
        <w:tc>
          <w:tcPr>
            <w:tcW w:w="689"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540" w:type="dxa"/>
            <w:vMerge w:val="continue"/>
            <w:vAlign w:val="center"/>
          </w:tcPr>
          <w:p>
            <w:pPr>
              <w:widowControl/>
              <w:jc w:val="center"/>
              <w:rPr>
                <w:b/>
                <w:bCs/>
                <w:kern w:val="0"/>
                <w:szCs w:val="21"/>
              </w:rPr>
            </w:pPr>
          </w:p>
        </w:tc>
        <w:tc>
          <w:tcPr>
            <w:tcW w:w="704" w:type="dxa"/>
            <w:vAlign w:val="center"/>
          </w:tcPr>
          <w:p>
            <w:pPr>
              <w:widowControl/>
              <w:jc w:val="center"/>
              <w:rPr>
                <w:kern w:val="0"/>
                <w:szCs w:val="21"/>
              </w:rPr>
            </w:pPr>
            <w:r>
              <w:rPr>
                <w:kern w:val="0"/>
                <w:szCs w:val="21"/>
              </w:rPr>
              <w:t>8</w:t>
            </w:r>
          </w:p>
        </w:tc>
        <w:tc>
          <w:tcPr>
            <w:tcW w:w="10209" w:type="dxa"/>
            <w:vAlign w:val="center"/>
          </w:tcPr>
          <w:p>
            <w:pPr>
              <w:widowControl/>
              <w:jc w:val="left"/>
              <w:rPr>
                <w:kern w:val="0"/>
                <w:szCs w:val="21"/>
              </w:rPr>
            </w:pPr>
            <w:r>
              <w:rPr>
                <w:rFonts w:hint="eastAsia"/>
                <w:kern w:val="0"/>
                <w:szCs w:val="21"/>
              </w:rPr>
              <w:t>水体（溪流、鱼池、岩溶景区喷泉、湿地等）等有无漂浮垃圾</w:t>
            </w:r>
          </w:p>
        </w:tc>
        <w:tc>
          <w:tcPr>
            <w:tcW w:w="1500" w:type="dxa"/>
            <w:tcMar>
              <w:top w:w="0" w:type="dxa"/>
              <w:left w:w="0" w:type="dxa"/>
              <w:bottom w:w="0" w:type="dxa"/>
              <w:right w:w="0" w:type="dxa"/>
            </w:tcMar>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2分</w:t>
            </w:r>
          </w:p>
        </w:tc>
        <w:tc>
          <w:tcPr>
            <w:tcW w:w="704" w:type="dxa"/>
            <w:vAlign w:val="center"/>
          </w:tcPr>
          <w:p>
            <w:pPr>
              <w:widowControl/>
              <w:jc w:val="center"/>
              <w:rPr>
                <w:rFonts w:ascii="宋体" w:hAnsi="宋体" w:cs="宋体"/>
                <w:kern w:val="0"/>
                <w:szCs w:val="21"/>
              </w:rPr>
            </w:pPr>
            <w:r>
              <w:rPr>
                <w:rFonts w:ascii="宋体" w:hAnsi="宋体" w:cs="宋体"/>
                <w:kern w:val="0"/>
                <w:szCs w:val="21"/>
              </w:rPr>
              <w:t>3</w:t>
            </w:r>
          </w:p>
        </w:tc>
        <w:tc>
          <w:tcPr>
            <w:tcW w:w="689"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540" w:type="dxa"/>
            <w:vMerge w:val="continue"/>
            <w:vAlign w:val="center"/>
          </w:tcPr>
          <w:p>
            <w:pPr>
              <w:widowControl/>
              <w:jc w:val="center"/>
              <w:rPr>
                <w:b/>
                <w:bCs/>
                <w:kern w:val="0"/>
                <w:szCs w:val="21"/>
              </w:rPr>
            </w:pPr>
          </w:p>
        </w:tc>
        <w:tc>
          <w:tcPr>
            <w:tcW w:w="704" w:type="dxa"/>
            <w:vAlign w:val="center"/>
          </w:tcPr>
          <w:p>
            <w:pPr>
              <w:widowControl/>
              <w:jc w:val="center"/>
              <w:rPr>
                <w:kern w:val="0"/>
                <w:szCs w:val="21"/>
              </w:rPr>
            </w:pPr>
            <w:r>
              <w:rPr>
                <w:kern w:val="0"/>
                <w:szCs w:val="21"/>
              </w:rPr>
              <w:t>9</w:t>
            </w:r>
          </w:p>
        </w:tc>
        <w:tc>
          <w:tcPr>
            <w:tcW w:w="10209" w:type="dxa"/>
            <w:vAlign w:val="center"/>
          </w:tcPr>
          <w:p>
            <w:pPr>
              <w:widowControl/>
              <w:jc w:val="left"/>
              <w:rPr>
                <w:kern w:val="0"/>
                <w:szCs w:val="21"/>
              </w:rPr>
            </w:pPr>
            <w:r>
              <w:rPr>
                <w:rFonts w:hint="eastAsia"/>
                <w:kern w:val="0"/>
                <w:szCs w:val="21"/>
              </w:rPr>
              <w:t>登山道垃圾未及时清理；道路两侧5米干枯枝较多；登山道台阶、护栏或相关设施损坏未修复</w:t>
            </w:r>
          </w:p>
        </w:tc>
        <w:tc>
          <w:tcPr>
            <w:tcW w:w="1500" w:type="dxa"/>
            <w:tcMar>
              <w:top w:w="0" w:type="dxa"/>
              <w:left w:w="0" w:type="dxa"/>
              <w:bottom w:w="0" w:type="dxa"/>
              <w:right w:w="0" w:type="dxa"/>
            </w:tcMar>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2分</w:t>
            </w:r>
          </w:p>
        </w:tc>
        <w:tc>
          <w:tcPr>
            <w:tcW w:w="704" w:type="dxa"/>
            <w:vAlign w:val="center"/>
          </w:tcPr>
          <w:p>
            <w:pPr>
              <w:widowControl/>
              <w:jc w:val="center"/>
              <w:rPr>
                <w:rFonts w:ascii="宋体" w:hAnsi="宋体" w:cs="宋体"/>
                <w:kern w:val="0"/>
                <w:szCs w:val="21"/>
              </w:rPr>
            </w:pPr>
            <w:r>
              <w:rPr>
                <w:rFonts w:ascii="宋体" w:hAnsi="宋体" w:cs="宋体"/>
                <w:kern w:val="0"/>
                <w:szCs w:val="21"/>
              </w:rPr>
              <w:t>8</w:t>
            </w:r>
          </w:p>
        </w:tc>
        <w:tc>
          <w:tcPr>
            <w:tcW w:w="689"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540" w:type="dxa"/>
            <w:vMerge w:val="continue"/>
            <w:vAlign w:val="center"/>
          </w:tcPr>
          <w:p>
            <w:pPr>
              <w:widowControl/>
              <w:jc w:val="center"/>
              <w:rPr>
                <w:b/>
                <w:bCs/>
                <w:kern w:val="0"/>
                <w:szCs w:val="21"/>
              </w:rPr>
            </w:pPr>
          </w:p>
        </w:tc>
        <w:tc>
          <w:tcPr>
            <w:tcW w:w="704" w:type="dxa"/>
            <w:vAlign w:val="center"/>
          </w:tcPr>
          <w:p>
            <w:pPr>
              <w:widowControl/>
              <w:jc w:val="center"/>
              <w:rPr>
                <w:kern w:val="0"/>
                <w:szCs w:val="21"/>
              </w:rPr>
            </w:pPr>
            <w:r>
              <w:rPr>
                <w:kern w:val="0"/>
                <w:szCs w:val="21"/>
              </w:rPr>
              <w:t>10</w:t>
            </w:r>
          </w:p>
        </w:tc>
        <w:tc>
          <w:tcPr>
            <w:tcW w:w="10209" w:type="dxa"/>
            <w:vAlign w:val="center"/>
          </w:tcPr>
          <w:p>
            <w:pPr>
              <w:widowControl/>
              <w:jc w:val="left"/>
              <w:rPr>
                <w:kern w:val="0"/>
                <w:szCs w:val="21"/>
              </w:rPr>
            </w:pPr>
            <w:r>
              <w:rPr>
                <w:rFonts w:hint="eastAsia"/>
                <w:kern w:val="0"/>
                <w:szCs w:val="21"/>
              </w:rPr>
              <w:t>园区绿化管养设施（垃圾桶、围栏、浇水设施、护树架等）未及时维护</w:t>
            </w:r>
          </w:p>
        </w:tc>
        <w:tc>
          <w:tcPr>
            <w:tcW w:w="1500" w:type="dxa"/>
            <w:tcMar>
              <w:top w:w="0" w:type="dxa"/>
              <w:left w:w="0" w:type="dxa"/>
              <w:bottom w:w="0" w:type="dxa"/>
              <w:right w:w="0" w:type="dxa"/>
            </w:tcMar>
            <w:vAlign w:val="center"/>
          </w:tcPr>
          <w:p>
            <w:pPr>
              <w:widowControl/>
              <w:jc w:val="center"/>
              <w:rPr>
                <w:rFonts w:ascii="仿宋_GB2312" w:hAnsi="宋体" w:cs="宋体"/>
                <w:kern w:val="0"/>
                <w:szCs w:val="21"/>
              </w:rPr>
            </w:pPr>
            <w:r>
              <w:rPr>
                <w:rFonts w:hint="eastAsia" w:ascii="仿宋_GB2312" w:hAnsi="宋体"/>
                <w:szCs w:val="21"/>
              </w:rPr>
              <w:t>每处扣</w:t>
            </w:r>
            <w:r>
              <w:rPr>
                <w:rFonts w:ascii="仿宋_GB2312" w:hAnsi="宋体"/>
                <w:szCs w:val="21"/>
              </w:rPr>
              <w:t>2分</w:t>
            </w:r>
          </w:p>
        </w:tc>
        <w:tc>
          <w:tcPr>
            <w:tcW w:w="704" w:type="dxa"/>
            <w:vAlign w:val="center"/>
          </w:tcPr>
          <w:p>
            <w:pPr>
              <w:widowControl/>
              <w:jc w:val="center"/>
              <w:rPr>
                <w:rFonts w:ascii="宋体" w:hAnsi="宋体" w:cs="宋体"/>
                <w:kern w:val="0"/>
                <w:szCs w:val="21"/>
              </w:rPr>
            </w:pPr>
            <w:r>
              <w:rPr>
                <w:rFonts w:ascii="宋体" w:hAnsi="宋体" w:cs="宋体"/>
                <w:kern w:val="0"/>
                <w:szCs w:val="21"/>
              </w:rPr>
              <w:t>4</w:t>
            </w:r>
          </w:p>
        </w:tc>
        <w:tc>
          <w:tcPr>
            <w:tcW w:w="689"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540" w:type="dxa"/>
            <w:vMerge w:val="continue"/>
            <w:vAlign w:val="center"/>
          </w:tcPr>
          <w:p>
            <w:pPr>
              <w:widowControl/>
              <w:jc w:val="center"/>
              <w:rPr>
                <w:b/>
                <w:bCs/>
                <w:kern w:val="0"/>
                <w:szCs w:val="21"/>
              </w:rPr>
            </w:pPr>
          </w:p>
        </w:tc>
        <w:tc>
          <w:tcPr>
            <w:tcW w:w="704" w:type="dxa"/>
            <w:vAlign w:val="center"/>
          </w:tcPr>
          <w:p>
            <w:pPr>
              <w:widowControl/>
              <w:jc w:val="center"/>
              <w:rPr>
                <w:kern w:val="0"/>
                <w:szCs w:val="21"/>
              </w:rPr>
            </w:pPr>
            <w:r>
              <w:rPr>
                <w:kern w:val="0"/>
                <w:szCs w:val="21"/>
              </w:rPr>
              <w:t>11</w:t>
            </w:r>
          </w:p>
        </w:tc>
        <w:tc>
          <w:tcPr>
            <w:tcW w:w="10209" w:type="dxa"/>
            <w:vAlign w:val="center"/>
          </w:tcPr>
          <w:p>
            <w:pPr>
              <w:widowControl/>
              <w:jc w:val="left"/>
              <w:rPr>
                <w:kern w:val="0"/>
                <w:szCs w:val="21"/>
              </w:rPr>
            </w:pPr>
            <w:r>
              <w:rPr>
                <w:rFonts w:hint="eastAsia"/>
                <w:kern w:val="0"/>
                <w:szCs w:val="21"/>
              </w:rPr>
              <w:t>管养范围内存在的其它影响园区环境卫生的现象（可视范围内存在生活垃圾、建筑垃圾、蚊虫滋生地等）</w:t>
            </w:r>
          </w:p>
        </w:tc>
        <w:tc>
          <w:tcPr>
            <w:tcW w:w="1500" w:type="dxa"/>
            <w:tcMar>
              <w:top w:w="0" w:type="dxa"/>
              <w:left w:w="0" w:type="dxa"/>
              <w:bottom w:w="0" w:type="dxa"/>
              <w:right w:w="0" w:type="dxa"/>
            </w:tcMar>
            <w:vAlign w:val="center"/>
          </w:tcPr>
          <w:p>
            <w:pPr>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1分</w:t>
            </w:r>
          </w:p>
        </w:tc>
        <w:tc>
          <w:tcPr>
            <w:tcW w:w="704" w:type="dxa"/>
            <w:vAlign w:val="center"/>
          </w:tcPr>
          <w:p>
            <w:pPr>
              <w:jc w:val="center"/>
              <w:rPr>
                <w:rFonts w:ascii="宋体" w:hAnsi="宋体" w:cs="宋体"/>
                <w:kern w:val="0"/>
                <w:szCs w:val="21"/>
              </w:rPr>
            </w:pPr>
            <w:r>
              <w:rPr>
                <w:rFonts w:ascii="宋体" w:hAnsi="宋体" w:cs="宋体"/>
                <w:kern w:val="0"/>
                <w:szCs w:val="21"/>
              </w:rPr>
              <w:t>1</w:t>
            </w:r>
          </w:p>
        </w:tc>
        <w:tc>
          <w:tcPr>
            <w:tcW w:w="689" w:type="dxa"/>
            <w:vAlign w:val="center"/>
          </w:tcPr>
          <w:p>
            <w:pPr>
              <w:widowControl/>
              <w:jc w:val="center"/>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540" w:type="dxa"/>
            <w:vMerge w:val="restart"/>
            <w:vAlign w:val="center"/>
          </w:tcPr>
          <w:p>
            <w:pPr>
              <w:widowControl/>
              <w:jc w:val="center"/>
              <w:rPr>
                <w:b/>
                <w:bCs/>
                <w:kern w:val="0"/>
                <w:szCs w:val="21"/>
              </w:rPr>
            </w:pPr>
            <w:r>
              <w:rPr>
                <w:rFonts w:hint="eastAsia"/>
                <w:b/>
                <w:bCs/>
                <w:kern w:val="0"/>
                <w:szCs w:val="21"/>
              </w:rPr>
              <w:t>3.绿化养护</w:t>
            </w:r>
          </w:p>
          <w:p>
            <w:pPr>
              <w:widowControl/>
              <w:jc w:val="center"/>
              <w:rPr>
                <w:b/>
                <w:bCs/>
                <w:kern w:val="0"/>
                <w:szCs w:val="21"/>
              </w:rPr>
            </w:pPr>
            <w:r>
              <w:rPr>
                <w:rFonts w:hint="eastAsia" w:ascii="宋体" w:hAnsi="宋体" w:cs="宋体"/>
                <w:b/>
                <w:bCs/>
                <w:kern w:val="0"/>
                <w:szCs w:val="21"/>
              </w:rPr>
              <w:t>（</w:t>
            </w:r>
            <w:r>
              <w:rPr>
                <w:rFonts w:ascii="宋体" w:hAnsi="宋体" w:cs="宋体"/>
                <w:b/>
                <w:bCs/>
                <w:kern w:val="0"/>
                <w:szCs w:val="21"/>
              </w:rPr>
              <w:t>30分）</w:t>
            </w:r>
          </w:p>
        </w:tc>
        <w:tc>
          <w:tcPr>
            <w:tcW w:w="704" w:type="dxa"/>
            <w:vAlign w:val="center"/>
          </w:tcPr>
          <w:p>
            <w:pPr>
              <w:widowControl/>
              <w:jc w:val="center"/>
              <w:rPr>
                <w:kern w:val="0"/>
                <w:szCs w:val="21"/>
              </w:rPr>
            </w:pPr>
            <w:r>
              <w:rPr>
                <w:kern w:val="0"/>
                <w:szCs w:val="21"/>
              </w:rPr>
              <w:t>12</w:t>
            </w:r>
          </w:p>
        </w:tc>
        <w:tc>
          <w:tcPr>
            <w:tcW w:w="10209" w:type="dxa"/>
            <w:vAlign w:val="center"/>
          </w:tcPr>
          <w:p>
            <w:pPr>
              <w:widowControl/>
              <w:spacing w:line="340" w:lineRule="exact"/>
              <w:rPr>
                <w:kern w:val="0"/>
                <w:szCs w:val="21"/>
              </w:rPr>
            </w:pPr>
            <w:r>
              <w:rPr>
                <w:rFonts w:hint="eastAsia"/>
                <w:kern w:val="0"/>
                <w:szCs w:val="21"/>
              </w:rPr>
              <w:t>植物（乔灌木、地被等）长势弱，枯枝较多，病虫害较严重或治理不及时</w:t>
            </w:r>
            <w:r>
              <w:rPr>
                <w:rFonts w:hint="eastAsia" w:ascii="仿宋_GB2312" w:hAnsi="宋体"/>
                <w:sz w:val="18"/>
                <w:szCs w:val="18"/>
              </w:rPr>
              <w:t>（乔木每株扣</w:t>
            </w:r>
            <w:r>
              <w:rPr>
                <w:rFonts w:ascii="仿宋_GB2312" w:hAnsi="宋体"/>
                <w:sz w:val="18"/>
                <w:szCs w:val="18"/>
              </w:rPr>
              <w:t>3分，灌木等每</w:t>
            </w:r>
            <w:r>
              <w:rPr>
                <w:kern w:val="0"/>
                <w:szCs w:val="21"/>
              </w:rPr>
              <w:t>m</w:t>
            </w:r>
            <w:r>
              <w:rPr>
                <w:kern w:val="0"/>
                <w:szCs w:val="21"/>
                <w:vertAlign w:val="superscript"/>
              </w:rPr>
              <w:t>2</w:t>
            </w:r>
            <w:r>
              <w:rPr>
                <w:rFonts w:hint="eastAsia" w:ascii="仿宋_GB2312" w:hAnsi="宋体"/>
                <w:sz w:val="18"/>
                <w:szCs w:val="18"/>
              </w:rPr>
              <w:t>扣</w:t>
            </w:r>
            <w:r>
              <w:rPr>
                <w:rFonts w:ascii="仿宋_GB2312" w:hAnsi="宋体"/>
                <w:sz w:val="18"/>
                <w:szCs w:val="18"/>
              </w:rPr>
              <w:t>2分）</w:t>
            </w:r>
          </w:p>
        </w:tc>
        <w:tc>
          <w:tcPr>
            <w:tcW w:w="1500" w:type="dxa"/>
            <w:tcMar>
              <w:top w:w="0" w:type="dxa"/>
              <w:left w:w="0" w:type="dxa"/>
              <w:bottom w:w="0" w:type="dxa"/>
              <w:right w:w="0" w:type="dxa"/>
            </w:tcMar>
            <w:vAlign w:val="center"/>
          </w:tcPr>
          <w:p>
            <w:pPr>
              <w:widowControl/>
              <w:jc w:val="center"/>
              <w:rPr>
                <w:rFonts w:ascii="仿宋_GB2312" w:hAnsi="宋体" w:cs="宋体"/>
                <w:kern w:val="0"/>
                <w:szCs w:val="21"/>
              </w:rPr>
            </w:pPr>
          </w:p>
        </w:tc>
        <w:tc>
          <w:tcPr>
            <w:tcW w:w="704" w:type="dxa"/>
            <w:vAlign w:val="center"/>
          </w:tcPr>
          <w:p>
            <w:pPr>
              <w:widowControl/>
              <w:jc w:val="center"/>
              <w:rPr>
                <w:rFonts w:ascii="宋体" w:hAnsi="宋体" w:cs="宋体"/>
                <w:bCs/>
                <w:kern w:val="0"/>
                <w:szCs w:val="21"/>
              </w:rPr>
            </w:pPr>
            <w:r>
              <w:rPr>
                <w:rFonts w:ascii="宋体" w:hAnsi="宋体" w:cs="宋体"/>
                <w:bCs/>
                <w:kern w:val="0"/>
                <w:szCs w:val="21"/>
              </w:rPr>
              <w:t>6</w:t>
            </w:r>
          </w:p>
        </w:tc>
        <w:tc>
          <w:tcPr>
            <w:tcW w:w="689" w:type="dxa"/>
            <w:vAlign w:val="center"/>
          </w:tcPr>
          <w:p>
            <w:pPr>
              <w:widowControl/>
              <w:jc w:val="center"/>
              <w:rPr>
                <w:rFonts w:ascii="宋体" w:hAnsi="宋体" w:cs="宋体"/>
                <w:b/>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540" w:type="dxa"/>
            <w:vMerge w:val="continue"/>
            <w:vAlign w:val="center"/>
          </w:tcPr>
          <w:p>
            <w:pPr>
              <w:widowControl/>
              <w:jc w:val="center"/>
              <w:rPr>
                <w:b/>
                <w:bCs/>
                <w:kern w:val="0"/>
                <w:szCs w:val="21"/>
              </w:rPr>
            </w:pPr>
          </w:p>
        </w:tc>
        <w:tc>
          <w:tcPr>
            <w:tcW w:w="704" w:type="dxa"/>
            <w:vAlign w:val="center"/>
          </w:tcPr>
          <w:p>
            <w:pPr>
              <w:widowControl/>
              <w:jc w:val="center"/>
              <w:rPr>
                <w:kern w:val="0"/>
                <w:szCs w:val="21"/>
              </w:rPr>
            </w:pPr>
            <w:r>
              <w:rPr>
                <w:kern w:val="0"/>
                <w:szCs w:val="21"/>
              </w:rPr>
              <w:t>13</w:t>
            </w:r>
          </w:p>
        </w:tc>
        <w:tc>
          <w:tcPr>
            <w:tcW w:w="10209" w:type="dxa"/>
            <w:vAlign w:val="center"/>
          </w:tcPr>
          <w:p>
            <w:pPr>
              <w:widowControl/>
              <w:spacing w:line="340" w:lineRule="exact"/>
              <w:rPr>
                <w:kern w:val="0"/>
                <w:szCs w:val="21"/>
              </w:rPr>
            </w:pPr>
            <w:r>
              <w:rPr>
                <w:rFonts w:hint="eastAsia"/>
                <w:kern w:val="0"/>
                <w:szCs w:val="21"/>
              </w:rPr>
              <w:t>植物（乔灌木、地被、草坪等）未及时修剪影响安全、长势或景观等</w:t>
            </w:r>
          </w:p>
        </w:tc>
        <w:tc>
          <w:tcPr>
            <w:tcW w:w="1500" w:type="dxa"/>
            <w:tcMar>
              <w:top w:w="0" w:type="dxa"/>
              <w:left w:w="0" w:type="dxa"/>
              <w:bottom w:w="0" w:type="dxa"/>
              <w:right w:w="0" w:type="dxa"/>
            </w:tcMar>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2分</w:t>
            </w:r>
          </w:p>
        </w:tc>
        <w:tc>
          <w:tcPr>
            <w:tcW w:w="704" w:type="dxa"/>
            <w:vAlign w:val="center"/>
          </w:tcPr>
          <w:p>
            <w:pPr>
              <w:widowControl/>
              <w:jc w:val="center"/>
              <w:rPr>
                <w:rFonts w:ascii="宋体" w:hAnsi="宋体" w:cs="宋体"/>
                <w:bCs/>
                <w:kern w:val="0"/>
                <w:szCs w:val="21"/>
              </w:rPr>
            </w:pPr>
            <w:r>
              <w:rPr>
                <w:rFonts w:ascii="宋体" w:hAnsi="宋体" w:cs="宋体"/>
                <w:bCs/>
                <w:kern w:val="0"/>
                <w:szCs w:val="21"/>
              </w:rPr>
              <w:t>6</w:t>
            </w:r>
          </w:p>
        </w:tc>
        <w:tc>
          <w:tcPr>
            <w:tcW w:w="689" w:type="dxa"/>
            <w:vAlign w:val="center"/>
          </w:tcPr>
          <w:p>
            <w:pPr>
              <w:widowControl/>
              <w:jc w:val="center"/>
              <w:rPr>
                <w:rFonts w:ascii="宋体" w:hAnsi="宋体" w:cs="宋体"/>
                <w:b/>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540" w:type="dxa"/>
            <w:vMerge w:val="continue"/>
            <w:vAlign w:val="center"/>
          </w:tcPr>
          <w:p>
            <w:pPr>
              <w:widowControl/>
              <w:jc w:val="center"/>
              <w:rPr>
                <w:b/>
                <w:bCs/>
                <w:kern w:val="0"/>
                <w:szCs w:val="21"/>
              </w:rPr>
            </w:pPr>
          </w:p>
        </w:tc>
        <w:tc>
          <w:tcPr>
            <w:tcW w:w="704" w:type="dxa"/>
            <w:vAlign w:val="center"/>
          </w:tcPr>
          <w:p>
            <w:pPr>
              <w:widowControl/>
              <w:jc w:val="center"/>
              <w:rPr>
                <w:kern w:val="0"/>
                <w:szCs w:val="21"/>
              </w:rPr>
            </w:pPr>
            <w:r>
              <w:rPr>
                <w:kern w:val="0"/>
                <w:szCs w:val="21"/>
              </w:rPr>
              <w:t>14</w:t>
            </w:r>
          </w:p>
        </w:tc>
        <w:tc>
          <w:tcPr>
            <w:tcW w:w="10209" w:type="dxa"/>
            <w:vAlign w:val="center"/>
          </w:tcPr>
          <w:p>
            <w:pPr>
              <w:widowControl/>
              <w:spacing w:line="340" w:lineRule="exact"/>
              <w:rPr>
                <w:kern w:val="0"/>
                <w:szCs w:val="21"/>
              </w:rPr>
            </w:pPr>
            <w:r>
              <w:rPr>
                <w:rFonts w:hint="eastAsia"/>
                <w:kern w:val="0"/>
                <w:szCs w:val="21"/>
              </w:rPr>
              <w:t>死树、死树桩等未及时清理</w:t>
            </w:r>
          </w:p>
        </w:tc>
        <w:tc>
          <w:tcPr>
            <w:tcW w:w="1500" w:type="dxa"/>
            <w:tcMar>
              <w:top w:w="0" w:type="dxa"/>
              <w:left w:w="0" w:type="dxa"/>
              <w:bottom w:w="0" w:type="dxa"/>
              <w:right w:w="0" w:type="dxa"/>
            </w:tcMar>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3分</w:t>
            </w:r>
          </w:p>
        </w:tc>
        <w:tc>
          <w:tcPr>
            <w:tcW w:w="704" w:type="dxa"/>
            <w:vAlign w:val="center"/>
          </w:tcPr>
          <w:p>
            <w:pPr>
              <w:widowControl/>
              <w:jc w:val="center"/>
              <w:rPr>
                <w:rFonts w:ascii="宋体" w:hAnsi="宋体" w:cs="宋体"/>
                <w:bCs/>
                <w:kern w:val="0"/>
                <w:szCs w:val="21"/>
              </w:rPr>
            </w:pPr>
            <w:r>
              <w:rPr>
                <w:rFonts w:ascii="宋体" w:hAnsi="宋体" w:cs="宋体"/>
                <w:bCs/>
                <w:kern w:val="0"/>
                <w:szCs w:val="21"/>
              </w:rPr>
              <w:t>6</w:t>
            </w:r>
          </w:p>
        </w:tc>
        <w:tc>
          <w:tcPr>
            <w:tcW w:w="689" w:type="dxa"/>
            <w:vAlign w:val="center"/>
          </w:tcPr>
          <w:p>
            <w:pPr>
              <w:widowControl/>
              <w:jc w:val="center"/>
              <w:rPr>
                <w:rFonts w:ascii="宋体" w:hAnsi="宋体" w:cs="宋体"/>
                <w:b/>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540" w:type="dxa"/>
            <w:vMerge w:val="continue"/>
            <w:vAlign w:val="center"/>
          </w:tcPr>
          <w:p>
            <w:pPr>
              <w:widowControl/>
              <w:jc w:val="center"/>
              <w:rPr>
                <w:b/>
                <w:bCs/>
                <w:kern w:val="0"/>
                <w:szCs w:val="21"/>
              </w:rPr>
            </w:pPr>
          </w:p>
        </w:tc>
        <w:tc>
          <w:tcPr>
            <w:tcW w:w="704" w:type="dxa"/>
            <w:vAlign w:val="center"/>
          </w:tcPr>
          <w:p>
            <w:pPr>
              <w:widowControl/>
              <w:jc w:val="center"/>
              <w:rPr>
                <w:kern w:val="0"/>
                <w:szCs w:val="21"/>
              </w:rPr>
            </w:pPr>
            <w:r>
              <w:rPr>
                <w:kern w:val="0"/>
                <w:szCs w:val="21"/>
              </w:rPr>
              <w:t>15</w:t>
            </w:r>
          </w:p>
        </w:tc>
        <w:tc>
          <w:tcPr>
            <w:tcW w:w="10209" w:type="dxa"/>
            <w:vAlign w:val="center"/>
          </w:tcPr>
          <w:p>
            <w:pPr>
              <w:widowControl/>
              <w:spacing w:line="340" w:lineRule="exact"/>
              <w:rPr>
                <w:kern w:val="0"/>
                <w:szCs w:val="21"/>
              </w:rPr>
            </w:pPr>
            <w:r>
              <w:rPr>
                <w:rFonts w:hint="eastAsia"/>
                <w:kern w:val="0"/>
                <w:szCs w:val="21"/>
              </w:rPr>
              <w:t>灌木丛、地被、草坪等有杂株或杂草明显（杂草</w:t>
            </w:r>
            <w:r>
              <w:rPr>
                <w:rFonts w:hint="eastAsia" w:ascii="仿宋_GB2312" w:hAnsi="宋体"/>
                <w:szCs w:val="21"/>
              </w:rPr>
              <w:t>每</w:t>
            </w:r>
            <w:r>
              <w:rPr>
                <w:kern w:val="0"/>
                <w:szCs w:val="21"/>
              </w:rPr>
              <w:t>m</w:t>
            </w:r>
            <w:r>
              <w:rPr>
                <w:kern w:val="0"/>
                <w:szCs w:val="21"/>
                <w:vertAlign w:val="superscript"/>
              </w:rPr>
              <w:t>2</w:t>
            </w:r>
            <w:r>
              <w:rPr>
                <w:rFonts w:hint="eastAsia" w:ascii="仿宋_GB2312" w:hAnsi="宋体"/>
                <w:szCs w:val="21"/>
              </w:rPr>
              <w:t>扣</w:t>
            </w:r>
            <w:r>
              <w:rPr>
                <w:rFonts w:ascii="仿宋_GB2312" w:hAnsi="宋体"/>
                <w:szCs w:val="21"/>
              </w:rPr>
              <w:t>1分</w:t>
            </w:r>
            <w:r>
              <w:rPr>
                <w:rFonts w:hint="eastAsia"/>
                <w:kern w:val="0"/>
                <w:szCs w:val="21"/>
              </w:rPr>
              <w:t>）</w:t>
            </w:r>
          </w:p>
        </w:tc>
        <w:tc>
          <w:tcPr>
            <w:tcW w:w="1500" w:type="dxa"/>
            <w:tcMar>
              <w:top w:w="0" w:type="dxa"/>
              <w:left w:w="0" w:type="dxa"/>
              <w:bottom w:w="0" w:type="dxa"/>
              <w:right w:w="0" w:type="dxa"/>
            </w:tcMar>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2分</w:t>
            </w:r>
          </w:p>
        </w:tc>
        <w:tc>
          <w:tcPr>
            <w:tcW w:w="704" w:type="dxa"/>
            <w:vAlign w:val="center"/>
          </w:tcPr>
          <w:p>
            <w:pPr>
              <w:widowControl/>
              <w:jc w:val="center"/>
              <w:rPr>
                <w:rFonts w:ascii="宋体" w:hAnsi="宋体" w:cs="宋体"/>
                <w:bCs/>
                <w:kern w:val="0"/>
                <w:szCs w:val="21"/>
              </w:rPr>
            </w:pPr>
            <w:r>
              <w:rPr>
                <w:rFonts w:ascii="宋体" w:hAnsi="宋体" w:cs="宋体"/>
                <w:bCs/>
                <w:kern w:val="0"/>
                <w:szCs w:val="21"/>
              </w:rPr>
              <w:t>6</w:t>
            </w:r>
          </w:p>
        </w:tc>
        <w:tc>
          <w:tcPr>
            <w:tcW w:w="689" w:type="dxa"/>
            <w:vAlign w:val="center"/>
          </w:tcPr>
          <w:p>
            <w:pPr>
              <w:widowControl/>
              <w:jc w:val="center"/>
              <w:rPr>
                <w:rFonts w:ascii="宋体" w:hAnsi="宋体" w:cs="宋体"/>
                <w:b/>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540" w:type="dxa"/>
            <w:vMerge w:val="continue"/>
            <w:vAlign w:val="center"/>
          </w:tcPr>
          <w:p>
            <w:pPr>
              <w:widowControl/>
              <w:jc w:val="center"/>
              <w:rPr>
                <w:b/>
                <w:bCs/>
                <w:kern w:val="0"/>
                <w:szCs w:val="21"/>
              </w:rPr>
            </w:pPr>
          </w:p>
        </w:tc>
        <w:tc>
          <w:tcPr>
            <w:tcW w:w="704" w:type="dxa"/>
            <w:vAlign w:val="center"/>
          </w:tcPr>
          <w:p>
            <w:pPr>
              <w:widowControl/>
              <w:jc w:val="center"/>
              <w:rPr>
                <w:kern w:val="0"/>
                <w:szCs w:val="21"/>
              </w:rPr>
            </w:pPr>
            <w:r>
              <w:rPr>
                <w:kern w:val="0"/>
                <w:szCs w:val="21"/>
              </w:rPr>
              <w:t>16</w:t>
            </w:r>
          </w:p>
        </w:tc>
        <w:tc>
          <w:tcPr>
            <w:tcW w:w="10209" w:type="dxa"/>
            <w:vAlign w:val="center"/>
          </w:tcPr>
          <w:p>
            <w:pPr>
              <w:widowControl/>
              <w:jc w:val="left"/>
              <w:rPr>
                <w:kern w:val="0"/>
                <w:szCs w:val="21"/>
              </w:rPr>
            </w:pPr>
            <w:r>
              <w:rPr>
                <w:rFonts w:hint="eastAsia"/>
                <w:kern w:val="0"/>
                <w:szCs w:val="21"/>
              </w:rPr>
              <w:t>重点区域、主入口、主景点、办公区域及主园路两侧等绿地出现黄土裸露现象（每0.</w:t>
            </w:r>
            <w:r>
              <w:rPr>
                <w:kern w:val="0"/>
                <w:szCs w:val="21"/>
              </w:rPr>
              <w:t>5</w:t>
            </w:r>
            <w:r>
              <w:rPr>
                <w:rFonts w:hint="eastAsia"/>
                <w:kern w:val="0"/>
                <w:szCs w:val="21"/>
              </w:rPr>
              <w:t>m</w:t>
            </w:r>
            <w:r>
              <w:rPr>
                <w:kern w:val="0"/>
                <w:szCs w:val="21"/>
                <w:vertAlign w:val="superscript"/>
              </w:rPr>
              <w:t>2</w:t>
            </w:r>
            <w:r>
              <w:rPr>
                <w:rFonts w:hint="eastAsia"/>
                <w:kern w:val="0"/>
                <w:szCs w:val="21"/>
              </w:rPr>
              <w:t xml:space="preserve"> 扣</w:t>
            </w:r>
            <w:r>
              <w:rPr>
                <w:kern w:val="0"/>
                <w:szCs w:val="21"/>
              </w:rPr>
              <w:t>2</w:t>
            </w:r>
            <w:r>
              <w:rPr>
                <w:rFonts w:hint="eastAsia"/>
                <w:kern w:val="0"/>
                <w:szCs w:val="21"/>
              </w:rPr>
              <w:t>分）</w:t>
            </w:r>
          </w:p>
        </w:tc>
        <w:tc>
          <w:tcPr>
            <w:tcW w:w="1500" w:type="dxa"/>
            <w:tcMar>
              <w:top w:w="0" w:type="dxa"/>
              <w:left w:w="0" w:type="dxa"/>
              <w:bottom w:w="0" w:type="dxa"/>
              <w:right w:w="0" w:type="dxa"/>
            </w:tcMar>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2分</w:t>
            </w:r>
          </w:p>
        </w:tc>
        <w:tc>
          <w:tcPr>
            <w:tcW w:w="704" w:type="dxa"/>
            <w:vAlign w:val="center"/>
          </w:tcPr>
          <w:p>
            <w:pPr>
              <w:widowControl/>
              <w:jc w:val="center"/>
              <w:rPr>
                <w:rFonts w:ascii="宋体" w:hAnsi="宋体" w:cs="宋体"/>
                <w:bCs/>
                <w:kern w:val="0"/>
                <w:szCs w:val="21"/>
              </w:rPr>
            </w:pPr>
            <w:r>
              <w:rPr>
                <w:rFonts w:ascii="宋体" w:hAnsi="宋体" w:cs="宋体"/>
                <w:bCs/>
                <w:kern w:val="0"/>
                <w:szCs w:val="21"/>
              </w:rPr>
              <w:t>6</w:t>
            </w:r>
          </w:p>
        </w:tc>
        <w:tc>
          <w:tcPr>
            <w:tcW w:w="689" w:type="dxa"/>
            <w:vAlign w:val="center"/>
          </w:tcPr>
          <w:p>
            <w:pPr>
              <w:widowControl/>
              <w:jc w:val="center"/>
              <w:rPr>
                <w:rFonts w:ascii="宋体" w:hAnsi="宋体" w:cs="宋体"/>
                <w:b/>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540" w:type="dxa"/>
            <w:vMerge w:val="restart"/>
            <w:vAlign w:val="center"/>
          </w:tcPr>
          <w:p>
            <w:pPr>
              <w:widowControl/>
              <w:numPr>
                <w:ilvl w:val="0"/>
                <w:numId w:val="0"/>
              </w:numPr>
              <w:jc w:val="center"/>
              <w:rPr>
                <w:rFonts w:hint="eastAsia"/>
                <w:b/>
                <w:bCs/>
                <w:kern w:val="0"/>
                <w:szCs w:val="21"/>
              </w:rPr>
            </w:pPr>
            <w:r>
              <w:rPr>
                <w:rFonts w:hint="eastAsia"/>
                <w:b/>
                <w:bCs/>
                <w:kern w:val="0"/>
                <w:szCs w:val="21"/>
                <w:lang w:val="en-US" w:eastAsia="zh-CN"/>
              </w:rPr>
              <w:t>4.</w:t>
            </w:r>
            <w:r>
              <w:rPr>
                <w:rFonts w:hint="eastAsia"/>
                <w:b/>
                <w:bCs/>
                <w:kern w:val="0"/>
                <w:szCs w:val="21"/>
              </w:rPr>
              <w:t>整体观感</w:t>
            </w:r>
          </w:p>
          <w:p>
            <w:pPr>
              <w:widowControl/>
              <w:numPr>
                <w:ilvl w:val="0"/>
                <w:numId w:val="0"/>
              </w:numPr>
              <w:jc w:val="center"/>
              <w:rPr>
                <w:b/>
                <w:bCs/>
                <w:kern w:val="0"/>
                <w:szCs w:val="21"/>
              </w:rPr>
            </w:pPr>
            <w:r>
              <w:rPr>
                <w:rFonts w:hint="eastAsia"/>
                <w:b/>
                <w:bCs/>
                <w:kern w:val="0"/>
                <w:szCs w:val="21"/>
              </w:rPr>
              <w:t>（1</w:t>
            </w:r>
            <w:r>
              <w:rPr>
                <w:b/>
                <w:bCs/>
                <w:kern w:val="0"/>
                <w:szCs w:val="21"/>
              </w:rPr>
              <w:t>0</w:t>
            </w:r>
            <w:r>
              <w:rPr>
                <w:rFonts w:hint="eastAsia"/>
                <w:b/>
                <w:bCs/>
                <w:kern w:val="0"/>
                <w:szCs w:val="21"/>
              </w:rPr>
              <w:t>分）</w:t>
            </w:r>
          </w:p>
        </w:tc>
        <w:tc>
          <w:tcPr>
            <w:tcW w:w="704" w:type="dxa"/>
            <w:vAlign w:val="center"/>
          </w:tcPr>
          <w:p>
            <w:pPr>
              <w:widowControl/>
              <w:jc w:val="center"/>
              <w:rPr>
                <w:kern w:val="0"/>
                <w:szCs w:val="21"/>
              </w:rPr>
            </w:pPr>
            <w:r>
              <w:rPr>
                <w:rFonts w:hint="eastAsia"/>
                <w:kern w:val="0"/>
                <w:szCs w:val="21"/>
              </w:rPr>
              <w:t>1</w:t>
            </w:r>
            <w:r>
              <w:rPr>
                <w:kern w:val="0"/>
                <w:szCs w:val="21"/>
              </w:rPr>
              <w:t>7</w:t>
            </w:r>
          </w:p>
        </w:tc>
        <w:tc>
          <w:tcPr>
            <w:tcW w:w="10209" w:type="dxa"/>
            <w:vAlign w:val="center"/>
          </w:tcPr>
          <w:p>
            <w:pPr>
              <w:widowControl/>
              <w:jc w:val="left"/>
              <w:rPr>
                <w:kern w:val="0"/>
                <w:szCs w:val="21"/>
              </w:rPr>
            </w:pPr>
            <w:r>
              <w:rPr>
                <w:rFonts w:hint="eastAsia"/>
                <w:kern w:val="0"/>
                <w:szCs w:val="21"/>
              </w:rPr>
              <w:t>主园道两侧疏朗通透、层次清晰情况；重点区域植物配置主次分明、主题突出情况</w:t>
            </w:r>
          </w:p>
        </w:tc>
        <w:tc>
          <w:tcPr>
            <w:tcW w:w="1500" w:type="dxa"/>
            <w:tcMar>
              <w:top w:w="0" w:type="dxa"/>
              <w:left w:w="0" w:type="dxa"/>
              <w:bottom w:w="0" w:type="dxa"/>
              <w:right w:w="0" w:type="dxa"/>
            </w:tcMar>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1分</w:t>
            </w:r>
          </w:p>
        </w:tc>
        <w:tc>
          <w:tcPr>
            <w:tcW w:w="704" w:type="dxa"/>
            <w:vAlign w:val="center"/>
          </w:tcPr>
          <w:p>
            <w:pPr>
              <w:widowControl/>
              <w:jc w:val="center"/>
              <w:rPr>
                <w:rFonts w:ascii="宋体" w:hAnsi="宋体" w:cs="宋体"/>
                <w:bCs/>
                <w:kern w:val="0"/>
                <w:szCs w:val="21"/>
              </w:rPr>
            </w:pPr>
            <w:r>
              <w:rPr>
                <w:rFonts w:ascii="宋体" w:hAnsi="宋体" w:cs="宋体"/>
                <w:bCs/>
                <w:kern w:val="0"/>
                <w:szCs w:val="21"/>
              </w:rPr>
              <w:t>5</w:t>
            </w:r>
          </w:p>
        </w:tc>
        <w:tc>
          <w:tcPr>
            <w:tcW w:w="689" w:type="dxa"/>
            <w:vAlign w:val="center"/>
          </w:tcPr>
          <w:p>
            <w:pPr>
              <w:widowControl/>
              <w:jc w:val="center"/>
              <w:rPr>
                <w:rFonts w:ascii="宋体" w:hAnsi="宋体" w:cs="宋体"/>
                <w:b/>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540" w:type="dxa"/>
            <w:vMerge w:val="continue"/>
            <w:vAlign w:val="center"/>
          </w:tcPr>
          <w:p>
            <w:pPr>
              <w:widowControl/>
              <w:jc w:val="center"/>
              <w:rPr>
                <w:b/>
                <w:bCs/>
                <w:kern w:val="0"/>
                <w:szCs w:val="21"/>
              </w:rPr>
            </w:pPr>
          </w:p>
        </w:tc>
        <w:tc>
          <w:tcPr>
            <w:tcW w:w="704" w:type="dxa"/>
            <w:vAlign w:val="center"/>
          </w:tcPr>
          <w:p>
            <w:pPr>
              <w:widowControl/>
              <w:jc w:val="center"/>
              <w:rPr>
                <w:kern w:val="0"/>
                <w:szCs w:val="21"/>
              </w:rPr>
            </w:pPr>
            <w:r>
              <w:rPr>
                <w:rFonts w:hint="eastAsia"/>
                <w:kern w:val="0"/>
                <w:szCs w:val="21"/>
              </w:rPr>
              <w:t>1</w:t>
            </w:r>
            <w:r>
              <w:rPr>
                <w:kern w:val="0"/>
                <w:szCs w:val="21"/>
              </w:rPr>
              <w:t>8</w:t>
            </w:r>
          </w:p>
        </w:tc>
        <w:tc>
          <w:tcPr>
            <w:tcW w:w="10209" w:type="dxa"/>
            <w:vAlign w:val="center"/>
          </w:tcPr>
          <w:p>
            <w:pPr>
              <w:widowControl/>
              <w:jc w:val="left"/>
              <w:rPr>
                <w:kern w:val="0"/>
                <w:szCs w:val="21"/>
              </w:rPr>
            </w:pPr>
            <w:r>
              <w:rPr>
                <w:rFonts w:hint="eastAsia"/>
                <w:kern w:val="0"/>
                <w:szCs w:val="21"/>
              </w:rPr>
              <w:t>地被整齐协调情况；草坪整齐、边界清晰情况；灌木造型球圆润流畅情况；绿篱流畅及线条整齐情况</w:t>
            </w:r>
          </w:p>
        </w:tc>
        <w:tc>
          <w:tcPr>
            <w:tcW w:w="1500" w:type="dxa"/>
            <w:tcMar>
              <w:top w:w="0" w:type="dxa"/>
              <w:left w:w="0" w:type="dxa"/>
              <w:bottom w:w="0" w:type="dxa"/>
              <w:right w:w="0" w:type="dxa"/>
            </w:tcMar>
            <w:vAlign w:val="center"/>
          </w:tcPr>
          <w:p>
            <w:pPr>
              <w:widowControl/>
              <w:jc w:val="center"/>
              <w:rPr>
                <w:rFonts w:ascii="仿宋_GB2312" w:hAnsi="宋体" w:cs="宋体"/>
                <w:kern w:val="0"/>
                <w:szCs w:val="21"/>
              </w:rPr>
            </w:pPr>
            <w:r>
              <w:rPr>
                <w:rFonts w:hint="eastAsia" w:ascii="仿宋_GB2312" w:hAnsi="宋体" w:cs="宋体"/>
                <w:kern w:val="0"/>
                <w:szCs w:val="21"/>
              </w:rPr>
              <w:t>每处扣</w:t>
            </w:r>
            <w:r>
              <w:rPr>
                <w:rFonts w:ascii="仿宋_GB2312" w:hAnsi="宋体" w:cs="宋体"/>
                <w:kern w:val="0"/>
                <w:szCs w:val="21"/>
              </w:rPr>
              <w:t>1分</w:t>
            </w:r>
          </w:p>
        </w:tc>
        <w:tc>
          <w:tcPr>
            <w:tcW w:w="704" w:type="dxa"/>
            <w:vAlign w:val="center"/>
          </w:tcPr>
          <w:p>
            <w:pPr>
              <w:widowControl/>
              <w:jc w:val="center"/>
              <w:rPr>
                <w:rFonts w:ascii="宋体" w:hAnsi="宋体" w:cs="宋体"/>
                <w:bCs/>
                <w:kern w:val="0"/>
                <w:szCs w:val="21"/>
              </w:rPr>
            </w:pPr>
            <w:r>
              <w:rPr>
                <w:rFonts w:ascii="宋体" w:hAnsi="宋体" w:cs="宋体"/>
                <w:bCs/>
                <w:kern w:val="0"/>
                <w:szCs w:val="21"/>
              </w:rPr>
              <w:t>5</w:t>
            </w:r>
          </w:p>
        </w:tc>
        <w:tc>
          <w:tcPr>
            <w:tcW w:w="689" w:type="dxa"/>
            <w:vAlign w:val="center"/>
          </w:tcPr>
          <w:p>
            <w:pPr>
              <w:widowControl/>
              <w:jc w:val="center"/>
              <w:rPr>
                <w:rFonts w:ascii="宋体" w:hAnsi="宋体" w:cs="宋体"/>
                <w:b/>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540" w:type="dxa"/>
            <w:vAlign w:val="center"/>
          </w:tcPr>
          <w:p>
            <w:pPr>
              <w:widowControl/>
              <w:jc w:val="center"/>
              <w:rPr>
                <w:b/>
                <w:bCs/>
                <w:kern w:val="0"/>
                <w:szCs w:val="21"/>
              </w:rPr>
            </w:pPr>
            <w:r>
              <w:rPr>
                <w:b/>
                <w:bCs/>
                <w:kern w:val="0"/>
                <w:szCs w:val="21"/>
              </w:rPr>
              <w:t>5</w:t>
            </w:r>
            <w:r>
              <w:rPr>
                <w:rFonts w:hint="eastAsia"/>
                <w:b/>
                <w:bCs/>
                <w:kern w:val="0"/>
                <w:szCs w:val="21"/>
              </w:rPr>
              <w:t>.安全生产</w:t>
            </w:r>
            <w:r>
              <w:rPr>
                <w:rFonts w:hint="eastAsia"/>
                <w:b/>
                <w:bCs/>
                <w:kern w:val="0"/>
                <w:szCs w:val="21"/>
              </w:rPr>
              <w:br w:type="textWrapping"/>
            </w:r>
            <w:r>
              <w:rPr>
                <w:rFonts w:hint="eastAsia"/>
                <w:b/>
                <w:bCs/>
                <w:kern w:val="0"/>
                <w:szCs w:val="21"/>
              </w:rPr>
              <w:t>（</w:t>
            </w:r>
            <w:r>
              <w:rPr>
                <w:b/>
                <w:bCs/>
                <w:kern w:val="0"/>
                <w:szCs w:val="21"/>
              </w:rPr>
              <w:t>2</w:t>
            </w:r>
            <w:r>
              <w:rPr>
                <w:rFonts w:hint="eastAsia"/>
                <w:b/>
                <w:bCs/>
                <w:kern w:val="0"/>
                <w:szCs w:val="21"/>
              </w:rPr>
              <w:t>0分）</w:t>
            </w:r>
          </w:p>
        </w:tc>
        <w:tc>
          <w:tcPr>
            <w:tcW w:w="704" w:type="dxa"/>
            <w:vAlign w:val="center"/>
          </w:tcPr>
          <w:p>
            <w:pPr>
              <w:widowControl/>
              <w:jc w:val="center"/>
              <w:rPr>
                <w:kern w:val="0"/>
                <w:szCs w:val="21"/>
              </w:rPr>
            </w:pPr>
            <w:r>
              <w:rPr>
                <w:kern w:val="0"/>
                <w:szCs w:val="21"/>
              </w:rPr>
              <w:t>19</w:t>
            </w:r>
          </w:p>
        </w:tc>
        <w:tc>
          <w:tcPr>
            <w:tcW w:w="10209" w:type="dxa"/>
            <w:vAlign w:val="center"/>
          </w:tcPr>
          <w:p>
            <w:pPr>
              <w:widowControl/>
              <w:jc w:val="left"/>
              <w:rPr>
                <w:kern w:val="0"/>
                <w:szCs w:val="21"/>
              </w:rPr>
            </w:pPr>
            <w:r>
              <w:rPr>
                <w:rFonts w:hint="eastAsia"/>
                <w:kern w:val="0"/>
                <w:szCs w:val="21"/>
              </w:rPr>
              <w:t>存在安全隐患(每次扣</w:t>
            </w:r>
            <w:r>
              <w:rPr>
                <w:kern w:val="0"/>
                <w:szCs w:val="21"/>
              </w:rPr>
              <w:t>4</w:t>
            </w:r>
            <w:r>
              <w:rPr>
                <w:rFonts w:hint="eastAsia"/>
                <w:kern w:val="0"/>
                <w:szCs w:val="21"/>
              </w:rPr>
              <w:t>分)；发生安全事故(每次扣</w:t>
            </w:r>
            <w:r>
              <w:rPr>
                <w:kern w:val="0"/>
                <w:szCs w:val="21"/>
              </w:rPr>
              <w:t>20</w:t>
            </w:r>
            <w:r>
              <w:rPr>
                <w:rFonts w:hint="eastAsia"/>
                <w:kern w:val="0"/>
                <w:szCs w:val="21"/>
              </w:rPr>
              <w:t>分)</w:t>
            </w:r>
          </w:p>
        </w:tc>
        <w:tc>
          <w:tcPr>
            <w:tcW w:w="1500" w:type="dxa"/>
            <w:tcMar>
              <w:top w:w="0" w:type="dxa"/>
              <w:left w:w="0" w:type="dxa"/>
              <w:bottom w:w="0" w:type="dxa"/>
              <w:right w:w="0" w:type="dxa"/>
            </w:tcMar>
            <w:vAlign w:val="center"/>
          </w:tcPr>
          <w:p>
            <w:pPr>
              <w:widowControl/>
              <w:jc w:val="center"/>
              <w:rPr>
                <w:rFonts w:ascii="仿宋_GB2312" w:hAnsi="宋体" w:cs="宋体"/>
                <w:kern w:val="0"/>
                <w:szCs w:val="21"/>
              </w:rPr>
            </w:pPr>
          </w:p>
        </w:tc>
        <w:tc>
          <w:tcPr>
            <w:tcW w:w="704" w:type="dxa"/>
            <w:vAlign w:val="center"/>
          </w:tcPr>
          <w:p>
            <w:pPr>
              <w:widowControl/>
              <w:jc w:val="center"/>
              <w:rPr>
                <w:rFonts w:ascii="宋体" w:hAnsi="宋体" w:cs="宋体"/>
                <w:bCs/>
                <w:kern w:val="0"/>
                <w:szCs w:val="21"/>
              </w:rPr>
            </w:pPr>
            <w:r>
              <w:rPr>
                <w:rFonts w:ascii="宋体" w:hAnsi="宋体" w:cs="宋体"/>
                <w:bCs/>
                <w:kern w:val="0"/>
                <w:szCs w:val="21"/>
              </w:rPr>
              <w:t>20</w:t>
            </w:r>
          </w:p>
        </w:tc>
        <w:tc>
          <w:tcPr>
            <w:tcW w:w="689" w:type="dxa"/>
            <w:vAlign w:val="center"/>
          </w:tcPr>
          <w:p>
            <w:pPr>
              <w:widowControl/>
              <w:jc w:val="center"/>
              <w:rPr>
                <w:rFonts w:ascii="宋体" w:hAnsi="宋体" w:cs="宋体"/>
                <w:b/>
                <w:bCs/>
                <w:kern w:val="0"/>
                <w:szCs w:val="21"/>
              </w:rPr>
            </w:pPr>
          </w:p>
        </w:tc>
      </w:tr>
    </w:tbl>
    <w:p>
      <w:pPr>
        <w:widowControl/>
        <w:ind w:firstLine="630" w:firstLineChars="300"/>
        <w:jc w:val="left"/>
      </w:pPr>
      <w:r>
        <w:rPr>
          <w:rFonts w:hint="eastAsia"/>
          <w:kern w:val="0"/>
          <w:szCs w:val="21"/>
        </w:rPr>
        <w:t>养护单位：</w:t>
      </w:r>
      <w:r>
        <w:rPr>
          <w:kern w:val="0"/>
          <w:szCs w:val="21"/>
        </w:rPr>
        <w:t xml:space="preserve">                                                                           </w:t>
      </w:r>
      <w:r>
        <w:rPr>
          <w:rFonts w:hint="eastAsia"/>
          <w:kern w:val="0"/>
          <w:szCs w:val="21"/>
        </w:rPr>
        <w:t>考评小组：</w:t>
      </w:r>
    </w:p>
    <w:sectPr>
      <w:footerReference r:id="rId4" w:type="default"/>
      <w:pgSz w:w="16838" w:h="11906" w:orient="landscape"/>
      <w:pgMar w:top="567" w:right="567" w:bottom="567" w:left="56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D3F2C7"/>
    <w:multiLevelType w:val="singleLevel"/>
    <w:tmpl w:val="02D3F2C7"/>
    <w:lvl w:ilvl="0" w:tentative="0">
      <w:start w:val="7"/>
      <w:numFmt w:val="chineseCounting"/>
      <w:suff w:val="space"/>
      <w:lvlText w:val="第%1条"/>
      <w:lvlJc w:val="left"/>
      <w:rPr>
        <w:rFonts w:hint="eastAsia"/>
      </w:rPr>
    </w:lvl>
  </w:abstractNum>
  <w:abstractNum w:abstractNumId="1">
    <w:nsid w:val="5C030D99"/>
    <w:multiLevelType w:val="singleLevel"/>
    <w:tmpl w:val="5C030D99"/>
    <w:lvl w:ilvl="0" w:tentative="0">
      <w:start w:val="2"/>
      <w:numFmt w:val="decimal"/>
      <w:suff w:val="nothing"/>
      <w:lvlText w:val="%1、"/>
      <w:lvlJc w:val="left"/>
    </w:lvl>
  </w:abstractNum>
  <w:abstractNum w:abstractNumId="2">
    <w:nsid w:val="6776798C"/>
    <w:multiLevelType w:val="multilevel"/>
    <w:tmpl w:val="6776798C"/>
    <w:lvl w:ilvl="0" w:tentative="0">
      <w:start w:val="1"/>
      <w:numFmt w:val="chineseCounting"/>
      <w:suff w:val="nothing"/>
      <w:lvlText w:val="第%1条"/>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kOTkwMGY0ZTNlNWU3NjFiMzE0ZDliNzRjYTkxOWEifQ=="/>
  </w:docVars>
  <w:rsids>
    <w:rsidRoot w:val="001A243D"/>
    <w:rsid w:val="00035B47"/>
    <w:rsid w:val="00036EFD"/>
    <w:rsid w:val="00062D96"/>
    <w:rsid w:val="00064B60"/>
    <w:rsid w:val="000744FA"/>
    <w:rsid w:val="000757F4"/>
    <w:rsid w:val="00076BD5"/>
    <w:rsid w:val="00083296"/>
    <w:rsid w:val="000B044B"/>
    <w:rsid w:val="000B27AA"/>
    <w:rsid w:val="000C4B15"/>
    <w:rsid w:val="000E09E0"/>
    <w:rsid w:val="000F4EF6"/>
    <w:rsid w:val="000F5B44"/>
    <w:rsid w:val="001421F9"/>
    <w:rsid w:val="00183435"/>
    <w:rsid w:val="001A243D"/>
    <w:rsid w:val="001E196B"/>
    <w:rsid w:val="001E590A"/>
    <w:rsid w:val="001F1060"/>
    <w:rsid w:val="00204635"/>
    <w:rsid w:val="002135BC"/>
    <w:rsid w:val="00224ED3"/>
    <w:rsid w:val="00236B9D"/>
    <w:rsid w:val="00266C7D"/>
    <w:rsid w:val="00272648"/>
    <w:rsid w:val="00275EFC"/>
    <w:rsid w:val="00280DC2"/>
    <w:rsid w:val="002905C7"/>
    <w:rsid w:val="002A18E5"/>
    <w:rsid w:val="002A1A89"/>
    <w:rsid w:val="002A39ED"/>
    <w:rsid w:val="002A6A31"/>
    <w:rsid w:val="002B0BF9"/>
    <w:rsid w:val="002C4393"/>
    <w:rsid w:val="002D631E"/>
    <w:rsid w:val="002E1A63"/>
    <w:rsid w:val="002E4464"/>
    <w:rsid w:val="002E4B96"/>
    <w:rsid w:val="003017AE"/>
    <w:rsid w:val="003120FC"/>
    <w:rsid w:val="003126FE"/>
    <w:rsid w:val="00337020"/>
    <w:rsid w:val="00375867"/>
    <w:rsid w:val="003808AF"/>
    <w:rsid w:val="00382DEE"/>
    <w:rsid w:val="00383CAA"/>
    <w:rsid w:val="003911B2"/>
    <w:rsid w:val="003A62E0"/>
    <w:rsid w:val="003A7158"/>
    <w:rsid w:val="003C717A"/>
    <w:rsid w:val="003D0E62"/>
    <w:rsid w:val="003D1E3C"/>
    <w:rsid w:val="003E6F06"/>
    <w:rsid w:val="003F2591"/>
    <w:rsid w:val="00400808"/>
    <w:rsid w:val="00422B90"/>
    <w:rsid w:val="004306C3"/>
    <w:rsid w:val="004507A4"/>
    <w:rsid w:val="004607A4"/>
    <w:rsid w:val="00490D9D"/>
    <w:rsid w:val="004C4AD6"/>
    <w:rsid w:val="004D7AFA"/>
    <w:rsid w:val="004E1A56"/>
    <w:rsid w:val="004F13D1"/>
    <w:rsid w:val="004F5BA9"/>
    <w:rsid w:val="005017E6"/>
    <w:rsid w:val="00505A26"/>
    <w:rsid w:val="0051680B"/>
    <w:rsid w:val="00596C44"/>
    <w:rsid w:val="005A5AE4"/>
    <w:rsid w:val="005F0996"/>
    <w:rsid w:val="005F17BB"/>
    <w:rsid w:val="00620A4C"/>
    <w:rsid w:val="0062181D"/>
    <w:rsid w:val="006247E2"/>
    <w:rsid w:val="0065439D"/>
    <w:rsid w:val="00685577"/>
    <w:rsid w:val="0068562F"/>
    <w:rsid w:val="006B093C"/>
    <w:rsid w:val="006B40F3"/>
    <w:rsid w:val="007010CC"/>
    <w:rsid w:val="00702D15"/>
    <w:rsid w:val="0072595E"/>
    <w:rsid w:val="0073089E"/>
    <w:rsid w:val="007343F6"/>
    <w:rsid w:val="00736CBC"/>
    <w:rsid w:val="0077324F"/>
    <w:rsid w:val="00773751"/>
    <w:rsid w:val="00776DA6"/>
    <w:rsid w:val="00791E9B"/>
    <w:rsid w:val="007A53B9"/>
    <w:rsid w:val="007F5A82"/>
    <w:rsid w:val="008065FA"/>
    <w:rsid w:val="008411C8"/>
    <w:rsid w:val="00865261"/>
    <w:rsid w:val="008736E8"/>
    <w:rsid w:val="00884593"/>
    <w:rsid w:val="00896A16"/>
    <w:rsid w:val="008A7809"/>
    <w:rsid w:val="008B51F5"/>
    <w:rsid w:val="008C22B7"/>
    <w:rsid w:val="008C53C5"/>
    <w:rsid w:val="00914207"/>
    <w:rsid w:val="0091728D"/>
    <w:rsid w:val="0092070B"/>
    <w:rsid w:val="00947508"/>
    <w:rsid w:val="00967544"/>
    <w:rsid w:val="00980DC4"/>
    <w:rsid w:val="00981470"/>
    <w:rsid w:val="00983661"/>
    <w:rsid w:val="00984632"/>
    <w:rsid w:val="0098521A"/>
    <w:rsid w:val="009B1590"/>
    <w:rsid w:val="009B2F8A"/>
    <w:rsid w:val="009C67FD"/>
    <w:rsid w:val="009D20BC"/>
    <w:rsid w:val="009F46F4"/>
    <w:rsid w:val="00A06A84"/>
    <w:rsid w:val="00A110AF"/>
    <w:rsid w:val="00A239D7"/>
    <w:rsid w:val="00A33816"/>
    <w:rsid w:val="00A362BB"/>
    <w:rsid w:val="00A47864"/>
    <w:rsid w:val="00A96E6D"/>
    <w:rsid w:val="00AB61C9"/>
    <w:rsid w:val="00AD5302"/>
    <w:rsid w:val="00AF23E7"/>
    <w:rsid w:val="00B00B5E"/>
    <w:rsid w:val="00B054A9"/>
    <w:rsid w:val="00B072AF"/>
    <w:rsid w:val="00B47670"/>
    <w:rsid w:val="00B530EA"/>
    <w:rsid w:val="00B55E4D"/>
    <w:rsid w:val="00B746FD"/>
    <w:rsid w:val="00B947F9"/>
    <w:rsid w:val="00B94F9A"/>
    <w:rsid w:val="00BA615A"/>
    <w:rsid w:val="00BD78AF"/>
    <w:rsid w:val="00BE086C"/>
    <w:rsid w:val="00BE14B0"/>
    <w:rsid w:val="00C03F1A"/>
    <w:rsid w:val="00C47427"/>
    <w:rsid w:val="00C513C6"/>
    <w:rsid w:val="00C51D49"/>
    <w:rsid w:val="00C6783E"/>
    <w:rsid w:val="00C9546D"/>
    <w:rsid w:val="00CA1936"/>
    <w:rsid w:val="00CA1A37"/>
    <w:rsid w:val="00CA6696"/>
    <w:rsid w:val="00CB35FE"/>
    <w:rsid w:val="00CC2022"/>
    <w:rsid w:val="00CC67A8"/>
    <w:rsid w:val="00CD4CCD"/>
    <w:rsid w:val="00CD4D4F"/>
    <w:rsid w:val="00CD5E56"/>
    <w:rsid w:val="00CF554A"/>
    <w:rsid w:val="00D0622A"/>
    <w:rsid w:val="00D103C7"/>
    <w:rsid w:val="00D1588F"/>
    <w:rsid w:val="00D33F80"/>
    <w:rsid w:val="00D404F9"/>
    <w:rsid w:val="00D623D4"/>
    <w:rsid w:val="00D777AE"/>
    <w:rsid w:val="00D80446"/>
    <w:rsid w:val="00D876F7"/>
    <w:rsid w:val="00D95008"/>
    <w:rsid w:val="00DC1BE0"/>
    <w:rsid w:val="00DC72E7"/>
    <w:rsid w:val="00DE78F7"/>
    <w:rsid w:val="00DE7A49"/>
    <w:rsid w:val="00E052A2"/>
    <w:rsid w:val="00E3182C"/>
    <w:rsid w:val="00E54D55"/>
    <w:rsid w:val="00E55C77"/>
    <w:rsid w:val="00E57D65"/>
    <w:rsid w:val="00E77BEA"/>
    <w:rsid w:val="00E97C16"/>
    <w:rsid w:val="00EB364B"/>
    <w:rsid w:val="00EC1C69"/>
    <w:rsid w:val="00EC7C0B"/>
    <w:rsid w:val="00ED77C8"/>
    <w:rsid w:val="00EE6B54"/>
    <w:rsid w:val="00EF6E5D"/>
    <w:rsid w:val="00EF6FD8"/>
    <w:rsid w:val="00F340F4"/>
    <w:rsid w:val="00F35000"/>
    <w:rsid w:val="00F36C2A"/>
    <w:rsid w:val="00F4048A"/>
    <w:rsid w:val="00F4380B"/>
    <w:rsid w:val="00F47A4A"/>
    <w:rsid w:val="00F6356E"/>
    <w:rsid w:val="00F72049"/>
    <w:rsid w:val="00F96FD1"/>
    <w:rsid w:val="00FA7C29"/>
    <w:rsid w:val="00FB6878"/>
    <w:rsid w:val="00FC6E90"/>
    <w:rsid w:val="00FE277C"/>
    <w:rsid w:val="00FE2E3C"/>
    <w:rsid w:val="00FE37E8"/>
    <w:rsid w:val="00FE557F"/>
    <w:rsid w:val="00FF33D1"/>
    <w:rsid w:val="00FF402B"/>
    <w:rsid w:val="01A052A6"/>
    <w:rsid w:val="024E0D4D"/>
    <w:rsid w:val="029872B6"/>
    <w:rsid w:val="03250C7E"/>
    <w:rsid w:val="032F04D8"/>
    <w:rsid w:val="03345AEF"/>
    <w:rsid w:val="042C5B9D"/>
    <w:rsid w:val="04C70F47"/>
    <w:rsid w:val="04E53F4B"/>
    <w:rsid w:val="04F81051"/>
    <w:rsid w:val="05500BDA"/>
    <w:rsid w:val="05A333BF"/>
    <w:rsid w:val="068F0BD1"/>
    <w:rsid w:val="06DC19B9"/>
    <w:rsid w:val="06DE0BB7"/>
    <w:rsid w:val="06E029F9"/>
    <w:rsid w:val="070103DE"/>
    <w:rsid w:val="071023CF"/>
    <w:rsid w:val="071E0F8F"/>
    <w:rsid w:val="0733430F"/>
    <w:rsid w:val="07967631"/>
    <w:rsid w:val="08036A88"/>
    <w:rsid w:val="08076829"/>
    <w:rsid w:val="084F6F27"/>
    <w:rsid w:val="08716E9D"/>
    <w:rsid w:val="08E92ED7"/>
    <w:rsid w:val="092263E9"/>
    <w:rsid w:val="09B72FD5"/>
    <w:rsid w:val="0A4B221E"/>
    <w:rsid w:val="0AD5400E"/>
    <w:rsid w:val="0BEE2466"/>
    <w:rsid w:val="0C5209B8"/>
    <w:rsid w:val="0C6A4ABE"/>
    <w:rsid w:val="0CAB3562"/>
    <w:rsid w:val="0CB41A4E"/>
    <w:rsid w:val="0CBB4B8B"/>
    <w:rsid w:val="0CF95550"/>
    <w:rsid w:val="0D6D7E36"/>
    <w:rsid w:val="0DB31805"/>
    <w:rsid w:val="0DE87BD5"/>
    <w:rsid w:val="0DEE42F9"/>
    <w:rsid w:val="0E035554"/>
    <w:rsid w:val="0E6679E9"/>
    <w:rsid w:val="0E927B6D"/>
    <w:rsid w:val="0F00541F"/>
    <w:rsid w:val="0F255B9E"/>
    <w:rsid w:val="0F5F65FB"/>
    <w:rsid w:val="0F814C87"/>
    <w:rsid w:val="0FAE0CC1"/>
    <w:rsid w:val="0FB04F4B"/>
    <w:rsid w:val="0FD3043D"/>
    <w:rsid w:val="10125D2B"/>
    <w:rsid w:val="101C6B14"/>
    <w:rsid w:val="1068327B"/>
    <w:rsid w:val="10741C20"/>
    <w:rsid w:val="10A32505"/>
    <w:rsid w:val="10C82689"/>
    <w:rsid w:val="10E94464"/>
    <w:rsid w:val="111E3DE9"/>
    <w:rsid w:val="11CB597E"/>
    <w:rsid w:val="121F43A6"/>
    <w:rsid w:val="1222612C"/>
    <w:rsid w:val="12CA3D79"/>
    <w:rsid w:val="130911DF"/>
    <w:rsid w:val="133405EC"/>
    <w:rsid w:val="143279BB"/>
    <w:rsid w:val="145B26BA"/>
    <w:rsid w:val="14A41C8F"/>
    <w:rsid w:val="14D26F15"/>
    <w:rsid w:val="14EC32D9"/>
    <w:rsid w:val="15671D54"/>
    <w:rsid w:val="15AA1077"/>
    <w:rsid w:val="15B3344D"/>
    <w:rsid w:val="15B42ABF"/>
    <w:rsid w:val="16D03928"/>
    <w:rsid w:val="18130EA0"/>
    <w:rsid w:val="18AB6AEC"/>
    <w:rsid w:val="18CE5C46"/>
    <w:rsid w:val="193D6470"/>
    <w:rsid w:val="1987620B"/>
    <w:rsid w:val="19C15826"/>
    <w:rsid w:val="19CF4B23"/>
    <w:rsid w:val="1B1738D4"/>
    <w:rsid w:val="1BA61086"/>
    <w:rsid w:val="1BF77776"/>
    <w:rsid w:val="1C9D605B"/>
    <w:rsid w:val="1D3A49CD"/>
    <w:rsid w:val="1D843FEE"/>
    <w:rsid w:val="1DB1349A"/>
    <w:rsid w:val="1DB34EFE"/>
    <w:rsid w:val="1F4E6E69"/>
    <w:rsid w:val="1FA45952"/>
    <w:rsid w:val="20702D54"/>
    <w:rsid w:val="207B66B3"/>
    <w:rsid w:val="208D3B85"/>
    <w:rsid w:val="20C444FE"/>
    <w:rsid w:val="210163ED"/>
    <w:rsid w:val="2113283D"/>
    <w:rsid w:val="217F48C4"/>
    <w:rsid w:val="21ED4616"/>
    <w:rsid w:val="2227781D"/>
    <w:rsid w:val="22537FEF"/>
    <w:rsid w:val="23175AC9"/>
    <w:rsid w:val="240F6AB4"/>
    <w:rsid w:val="24125430"/>
    <w:rsid w:val="241E0D30"/>
    <w:rsid w:val="247C7961"/>
    <w:rsid w:val="24B93E04"/>
    <w:rsid w:val="24DD793C"/>
    <w:rsid w:val="250B4CF1"/>
    <w:rsid w:val="252D4A14"/>
    <w:rsid w:val="25414AD4"/>
    <w:rsid w:val="25564083"/>
    <w:rsid w:val="257543EE"/>
    <w:rsid w:val="25FF7D86"/>
    <w:rsid w:val="26ED699A"/>
    <w:rsid w:val="271C3147"/>
    <w:rsid w:val="27922838"/>
    <w:rsid w:val="27BF157B"/>
    <w:rsid w:val="27D843EB"/>
    <w:rsid w:val="280E4017"/>
    <w:rsid w:val="28593F08"/>
    <w:rsid w:val="28A3055B"/>
    <w:rsid w:val="28BB6E5A"/>
    <w:rsid w:val="290A237E"/>
    <w:rsid w:val="29112825"/>
    <w:rsid w:val="29871C26"/>
    <w:rsid w:val="29BF1D06"/>
    <w:rsid w:val="2A6308E4"/>
    <w:rsid w:val="2A8C5D1D"/>
    <w:rsid w:val="2B3A792E"/>
    <w:rsid w:val="2C2C73FB"/>
    <w:rsid w:val="2D06231E"/>
    <w:rsid w:val="2D1B1632"/>
    <w:rsid w:val="2D306A77"/>
    <w:rsid w:val="2D797919"/>
    <w:rsid w:val="2DC16AB7"/>
    <w:rsid w:val="2E5D753D"/>
    <w:rsid w:val="2EDA7087"/>
    <w:rsid w:val="2F000DF7"/>
    <w:rsid w:val="2F0361F1"/>
    <w:rsid w:val="2F0A3D2F"/>
    <w:rsid w:val="2F4A2072"/>
    <w:rsid w:val="2F854E58"/>
    <w:rsid w:val="2FB06036"/>
    <w:rsid w:val="30754BE9"/>
    <w:rsid w:val="30F31461"/>
    <w:rsid w:val="31BA1DDE"/>
    <w:rsid w:val="31FB1207"/>
    <w:rsid w:val="320F7001"/>
    <w:rsid w:val="321626E0"/>
    <w:rsid w:val="32F81DE5"/>
    <w:rsid w:val="3384563D"/>
    <w:rsid w:val="33D93F7F"/>
    <w:rsid w:val="33DC1707"/>
    <w:rsid w:val="33FE20DC"/>
    <w:rsid w:val="34410BDC"/>
    <w:rsid w:val="34B46FD2"/>
    <w:rsid w:val="34C21CB4"/>
    <w:rsid w:val="35D25D91"/>
    <w:rsid w:val="35FA7A0C"/>
    <w:rsid w:val="36DE19CB"/>
    <w:rsid w:val="36E42DAC"/>
    <w:rsid w:val="37A25906"/>
    <w:rsid w:val="37E172EC"/>
    <w:rsid w:val="37E26478"/>
    <w:rsid w:val="37F67DAD"/>
    <w:rsid w:val="38000E52"/>
    <w:rsid w:val="38C57546"/>
    <w:rsid w:val="39C63990"/>
    <w:rsid w:val="3A013EEB"/>
    <w:rsid w:val="3A825A42"/>
    <w:rsid w:val="3B104669"/>
    <w:rsid w:val="3C5F4C83"/>
    <w:rsid w:val="3CC72F54"/>
    <w:rsid w:val="3D1B3194"/>
    <w:rsid w:val="3D774124"/>
    <w:rsid w:val="3DBB6B82"/>
    <w:rsid w:val="3DE67C51"/>
    <w:rsid w:val="3ED55C86"/>
    <w:rsid w:val="3FC85A0C"/>
    <w:rsid w:val="3FD949F1"/>
    <w:rsid w:val="4065650C"/>
    <w:rsid w:val="411A5EA3"/>
    <w:rsid w:val="41A34441"/>
    <w:rsid w:val="41F15E36"/>
    <w:rsid w:val="423B07EC"/>
    <w:rsid w:val="4263247C"/>
    <w:rsid w:val="426C6E06"/>
    <w:rsid w:val="427C658F"/>
    <w:rsid w:val="42A430BE"/>
    <w:rsid w:val="42DE2FA3"/>
    <w:rsid w:val="42EF6B9E"/>
    <w:rsid w:val="42F11136"/>
    <w:rsid w:val="431E7646"/>
    <w:rsid w:val="43776D56"/>
    <w:rsid w:val="43A92649"/>
    <w:rsid w:val="44116C37"/>
    <w:rsid w:val="441F5424"/>
    <w:rsid w:val="449F6565"/>
    <w:rsid w:val="44A419E4"/>
    <w:rsid w:val="44BD7F5B"/>
    <w:rsid w:val="44C73BD6"/>
    <w:rsid w:val="44D279CC"/>
    <w:rsid w:val="451C104E"/>
    <w:rsid w:val="458F7D74"/>
    <w:rsid w:val="45F01663"/>
    <w:rsid w:val="46262332"/>
    <w:rsid w:val="46993FD4"/>
    <w:rsid w:val="46DA57CC"/>
    <w:rsid w:val="46EE3C97"/>
    <w:rsid w:val="47AF4D11"/>
    <w:rsid w:val="485C2AD8"/>
    <w:rsid w:val="48825431"/>
    <w:rsid w:val="489B63C1"/>
    <w:rsid w:val="48A405ED"/>
    <w:rsid w:val="48A71E8C"/>
    <w:rsid w:val="48CE4AB9"/>
    <w:rsid w:val="48D3755C"/>
    <w:rsid w:val="49033566"/>
    <w:rsid w:val="49283796"/>
    <w:rsid w:val="49697141"/>
    <w:rsid w:val="4A315FD4"/>
    <w:rsid w:val="4A7B3E41"/>
    <w:rsid w:val="4A895CED"/>
    <w:rsid w:val="4AB97C54"/>
    <w:rsid w:val="4AC677DE"/>
    <w:rsid w:val="4AFE3F1D"/>
    <w:rsid w:val="4B286C48"/>
    <w:rsid w:val="4B92297F"/>
    <w:rsid w:val="4BAC76E4"/>
    <w:rsid w:val="4BCB5E91"/>
    <w:rsid w:val="4BF1067C"/>
    <w:rsid w:val="4C1366CB"/>
    <w:rsid w:val="4C5B7215"/>
    <w:rsid w:val="4C5F3F2E"/>
    <w:rsid w:val="4C83465F"/>
    <w:rsid w:val="4D703925"/>
    <w:rsid w:val="4D901E3C"/>
    <w:rsid w:val="4DB03590"/>
    <w:rsid w:val="4E161EA1"/>
    <w:rsid w:val="4EA053B3"/>
    <w:rsid w:val="4ED66256"/>
    <w:rsid w:val="4F2B6DE4"/>
    <w:rsid w:val="4F8A5D4D"/>
    <w:rsid w:val="4FB6117B"/>
    <w:rsid w:val="4FFE311C"/>
    <w:rsid w:val="500051EA"/>
    <w:rsid w:val="50246595"/>
    <w:rsid w:val="505F28FD"/>
    <w:rsid w:val="506A159E"/>
    <w:rsid w:val="5074505E"/>
    <w:rsid w:val="50994042"/>
    <w:rsid w:val="50E377D9"/>
    <w:rsid w:val="51043273"/>
    <w:rsid w:val="516A067F"/>
    <w:rsid w:val="51E33C51"/>
    <w:rsid w:val="52212B6E"/>
    <w:rsid w:val="52A67BDD"/>
    <w:rsid w:val="52D55984"/>
    <w:rsid w:val="52E01C5E"/>
    <w:rsid w:val="537F015C"/>
    <w:rsid w:val="53FC377E"/>
    <w:rsid w:val="53FF540F"/>
    <w:rsid w:val="54281085"/>
    <w:rsid w:val="54416E99"/>
    <w:rsid w:val="54E81862"/>
    <w:rsid w:val="54F641B7"/>
    <w:rsid w:val="55512751"/>
    <w:rsid w:val="55DD6EED"/>
    <w:rsid w:val="56083FD2"/>
    <w:rsid w:val="562A06C6"/>
    <w:rsid w:val="5632195D"/>
    <w:rsid w:val="5733482A"/>
    <w:rsid w:val="57972E60"/>
    <w:rsid w:val="579D4CED"/>
    <w:rsid w:val="57F77CC8"/>
    <w:rsid w:val="58017890"/>
    <w:rsid w:val="584456F0"/>
    <w:rsid w:val="58676F42"/>
    <w:rsid w:val="58AF2ED4"/>
    <w:rsid w:val="592A2449"/>
    <w:rsid w:val="5A226599"/>
    <w:rsid w:val="5A4D0B6A"/>
    <w:rsid w:val="5A506C15"/>
    <w:rsid w:val="5A5D05FC"/>
    <w:rsid w:val="5A941839"/>
    <w:rsid w:val="5ACE4577"/>
    <w:rsid w:val="5B480554"/>
    <w:rsid w:val="5B52607B"/>
    <w:rsid w:val="5B8C6779"/>
    <w:rsid w:val="5B921FD7"/>
    <w:rsid w:val="5BB4531B"/>
    <w:rsid w:val="5C700ABB"/>
    <w:rsid w:val="5C89723A"/>
    <w:rsid w:val="5D0039E1"/>
    <w:rsid w:val="5D0C00B7"/>
    <w:rsid w:val="5D271AA6"/>
    <w:rsid w:val="5DCB3ACF"/>
    <w:rsid w:val="5DDE3BBE"/>
    <w:rsid w:val="5DED7EE9"/>
    <w:rsid w:val="5E316028"/>
    <w:rsid w:val="5E6D780F"/>
    <w:rsid w:val="5EB153BA"/>
    <w:rsid w:val="5EBD7B5C"/>
    <w:rsid w:val="5EE017FC"/>
    <w:rsid w:val="5FEA2932"/>
    <w:rsid w:val="5FEC158C"/>
    <w:rsid w:val="602604D8"/>
    <w:rsid w:val="61016185"/>
    <w:rsid w:val="618E32C6"/>
    <w:rsid w:val="62404A8B"/>
    <w:rsid w:val="629846A2"/>
    <w:rsid w:val="629976C4"/>
    <w:rsid w:val="631C3622"/>
    <w:rsid w:val="63A1155A"/>
    <w:rsid w:val="63D538F9"/>
    <w:rsid w:val="64354398"/>
    <w:rsid w:val="649C6D39"/>
    <w:rsid w:val="64DF5FBE"/>
    <w:rsid w:val="65DE3924"/>
    <w:rsid w:val="65F44FBB"/>
    <w:rsid w:val="65F85D1E"/>
    <w:rsid w:val="66043D35"/>
    <w:rsid w:val="6694184A"/>
    <w:rsid w:val="674B425C"/>
    <w:rsid w:val="677D278D"/>
    <w:rsid w:val="67970BA8"/>
    <w:rsid w:val="679E394F"/>
    <w:rsid w:val="681025F1"/>
    <w:rsid w:val="68AE62E8"/>
    <w:rsid w:val="68CD2910"/>
    <w:rsid w:val="692F585A"/>
    <w:rsid w:val="69421219"/>
    <w:rsid w:val="699E2554"/>
    <w:rsid w:val="69D77FDE"/>
    <w:rsid w:val="6A1C4F90"/>
    <w:rsid w:val="6B881E5C"/>
    <w:rsid w:val="6BA936A1"/>
    <w:rsid w:val="6BC15208"/>
    <w:rsid w:val="6BD30A00"/>
    <w:rsid w:val="6BEF307E"/>
    <w:rsid w:val="6C0E79A8"/>
    <w:rsid w:val="6C685AE5"/>
    <w:rsid w:val="6CB955A3"/>
    <w:rsid w:val="6D1159A2"/>
    <w:rsid w:val="6D654A26"/>
    <w:rsid w:val="6D9977D0"/>
    <w:rsid w:val="6E0E5A3E"/>
    <w:rsid w:val="6EC151A6"/>
    <w:rsid w:val="6EE21DEC"/>
    <w:rsid w:val="6F0D7A1A"/>
    <w:rsid w:val="6F6A2AA5"/>
    <w:rsid w:val="6FC8189A"/>
    <w:rsid w:val="6FE14717"/>
    <w:rsid w:val="6FEA072C"/>
    <w:rsid w:val="70182BA3"/>
    <w:rsid w:val="703C11E2"/>
    <w:rsid w:val="71B2527A"/>
    <w:rsid w:val="72A93BDD"/>
    <w:rsid w:val="72FE43B4"/>
    <w:rsid w:val="736A2763"/>
    <w:rsid w:val="73DB31E4"/>
    <w:rsid w:val="73EE246B"/>
    <w:rsid w:val="744F5002"/>
    <w:rsid w:val="754D2D34"/>
    <w:rsid w:val="757373FF"/>
    <w:rsid w:val="7596611E"/>
    <w:rsid w:val="75AD07CC"/>
    <w:rsid w:val="75C646E4"/>
    <w:rsid w:val="763A48B0"/>
    <w:rsid w:val="763B1962"/>
    <w:rsid w:val="764C7A4B"/>
    <w:rsid w:val="76927701"/>
    <w:rsid w:val="7717683B"/>
    <w:rsid w:val="77505AA4"/>
    <w:rsid w:val="77625668"/>
    <w:rsid w:val="77C80792"/>
    <w:rsid w:val="77F4039A"/>
    <w:rsid w:val="78013015"/>
    <w:rsid w:val="784A7FBA"/>
    <w:rsid w:val="787E1FE9"/>
    <w:rsid w:val="78BD3DDC"/>
    <w:rsid w:val="79304D29"/>
    <w:rsid w:val="795D1F6F"/>
    <w:rsid w:val="79A8568B"/>
    <w:rsid w:val="7A106FE1"/>
    <w:rsid w:val="7A502DEE"/>
    <w:rsid w:val="7A5944E4"/>
    <w:rsid w:val="7B51340D"/>
    <w:rsid w:val="7B6076E2"/>
    <w:rsid w:val="7BD01926"/>
    <w:rsid w:val="7C843E10"/>
    <w:rsid w:val="7C8D4919"/>
    <w:rsid w:val="7CAF00BB"/>
    <w:rsid w:val="7D3E4DCA"/>
    <w:rsid w:val="7D7F0706"/>
    <w:rsid w:val="7E123328"/>
    <w:rsid w:val="7E97382D"/>
    <w:rsid w:val="7EDB7BBE"/>
    <w:rsid w:val="7F113BA9"/>
    <w:rsid w:val="7FF540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Body Text 2"/>
    <w:basedOn w:val="1"/>
    <w:qFormat/>
    <w:uiPriority w:val="0"/>
    <w:pPr>
      <w:spacing w:line="360" w:lineRule="auto"/>
    </w:pPr>
    <w:rPr>
      <w:sz w:val="24"/>
    </w:rPr>
  </w:style>
  <w:style w:type="paragraph" w:styleId="4">
    <w:name w:val="Normal Indent"/>
    <w:basedOn w:val="1"/>
    <w:link w:val="17"/>
    <w:qFormat/>
    <w:uiPriority w:val="0"/>
    <w:pPr>
      <w:ind w:firstLine="420"/>
    </w:pPr>
    <w:rPr>
      <w:rFonts w:ascii="宋体" w:hAnsi="宋体"/>
      <w:szCs w:val="20"/>
    </w:rPr>
  </w:style>
  <w:style w:type="paragraph" w:styleId="5">
    <w:name w:val="annotation text"/>
    <w:basedOn w:val="1"/>
    <w:qFormat/>
    <w:uiPriority w:val="0"/>
    <w:pPr>
      <w:jc w:val="left"/>
    </w:pPr>
  </w:style>
  <w:style w:type="paragraph" w:styleId="6">
    <w:name w:val="Body Text Indent"/>
    <w:basedOn w:val="1"/>
    <w:qFormat/>
    <w:uiPriority w:val="0"/>
    <w:pPr>
      <w:ind w:firstLine="900"/>
    </w:pPr>
    <w:rPr>
      <w:sz w:val="28"/>
      <w:szCs w:val="20"/>
    </w:rPr>
  </w:style>
  <w:style w:type="paragraph" w:styleId="7">
    <w:name w:val="Body Text Indent 2"/>
    <w:basedOn w:val="1"/>
    <w:qFormat/>
    <w:uiPriority w:val="0"/>
    <w:pPr>
      <w:spacing w:line="360" w:lineRule="auto"/>
      <w:ind w:firstLine="720"/>
    </w:pPr>
    <w:rPr>
      <w:rFonts w:ascii="宋体"/>
      <w:sz w:val="28"/>
      <w:szCs w:val="20"/>
    </w:rPr>
  </w:style>
  <w:style w:type="paragraph" w:styleId="8">
    <w:name w:val="Balloon Text"/>
    <w:basedOn w:val="1"/>
    <w:link w:val="23"/>
    <w:qFormat/>
    <w:uiPriority w:val="0"/>
    <w:rPr>
      <w:sz w:val="18"/>
      <w:szCs w:val="18"/>
    </w:rPr>
  </w:style>
  <w:style w:type="paragraph" w:styleId="9">
    <w:name w:val="footer"/>
    <w:basedOn w:val="1"/>
    <w:link w:val="16"/>
    <w:qFormat/>
    <w:uiPriority w:val="0"/>
    <w:pPr>
      <w:tabs>
        <w:tab w:val="center" w:pos="4153"/>
        <w:tab w:val="right" w:pos="8306"/>
      </w:tabs>
      <w:snapToGrid w:val="0"/>
      <w:jc w:val="left"/>
    </w:pPr>
    <w:rPr>
      <w:sz w:val="18"/>
      <w:szCs w:val="18"/>
    </w:rPr>
  </w:style>
  <w:style w:type="paragraph" w:styleId="10">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1">
    <w:name w:val="Title"/>
    <w:basedOn w:val="1"/>
    <w:next w:val="1"/>
    <w:qFormat/>
    <w:uiPriority w:val="0"/>
    <w:pPr>
      <w:spacing w:before="240" w:after="60" w:line="276" w:lineRule="auto"/>
      <w:jc w:val="center"/>
      <w:outlineLvl w:val="0"/>
    </w:pPr>
    <w:rPr>
      <w:rFonts w:ascii="Cambria" w:hAnsi="Cambria"/>
      <w:b/>
      <w:bCs/>
      <w:sz w:val="32"/>
      <w:szCs w:val="32"/>
    </w:rPr>
  </w:style>
  <w:style w:type="table" w:styleId="13">
    <w:name w:val="Table Grid"/>
    <w:basedOn w:val="1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5">
    <w:name w:val="annotation reference"/>
    <w:basedOn w:val="14"/>
    <w:qFormat/>
    <w:uiPriority w:val="0"/>
    <w:rPr>
      <w:sz w:val="21"/>
      <w:szCs w:val="21"/>
    </w:rPr>
  </w:style>
  <w:style w:type="character" w:customStyle="1" w:styleId="16">
    <w:name w:val="页脚 字符"/>
    <w:basedOn w:val="14"/>
    <w:link w:val="9"/>
    <w:qFormat/>
    <w:uiPriority w:val="0"/>
    <w:rPr>
      <w:kern w:val="2"/>
      <w:sz w:val="18"/>
      <w:szCs w:val="18"/>
    </w:rPr>
  </w:style>
  <w:style w:type="character" w:customStyle="1" w:styleId="17">
    <w:name w:val="正文缩进 字符"/>
    <w:basedOn w:val="14"/>
    <w:link w:val="4"/>
    <w:qFormat/>
    <w:locked/>
    <w:uiPriority w:val="0"/>
    <w:rPr>
      <w:rFonts w:ascii="宋体" w:hAnsi="宋体" w:eastAsia="宋体"/>
      <w:kern w:val="2"/>
      <w:sz w:val="21"/>
      <w:lang w:val="en-US" w:eastAsia="zh-CN" w:bidi="ar-SA"/>
    </w:rPr>
  </w:style>
  <w:style w:type="character" w:customStyle="1" w:styleId="18">
    <w:name w:val="页眉 字符"/>
    <w:basedOn w:val="14"/>
    <w:link w:val="10"/>
    <w:qFormat/>
    <w:uiPriority w:val="0"/>
    <w:rPr>
      <w:kern w:val="2"/>
      <w:sz w:val="18"/>
      <w:szCs w:val="18"/>
    </w:rPr>
  </w:style>
  <w:style w:type="paragraph" w:customStyle="1" w:styleId="19">
    <w:name w:val="列出段落11"/>
    <w:basedOn w:val="1"/>
    <w:qFormat/>
    <w:uiPriority w:val="0"/>
    <w:pPr>
      <w:ind w:firstLine="420" w:firstLineChars="200"/>
    </w:pPr>
    <w:rPr>
      <w:rFonts w:ascii="Calibri" w:hAnsi="Calibri"/>
      <w:szCs w:val="22"/>
    </w:rPr>
  </w:style>
  <w:style w:type="paragraph" w:customStyle="1" w:styleId="20">
    <w:name w:val="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21">
    <w:name w:val="Char Char6"/>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22">
    <w:name w:val="font31"/>
    <w:basedOn w:val="14"/>
    <w:qFormat/>
    <w:uiPriority w:val="0"/>
    <w:rPr>
      <w:rFonts w:hint="eastAsia" w:ascii="宋体" w:hAnsi="宋体" w:eastAsia="宋体" w:cs="宋体"/>
      <w:color w:val="000000"/>
      <w:sz w:val="20"/>
      <w:szCs w:val="20"/>
      <w:u w:val="none"/>
    </w:rPr>
  </w:style>
  <w:style w:type="character" w:customStyle="1" w:styleId="23">
    <w:name w:val="批注框文本 字符"/>
    <w:basedOn w:val="14"/>
    <w:link w:val="8"/>
    <w:qFormat/>
    <w:uiPriority w:val="0"/>
    <w:rPr>
      <w:rFonts w:ascii="Times New Roman" w:hAnsi="Times New Roman"/>
      <w:kern w:val="2"/>
      <w:sz w:val="18"/>
      <w:szCs w:val="18"/>
    </w:rPr>
  </w:style>
  <w:style w:type="paragraph" w:styleId="24">
    <w:name w:val="List Paragraph"/>
    <w:basedOn w:val="1"/>
    <w:qFormat/>
    <w:uiPriority w:val="0"/>
    <w:pPr>
      <w:ind w:firstLine="420" w:firstLineChars="200"/>
    </w:pPr>
    <w:rPr>
      <w:rFonts w:ascii="Calibri" w:hAnsi="Calibri"/>
      <w:szCs w:val="22"/>
    </w:rPr>
  </w:style>
  <w:style w:type="character" w:customStyle="1" w:styleId="25">
    <w:name w:val="font61"/>
    <w:basedOn w:val="14"/>
    <w:qFormat/>
    <w:uiPriority w:val="0"/>
    <w:rPr>
      <w:rFonts w:hint="eastAsia" w:ascii="宋体" w:hAnsi="宋体" w:eastAsia="宋体" w:cs="宋体"/>
      <w:color w:val="000000"/>
      <w:sz w:val="20"/>
      <w:szCs w:val="20"/>
      <w:u w:val="none"/>
    </w:rPr>
  </w:style>
  <w:style w:type="paragraph" w:customStyle="1" w:styleId="26">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27">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28">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29">
    <w:name w:val="font51"/>
    <w:basedOn w:val="14"/>
    <w:qFormat/>
    <w:uiPriority w:val="0"/>
    <w:rPr>
      <w:rFonts w:hint="eastAsia" w:ascii="宋体" w:hAnsi="宋体" w:eastAsia="宋体" w:cs="宋体"/>
      <w:color w:val="FF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Chinese ORG</Company>
  <Pages>23</Pages>
  <Words>986</Words>
  <Characters>1012</Characters>
  <Lines>123</Lines>
  <Paragraphs>34</Paragraphs>
  <TotalTime>6</TotalTime>
  <ScaleCrop>false</ScaleCrop>
  <LinksUpToDate>false</LinksUpToDate>
  <CharactersWithSpaces>1064</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2021-02-05T12:13:00Z</dcterms:created>
  <dc:creator>Chinese User</dc:creator>
  <cp:lastModifiedBy>admin</cp:lastModifiedBy>
  <cp:lastPrinted>2025-11-19T20:18:00Z</cp:lastPrinted>
  <dcterms:modified xsi:type="dcterms:W3CDTF">2026-10-13T02:12:55Z</dcterms:modified>
  <dc:title>第四章  合同条款</dc:title>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CA5DCC11D0CA445290BD398C8F553DCA_13</vt:lpwstr>
  </property>
  <property fmtid="{D5CDD505-2E9C-101B-9397-08002B2CF9AE}" pid="4" name="KSOTemplateDocerSaveRecord">
    <vt:lpwstr>eyJoZGlkIjoiZDVmN2VhNTQ4MjEyMjE2YTg2MmQwN2I3NTRjOGQ1MzAiLCJ1c2VySWQiOiIyOTg1ODY0NDAifQ==</vt:lpwstr>
  </property>
</Properties>
</file>