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jc w:val="center"/>
        <w:rPr>
          <w:rFonts w:hint="eastAsia" w:ascii="黑体" w:hAnsi="黑体" w:eastAsia="黑体" w:cs="黑体"/>
          <w:b/>
          <w:color w:val="000000"/>
          <w:sz w:val="44"/>
          <w:szCs w:val="44"/>
          <w:highlight w:val="none"/>
          <w:lang w:eastAsia="zh-CN"/>
        </w:rPr>
      </w:pPr>
      <w:r>
        <w:rPr>
          <w:rFonts w:hint="eastAsia" w:ascii="黑体" w:hAnsi="黑体" w:eastAsia="黑体" w:cs="黑体"/>
          <w:b/>
          <w:color w:val="000000"/>
          <w:sz w:val="44"/>
          <w:szCs w:val="44"/>
          <w:highlight w:val="none"/>
          <w:lang w:eastAsia="zh-CN"/>
        </w:rPr>
        <w:t>《组建深海科技创新联盟技术服务》</w:t>
      </w:r>
    </w:p>
    <w:p>
      <w:pPr>
        <w:keepNext w:val="0"/>
        <w:keepLines w:val="0"/>
        <w:pageBreakBefore w:val="0"/>
        <w:widowControl w:val="0"/>
        <w:kinsoku/>
        <w:overflowPunct/>
        <w:topLinePunct w:val="0"/>
        <w:autoSpaceDE/>
        <w:autoSpaceDN/>
        <w:bidi w:val="0"/>
        <w:jc w:val="center"/>
        <w:rPr>
          <w:rFonts w:hint="eastAsia" w:ascii="黑体" w:hAnsi="黑体" w:eastAsia="黑体" w:cs="黑体"/>
          <w:b/>
          <w:color w:val="000000"/>
          <w:sz w:val="32"/>
          <w:szCs w:val="32"/>
          <w:highlight w:val="none"/>
        </w:rPr>
      </w:pPr>
      <w:r>
        <w:rPr>
          <w:rFonts w:hint="eastAsia" w:ascii="黑体" w:hAnsi="黑体" w:eastAsia="黑体" w:cs="黑体"/>
          <w:b/>
          <w:color w:val="000000"/>
          <w:sz w:val="44"/>
          <w:szCs w:val="44"/>
          <w:highlight w:val="none"/>
        </w:rPr>
        <w:t>项目采购需求</w:t>
      </w:r>
    </w:p>
    <w:tbl>
      <w:tblPr>
        <w:tblStyle w:val="8"/>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31"/>
        <w:gridCol w:w="5"/>
        <w:gridCol w:w="609"/>
        <w:gridCol w:w="98"/>
        <w:gridCol w:w="944"/>
        <w:gridCol w:w="1233"/>
        <w:gridCol w:w="942"/>
        <w:gridCol w:w="378"/>
        <w:gridCol w:w="1366"/>
        <w:gridCol w:w="2261"/>
        <w:gridCol w:w="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3" w:type="dxa"/>
          <w:trHeight w:val="477" w:hRule="atLeast"/>
          <w:jc w:val="center"/>
        </w:trPr>
        <w:tc>
          <w:tcPr>
            <w:tcW w:w="1131" w:type="dxa"/>
            <w:shd w:val="clear" w:color="auto" w:fill="auto"/>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*项目名称</w:t>
            </w:r>
          </w:p>
        </w:tc>
        <w:tc>
          <w:tcPr>
            <w:tcW w:w="7836" w:type="dxa"/>
            <w:gridSpan w:val="9"/>
            <w:shd w:val="clear" w:color="auto" w:fill="auto"/>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组建深海科技创新联盟技术服务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3" w:type="dxa"/>
          <w:trHeight w:val="467" w:hRule="atLeast"/>
          <w:jc w:val="center"/>
        </w:trPr>
        <w:tc>
          <w:tcPr>
            <w:tcW w:w="1131" w:type="dxa"/>
            <w:shd w:val="clear" w:color="auto" w:fill="auto"/>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*采购人名称</w:t>
            </w:r>
          </w:p>
        </w:tc>
        <w:tc>
          <w:tcPr>
            <w:tcW w:w="4209" w:type="dxa"/>
            <w:gridSpan w:val="7"/>
            <w:shd w:val="clear" w:color="auto" w:fill="auto"/>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szCs w:val="21"/>
                <w:highlight w:val="none"/>
                <w:lang w:val="en-US" w:eastAsia="zh-CN"/>
              </w:rPr>
            </w:pPr>
            <w:r>
              <w:rPr>
                <w:rFonts w:hint="eastAsia" w:ascii="仿宋" w:hAnsi="仿宋" w:eastAsia="仿宋" w:cs="仿宋"/>
                <w:b w:val="0"/>
                <w:bCs/>
                <w:color w:val="000000"/>
                <w:szCs w:val="21"/>
                <w:highlight w:val="none"/>
                <w:lang w:val="en-US" w:eastAsia="zh-CN"/>
              </w:rPr>
              <w:t>深圳市规划和自然资源局</w:t>
            </w:r>
          </w:p>
        </w:tc>
        <w:tc>
          <w:tcPr>
            <w:tcW w:w="1366" w:type="dxa"/>
            <w:shd w:val="clear" w:color="auto" w:fill="auto"/>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*采购方式</w:t>
            </w:r>
          </w:p>
        </w:tc>
        <w:tc>
          <w:tcPr>
            <w:tcW w:w="2261" w:type="dxa"/>
            <w:shd w:val="clear" w:color="auto" w:fill="auto"/>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szCs w:val="21"/>
                <w:highlight w:val="none"/>
                <w:lang w:eastAsia="zh-CN"/>
              </w:rPr>
            </w:pPr>
            <w:r>
              <w:rPr>
                <w:rFonts w:hint="eastAsia" w:ascii="仿宋" w:hAnsi="仿宋" w:eastAsia="仿宋" w:cs="仿宋"/>
                <w:b w:val="0"/>
                <w:bCs/>
                <w:color w:val="000000"/>
                <w:szCs w:val="21"/>
                <w:highlight w:val="none"/>
                <w:lang w:eastAsia="zh-CN"/>
              </w:rPr>
              <w:t>自行采购（公开招标）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3" w:type="dxa"/>
          <w:trHeight w:val="520" w:hRule="atLeast"/>
          <w:jc w:val="center"/>
        </w:trPr>
        <w:tc>
          <w:tcPr>
            <w:tcW w:w="1131" w:type="dxa"/>
            <w:shd w:val="clear" w:color="auto" w:fill="auto"/>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计划立项批文号</w:t>
            </w:r>
          </w:p>
        </w:tc>
        <w:tc>
          <w:tcPr>
            <w:tcW w:w="4209" w:type="dxa"/>
            <w:gridSpan w:val="7"/>
            <w:shd w:val="clear" w:color="auto" w:fill="auto"/>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szCs w:val="21"/>
                <w:highlight w:val="none"/>
              </w:rPr>
            </w:pPr>
          </w:p>
        </w:tc>
        <w:tc>
          <w:tcPr>
            <w:tcW w:w="1366" w:type="dxa"/>
            <w:shd w:val="clear" w:color="auto" w:fill="auto"/>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*资金来源</w:t>
            </w:r>
          </w:p>
        </w:tc>
        <w:tc>
          <w:tcPr>
            <w:tcW w:w="2261" w:type="dxa"/>
            <w:shd w:val="clear" w:color="auto" w:fill="auto"/>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szCs w:val="21"/>
                <w:highlight w:val="none"/>
                <w:lang w:eastAsia="zh-CN"/>
              </w:rPr>
            </w:pPr>
            <w:r>
              <w:rPr>
                <w:rFonts w:hint="eastAsia" w:ascii="仿宋" w:hAnsi="仿宋" w:eastAsia="仿宋" w:cs="仿宋"/>
                <w:b w:val="0"/>
                <w:bCs/>
                <w:color w:val="000000"/>
                <w:szCs w:val="21"/>
                <w:highlight w:val="none"/>
                <w:lang w:eastAsia="zh-CN"/>
              </w:rPr>
              <w:t>一般公共预算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3" w:type="dxa"/>
          <w:trHeight w:val="488" w:hRule="atLeast"/>
          <w:jc w:val="center"/>
        </w:trPr>
        <w:tc>
          <w:tcPr>
            <w:tcW w:w="1131" w:type="dxa"/>
            <w:shd w:val="clear" w:color="auto" w:fill="auto"/>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*财政预算限额（元）</w:t>
            </w:r>
          </w:p>
        </w:tc>
        <w:tc>
          <w:tcPr>
            <w:tcW w:w="4209" w:type="dxa"/>
            <w:gridSpan w:val="7"/>
            <w:shd w:val="clear" w:color="auto" w:fill="auto"/>
            <w:noWrap w:val="0"/>
            <w:vAlign w:val="center"/>
          </w:tcPr>
          <w:p>
            <w:pPr>
              <w:keepNext w:val="0"/>
              <w:keepLines w:val="0"/>
              <w:pageBreakBefore w:val="0"/>
              <w:widowControl w:val="0"/>
              <w:kinsoku/>
              <w:overflowPunct/>
              <w:topLinePunct w:val="0"/>
              <w:autoSpaceDE/>
              <w:autoSpaceDN/>
              <w:bidi w:val="0"/>
              <w:jc w:val="left"/>
              <w:rPr>
                <w:rFonts w:hint="default" w:ascii="仿宋" w:hAnsi="仿宋" w:eastAsia="仿宋" w:cs="仿宋"/>
                <w:b w:val="0"/>
                <w:bCs/>
                <w:color w:val="000000"/>
                <w:szCs w:val="21"/>
                <w:highlight w:val="none"/>
                <w:lang w:val="en-US" w:eastAsia="zh-CN"/>
              </w:rPr>
            </w:pPr>
            <w:r>
              <w:rPr>
                <w:rFonts w:hint="eastAsia" w:ascii="仿宋" w:hAnsi="仿宋" w:eastAsia="仿宋" w:cs="仿宋"/>
                <w:b w:val="0"/>
                <w:bCs/>
                <w:color w:val="000000"/>
                <w:szCs w:val="21"/>
                <w:highlight w:val="none"/>
                <w:lang w:val="en-US" w:eastAsia="zh-CN"/>
              </w:rPr>
              <w:t>￥100000.00元</w:t>
            </w:r>
          </w:p>
        </w:tc>
        <w:tc>
          <w:tcPr>
            <w:tcW w:w="1366" w:type="dxa"/>
            <w:shd w:val="clear" w:color="auto" w:fill="auto"/>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szCs w:val="21"/>
                <w:highlight w:val="none"/>
              </w:rPr>
            </w:pPr>
          </w:p>
        </w:tc>
        <w:tc>
          <w:tcPr>
            <w:tcW w:w="2261" w:type="dxa"/>
            <w:shd w:val="clear" w:color="auto" w:fill="auto"/>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3" w:type="dxa"/>
          <w:trHeight w:val="725" w:hRule="atLeast"/>
          <w:jc w:val="center"/>
        </w:trPr>
        <w:tc>
          <w:tcPr>
            <w:tcW w:w="1131" w:type="dxa"/>
            <w:shd w:val="clear" w:color="auto" w:fill="auto"/>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项目背景</w:t>
            </w:r>
          </w:p>
        </w:tc>
        <w:tc>
          <w:tcPr>
            <w:tcW w:w="7836" w:type="dxa"/>
            <w:gridSpan w:val="9"/>
            <w:shd w:val="clear" w:color="auto" w:fill="auto"/>
            <w:noWrap w:val="0"/>
            <w:vAlign w:val="center"/>
          </w:tcPr>
          <w:p>
            <w:pPr>
              <w:keepNext w:val="0"/>
              <w:keepLines w:val="0"/>
              <w:pageBreakBefore w:val="0"/>
              <w:widowControl w:val="0"/>
              <w:kinsoku/>
              <w:overflowPunct/>
              <w:topLinePunct w:val="0"/>
              <w:autoSpaceDE/>
              <w:autoSpaceDN/>
              <w:bidi w:val="0"/>
              <w:ind w:firstLine="420" w:firstLineChars="200"/>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深海拥有丰富的油气资源、矿产资源和渔业资源，是国家能源安全和经济发展的重要保障。深圳作为紧邻南海的超大城市，具备得天独厚的地理优势，能够高效开展深海资源勘探和开发。深海科技研发不仅关乎资源开发，更是维护国家海洋主权和海洋权益的关键手段。深海科技往往涉及多学科交叉融合，组建深海科技联盟成为成为深圳整合优质资源、推动协同创新，承接国家深海战略的重要抓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93" w:type="dxa"/>
          <w:trHeight w:val="600" w:hRule="atLeast"/>
          <w:jc w:val="center"/>
        </w:trPr>
        <w:tc>
          <w:tcPr>
            <w:tcW w:w="1131" w:type="dxa"/>
            <w:shd w:val="clear" w:color="auto" w:fill="auto"/>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项目前期设计、规划论证单位</w:t>
            </w:r>
          </w:p>
        </w:tc>
        <w:tc>
          <w:tcPr>
            <w:tcW w:w="7836" w:type="dxa"/>
            <w:gridSpan w:val="9"/>
            <w:shd w:val="clear" w:color="auto" w:fill="auto"/>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szCs w:val="21"/>
                <w:highlight w:val="none"/>
                <w:lang w:eastAsia="zh-CN"/>
              </w:rPr>
            </w:pPr>
            <w:r>
              <w:rPr>
                <w:rFonts w:hint="eastAsia" w:ascii="仿宋" w:hAnsi="仿宋" w:eastAsia="仿宋" w:cs="仿宋"/>
                <w:b w:val="0"/>
                <w:bCs/>
                <w:color w:val="000000"/>
                <w:szCs w:val="21"/>
                <w:highlight w:val="none"/>
                <w:lang w:eastAsia="zh-CN"/>
              </w:rPr>
              <w:t>无</w:t>
            </w:r>
            <w:bookmarkStart w:id="4" w:name="_GoBack"/>
            <w:bookmarkEnd w:id="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93" w:type="dxa"/>
          <w:trHeight w:val="652" w:hRule="atLeast"/>
          <w:jc w:val="center"/>
        </w:trPr>
        <w:tc>
          <w:tcPr>
            <w:tcW w:w="1131" w:type="dxa"/>
            <w:shd w:val="clear" w:color="auto" w:fill="auto"/>
            <w:noWrap w:val="0"/>
            <w:vAlign w:val="center"/>
          </w:tcPr>
          <w:p>
            <w:pPr>
              <w:keepNext w:val="0"/>
              <w:keepLines w:val="0"/>
              <w:pageBreakBefore w:val="0"/>
              <w:widowControl w:val="0"/>
              <w:kinsoku/>
              <w:overflowPunct/>
              <w:topLinePunct w:val="0"/>
              <w:autoSpaceDE/>
              <w:autoSpaceDN/>
              <w:bidi w:val="0"/>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kern w:val="0"/>
                <w:szCs w:val="21"/>
                <w:highlight w:val="none"/>
              </w:rPr>
              <w:t>投标人资质要求</w:t>
            </w:r>
          </w:p>
        </w:tc>
        <w:tc>
          <w:tcPr>
            <w:tcW w:w="7836" w:type="dxa"/>
            <w:gridSpan w:val="9"/>
            <w:shd w:val="clear" w:color="auto" w:fill="auto"/>
            <w:noWrap w:val="0"/>
            <w:vAlign w:val="top"/>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kern w:val="0"/>
                <w:szCs w:val="21"/>
                <w:highlight w:val="none"/>
              </w:rPr>
            </w:pPr>
            <w:r>
              <w:rPr>
                <w:rFonts w:hint="eastAsia" w:ascii="仿宋" w:hAnsi="仿宋" w:eastAsia="仿宋" w:cs="仿宋"/>
                <w:b w:val="0"/>
                <w:bCs/>
                <w:color w:val="000000"/>
                <w:szCs w:val="21"/>
                <w:highlight w:val="none"/>
                <w:lang w:eastAsia="zh-CN"/>
              </w:rPr>
              <w:t>1.投标人须为在中华人民共和国境内注册的</w:t>
            </w:r>
            <w:r>
              <w:rPr>
                <w:rFonts w:hint="eastAsia" w:ascii="仿宋" w:hAnsi="仿宋" w:eastAsia="仿宋" w:cs="仿宋"/>
                <w:b w:val="0"/>
                <w:bCs/>
                <w:color w:val="000000"/>
                <w:kern w:val="0"/>
                <w:szCs w:val="21"/>
                <w:highlight w:val="none"/>
              </w:rPr>
              <w:t>具有</w:t>
            </w:r>
            <w:r>
              <w:rPr>
                <w:rFonts w:hint="eastAsia" w:ascii="仿宋" w:hAnsi="仿宋" w:eastAsia="仿宋" w:cs="仿宋"/>
                <w:b w:val="0"/>
                <w:bCs/>
                <w:color w:val="000000"/>
                <w:kern w:val="0"/>
                <w:szCs w:val="21"/>
                <w:highlight w:val="none"/>
                <w:lang w:eastAsia="zh-CN"/>
              </w:rPr>
              <w:t>合法经营资格的</w:t>
            </w:r>
            <w:r>
              <w:rPr>
                <w:rFonts w:hint="eastAsia" w:ascii="仿宋" w:hAnsi="仿宋" w:eastAsia="仿宋" w:cs="仿宋"/>
                <w:b w:val="0"/>
                <w:bCs/>
                <w:color w:val="000000"/>
                <w:kern w:val="0"/>
                <w:szCs w:val="21"/>
                <w:highlight w:val="none"/>
              </w:rPr>
              <w:t>独立法人</w:t>
            </w:r>
            <w:r>
              <w:rPr>
                <w:rFonts w:hint="eastAsia" w:ascii="仿宋" w:hAnsi="仿宋" w:eastAsia="仿宋" w:cs="仿宋"/>
                <w:b w:val="0"/>
                <w:bCs/>
                <w:color w:val="000000"/>
                <w:kern w:val="0"/>
                <w:szCs w:val="21"/>
                <w:highlight w:val="none"/>
                <w:lang w:val="en-US" w:eastAsia="zh-CN"/>
              </w:rPr>
              <w:t>或其他组织（提供营业执照或法人、负责人等证明扫描件，原件备查）</w:t>
            </w:r>
            <w:r>
              <w:rPr>
                <w:rFonts w:hint="eastAsia" w:ascii="仿宋" w:hAnsi="仿宋" w:eastAsia="仿宋" w:cs="仿宋"/>
                <w:b w:val="0"/>
                <w:bCs/>
                <w:color w:val="000000"/>
                <w:kern w:val="0"/>
                <w:szCs w:val="21"/>
                <w:highlight w:val="none"/>
              </w:rPr>
              <w:t>；</w:t>
            </w:r>
          </w:p>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kern w:val="0"/>
                <w:szCs w:val="21"/>
                <w:highlight w:val="none"/>
              </w:rPr>
            </w:pPr>
            <w:r>
              <w:rPr>
                <w:rFonts w:hint="eastAsia" w:ascii="仿宋" w:hAnsi="仿宋" w:eastAsia="仿宋" w:cs="仿宋"/>
                <w:b w:val="0"/>
                <w:bCs/>
                <w:color w:val="000000"/>
                <w:szCs w:val="21"/>
                <w:highlight w:val="none"/>
                <w:lang w:val="en-US" w:eastAsia="zh-CN"/>
              </w:rPr>
              <w:t>2.</w:t>
            </w:r>
            <w:r>
              <w:rPr>
                <w:rFonts w:hint="eastAsia" w:ascii="仿宋" w:hAnsi="仿宋" w:eastAsia="仿宋" w:cs="仿宋"/>
                <w:b w:val="0"/>
                <w:bCs/>
                <w:color w:val="000000"/>
                <w:kern w:val="0"/>
                <w:szCs w:val="21"/>
                <w:highlight w:val="none"/>
              </w:rPr>
              <w:t>本项目不接受联合体投标，不允许</w:t>
            </w:r>
            <w:r>
              <w:rPr>
                <w:rFonts w:hint="eastAsia" w:ascii="仿宋" w:hAnsi="仿宋" w:eastAsia="仿宋" w:cs="仿宋"/>
                <w:b w:val="0"/>
                <w:bCs/>
                <w:color w:val="000000"/>
                <w:kern w:val="0"/>
                <w:szCs w:val="21"/>
                <w:highlight w:val="none"/>
                <w:lang w:val="en-US" w:eastAsia="zh-CN"/>
              </w:rPr>
              <w:t>转包和非法（未经采购方同意的）</w:t>
            </w:r>
            <w:r>
              <w:rPr>
                <w:rFonts w:hint="eastAsia" w:ascii="仿宋" w:hAnsi="仿宋" w:eastAsia="仿宋" w:cs="仿宋"/>
                <w:b w:val="0"/>
                <w:bCs/>
                <w:color w:val="000000"/>
                <w:kern w:val="0"/>
                <w:szCs w:val="21"/>
                <w:highlight w:val="none"/>
              </w:rPr>
              <w:t>分包。</w:t>
            </w:r>
          </w:p>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kern w:val="0"/>
                <w:szCs w:val="21"/>
                <w:highlight w:val="none"/>
              </w:rPr>
            </w:pPr>
            <w:r>
              <w:rPr>
                <w:rFonts w:hint="eastAsia" w:ascii="仿宋" w:hAnsi="仿宋" w:eastAsia="仿宋" w:cs="仿宋"/>
                <w:b w:val="0"/>
                <w:bCs/>
                <w:color w:val="000000"/>
                <w:szCs w:val="21"/>
                <w:highlight w:val="none"/>
                <w:lang w:val="en-US" w:eastAsia="zh-CN"/>
              </w:rPr>
              <w:t>3.参与本项目采购活动前三年内，在经营活动中没有重大违法记录（须按本项目投标文件格式要求提供《政府采购投标及履约承诺函》加盖投标人公章）。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3" w:type="dxa"/>
          <w:trHeight w:val="90" w:hRule="atLeast"/>
          <w:jc w:val="center"/>
        </w:trPr>
        <w:tc>
          <w:tcPr>
            <w:tcW w:w="1131" w:type="dxa"/>
            <w:shd w:val="clear" w:color="auto" w:fill="auto"/>
            <w:noWrap w:val="0"/>
            <w:vAlign w:val="center"/>
          </w:tcPr>
          <w:p>
            <w:pPr>
              <w:keepNext w:val="0"/>
              <w:keepLines w:val="0"/>
              <w:pageBreakBefore w:val="0"/>
              <w:widowControl w:val="0"/>
              <w:kinsoku/>
              <w:overflowPunct/>
              <w:topLinePunct w:val="0"/>
              <w:autoSpaceDE/>
              <w:autoSpaceDN/>
              <w:bidi w:val="0"/>
              <w:jc w:val="center"/>
              <w:rPr>
                <w:rFonts w:hint="eastAsia" w:ascii="仿宋" w:hAnsi="仿宋" w:eastAsia="仿宋" w:cs="仿宋"/>
                <w:b w:val="0"/>
                <w:bCs/>
                <w:color w:val="000000"/>
                <w:kern w:val="0"/>
                <w:szCs w:val="21"/>
                <w:highlight w:val="none"/>
              </w:rPr>
            </w:pPr>
            <w:r>
              <w:rPr>
                <w:rFonts w:hint="eastAsia" w:ascii="仿宋" w:hAnsi="仿宋" w:eastAsia="仿宋" w:cs="仿宋"/>
                <w:b w:val="0"/>
                <w:bCs/>
                <w:color w:val="000000"/>
                <w:szCs w:val="21"/>
                <w:highlight w:val="none"/>
              </w:rPr>
              <w:t>需求内容</w:t>
            </w:r>
          </w:p>
        </w:tc>
        <w:tc>
          <w:tcPr>
            <w:tcW w:w="7836" w:type="dxa"/>
            <w:gridSpan w:val="9"/>
            <w:shd w:val="clear" w:color="auto" w:fill="auto"/>
            <w:noWrap w:val="0"/>
            <w:vAlign w:val="top"/>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szCs w:val="21"/>
                <w:highlight w:val="none"/>
                <w:lang w:eastAsia="zh-CN"/>
              </w:rPr>
            </w:pPr>
            <w:r>
              <w:rPr>
                <w:rFonts w:hint="eastAsia" w:ascii="仿宋" w:hAnsi="仿宋" w:eastAsia="仿宋" w:cs="仿宋"/>
                <w:b w:val="0"/>
                <w:bCs/>
                <w:color w:val="000000"/>
                <w:szCs w:val="21"/>
                <w:highlight w:val="none"/>
              </w:rPr>
              <w:t>*</w:t>
            </w:r>
            <w:r>
              <w:rPr>
                <w:rFonts w:hint="eastAsia" w:ascii="仿宋" w:hAnsi="仿宋" w:eastAsia="仿宋" w:cs="仿宋"/>
                <w:b w:val="0"/>
                <w:bCs/>
                <w:color w:val="000000"/>
                <w:szCs w:val="21"/>
                <w:highlight w:val="none"/>
                <w:lang w:eastAsia="zh-CN"/>
              </w:rPr>
              <w:t>1.</w:t>
            </w:r>
            <w:r>
              <w:rPr>
                <w:rFonts w:hint="eastAsia" w:ascii="仿宋" w:hAnsi="仿宋" w:eastAsia="仿宋" w:cs="仿宋"/>
                <w:b w:val="0"/>
                <w:bCs/>
                <w:color w:val="000000"/>
                <w:szCs w:val="21"/>
                <w:highlight w:val="none"/>
              </w:rPr>
              <w:t>报价要求</w:t>
            </w:r>
            <w:r>
              <w:rPr>
                <w:rFonts w:hint="eastAsia" w:ascii="仿宋" w:hAnsi="仿宋" w:eastAsia="仿宋" w:cs="仿宋"/>
                <w:b w:val="0"/>
                <w:bCs/>
                <w:color w:val="000000"/>
                <w:szCs w:val="21"/>
                <w:highlight w:val="none"/>
                <w:lang w:eastAsia="zh-CN"/>
              </w:rPr>
              <w:t>：报价不得超过项目预算金额；本项目服务费采用包干制，应包括服务成本、法定税费和企业的利润。由投标供应商根据采购文件所提供的资料自行测算投标报价；一经中标，报价总价作为中标供应商与采购人签定的合同金额，合同期限内不做调整；投标供应商应当根据本企业的成本自行决定报价，但不得以低于其企业成本的报价投标。</w:t>
            </w:r>
          </w:p>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szCs w:val="21"/>
                <w:highlight w:val="none"/>
                <w:lang w:eastAsia="zh-CN"/>
              </w:rPr>
            </w:pPr>
            <w:r>
              <w:rPr>
                <w:rFonts w:hint="eastAsia" w:ascii="仿宋" w:hAnsi="仿宋" w:eastAsia="仿宋" w:cs="仿宋"/>
                <w:b w:val="0"/>
                <w:bCs/>
                <w:color w:val="000000"/>
                <w:szCs w:val="21"/>
                <w:highlight w:val="none"/>
              </w:rPr>
              <w:t>*2、付款方式</w:t>
            </w:r>
            <w:r>
              <w:rPr>
                <w:rFonts w:hint="eastAsia" w:ascii="仿宋" w:hAnsi="仿宋" w:eastAsia="仿宋" w:cs="仿宋"/>
                <w:b w:val="0"/>
                <w:bCs/>
                <w:color w:val="000000"/>
                <w:szCs w:val="21"/>
                <w:highlight w:val="none"/>
                <w:lang w:eastAsia="zh-CN"/>
              </w:rPr>
              <w:t>：按合同约定付款。</w:t>
            </w:r>
          </w:p>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szCs w:val="21"/>
                <w:highlight w:val="none"/>
                <w:lang w:eastAsia="zh-CN"/>
              </w:rPr>
            </w:pPr>
            <w:r>
              <w:rPr>
                <w:rFonts w:hint="eastAsia" w:ascii="仿宋" w:hAnsi="仿宋" w:eastAsia="仿宋" w:cs="仿宋"/>
                <w:b w:val="0"/>
                <w:bCs/>
                <w:color w:val="000000"/>
                <w:szCs w:val="21"/>
                <w:highlight w:val="none"/>
              </w:rPr>
              <w:t>*3、履约保证金</w:t>
            </w:r>
            <w:r>
              <w:rPr>
                <w:rFonts w:hint="eastAsia" w:ascii="仿宋" w:hAnsi="仿宋" w:eastAsia="仿宋" w:cs="仿宋"/>
                <w:b w:val="0"/>
                <w:bCs/>
                <w:color w:val="000000"/>
                <w:szCs w:val="21"/>
                <w:highlight w:val="none"/>
                <w:lang w:eastAsia="zh-CN"/>
              </w:rPr>
              <w:t>：无。</w:t>
            </w:r>
          </w:p>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szCs w:val="21"/>
                <w:highlight w:val="none"/>
                <w:lang w:eastAsia="zh-CN"/>
              </w:rPr>
            </w:pPr>
            <w:r>
              <w:rPr>
                <w:rFonts w:hint="eastAsia" w:ascii="仿宋" w:hAnsi="仿宋" w:eastAsia="仿宋" w:cs="仿宋"/>
                <w:b w:val="0"/>
                <w:bCs/>
                <w:color w:val="000000"/>
                <w:szCs w:val="21"/>
                <w:highlight w:val="none"/>
              </w:rPr>
              <w:t>*4、违约责任</w:t>
            </w:r>
            <w:r>
              <w:rPr>
                <w:rFonts w:hint="eastAsia" w:ascii="仿宋" w:hAnsi="仿宋" w:eastAsia="仿宋" w:cs="仿宋"/>
                <w:b w:val="0"/>
                <w:bCs/>
                <w:color w:val="000000"/>
                <w:szCs w:val="21"/>
                <w:highlight w:val="none"/>
                <w:lang w:eastAsia="zh-CN"/>
              </w:rPr>
              <w:t>：任何一方不履行合同义务或者履行合同义务不符合约定条件的，应当承担继续履行、采取补救措施或者赔偿损失等违约责任；合同生效后，任何一方无正当理由解除合同或不按期履行合同时，应向对方支付合同款10%的违约金；因中标方原因未按合同期限提交技术咨询成果，超过30日以上，甲方有权解除合同。</w:t>
            </w:r>
          </w:p>
          <w:p>
            <w:pPr>
              <w:keepNext w:val="0"/>
              <w:keepLines w:val="0"/>
              <w:pageBreakBefore w:val="0"/>
              <w:widowControl w:val="0"/>
              <w:kinsoku/>
              <w:overflowPunct/>
              <w:topLinePunct w:val="0"/>
              <w:autoSpaceDE/>
              <w:autoSpaceDN/>
              <w:bidi w:val="0"/>
              <w:jc w:val="left"/>
              <w:rPr>
                <w:rFonts w:hint="eastAsia"/>
                <w:b w:val="0"/>
                <w:bCs/>
                <w:highlight w:val="none"/>
              </w:rPr>
            </w:pPr>
            <w:r>
              <w:rPr>
                <w:rFonts w:hint="eastAsia" w:ascii="仿宋" w:hAnsi="仿宋" w:eastAsia="仿宋" w:cs="仿宋"/>
                <w:b w:val="0"/>
                <w:bCs/>
                <w:color w:val="000000"/>
                <w:szCs w:val="21"/>
                <w:highlight w:val="none"/>
              </w:rPr>
              <w:t>*5、服务质量监督和项目验收要求</w:t>
            </w:r>
            <w:r>
              <w:rPr>
                <w:rFonts w:hint="eastAsia" w:ascii="仿宋" w:hAnsi="仿宋" w:eastAsia="仿宋" w:cs="仿宋"/>
                <w:b w:val="0"/>
                <w:bCs/>
                <w:color w:val="000000"/>
                <w:szCs w:val="21"/>
                <w:highlight w:val="none"/>
                <w:lang w:eastAsia="zh-CN"/>
              </w:rPr>
              <w:t>：</w:t>
            </w:r>
            <w:r>
              <w:rPr>
                <w:rFonts w:hint="eastAsia" w:ascii="仿宋" w:hAnsi="仿宋" w:eastAsia="仿宋" w:cs="仿宋"/>
                <w:b w:val="0"/>
                <w:bCs/>
                <w:color w:val="000000"/>
                <w:szCs w:val="21"/>
                <w:highlight w:val="none"/>
              </w:rPr>
              <w:t>项目承担单位需按采购方的技术及时间要求，完成相应工作成果并全部提交后，采购方将进行项目验收。项目成果均应通过深圳市海洋发展局专题会议审查及验收。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3" w:type="dxa"/>
          <w:trHeight w:val="1548" w:hRule="atLeast"/>
          <w:jc w:val="center"/>
        </w:trPr>
        <w:tc>
          <w:tcPr>
            <w:tcW w:w="1131" w:type="dxa"/>
            <w:shd w:val="clear" w:color="auto" w:fill="auto"/>
            <w:noWrap w:val="0"/>
            <w:vAlign w:val="center"/>
          </w:tcPr>
          <w:p>
            <w:pPr>
              <w:keepNext w:val="0"/>
              <w:keepLines w:val="0"/>
              <w:pageBreakBefore w:val="0"/>
              <w:widowControl w:val="0"/>
              <w:kinsoku/>
              <w:overflowPunct/>
              <w:topLinePunct w:val="0"/>
              <w:autoSpaceDE/>
              <w:autoSpaceDN/>
              <w:bidi w:val="0"/>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具体技术要求</w:t>
            </w:r>
          </w:p>
        </w:tc>
        <w:tc>
          <w:tcPr>
            <w:tcW w:w="7836" w:type="dxa"/>
            <w:gridSpan w:val="9"/>
            <w:shd w:val="clear" w:color="auto" w:fill="auto"/>
            <w:noWrap w:val="0"/>
            <w:vAlign w:val="top"/>
          </w:tcPr>
          <w:p>
            <w:pPr>
              <w:keepNext w:val="0"/>
              <w:keepLines w:val="0"/>
              <w:pageBreakBefore w:val="0"/>
              <w:widowControl w:val="0"/>
              <w:kinsoku/>
              <w:overflowPunct/>
              <w:topLinePunct w:val="0"/>
              <w:autoSpaceDE/>
              <w:autoSpaceDN/>
              <w:bidi w:val="0"/>
              <w:ind w:firstLine="420" w:firstLineChars="200"/>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为确保本项目投标工作管理规范、实施有力，投标人应成立项目组，按采购人要求完成技术服务工作。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93" w:type="dxa"/>
          <w:trHeight w:val="3537" w:hRule="atLeast"/>
          <w:jc w:val="center"/>
        </w:trPr>
        <w:tc>
          <w:tcPr>
            <w:tcW w:w="1131" w:type="dxa"/>
            <w:shd w:val="clear" w:color="auto" w:fill="auto"/>
            <w:noWrap w:val="0"/>
            <w:vAlign w:val="top"/>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kern w:val="0"/>
                <w:szCs w:val="21"/>
                <w:highlight w:val="none"/>
              </w:rPr>
            </w:pPr>
            <w:r>
              <w:rPr>
                <w:rFonts w:hint="eastAsia" w:ascii="仿宋" w:hAnsi="仿宋" w:eastAsia="仿宋" w:cs="仿宋"/>
                <w:b w:val="0"/>
                <w:bCs/>
                <w:color w:val="000000"/>
                <w:kern w:val="0"/>
                <w:szCs w:val="21"/>
                <w:highlight w:val="none"/>
              </w:rPr>
              <w:t>商务需求</w:t>
            </w:r>
          </w:p>
        </w:tc>
        <w:tc>
          <w:tcPr>
            <w:tcW w:w="7836" w:type="dxa"/>
            <w:gridSpan w:val="9"/>
            <w:shd w:val="clear" w:color="auto" w:fill="auto"/>
            <w:noWrap w:val="0"/>
            <w:vAlign w:val="top"/>
          </w:tcPr>
          <w:p>
            <w:pPr>
              <w:keepNext w:val="0"/>
              <w:keepLines w:val="0"/>
              <w:pageBreakBefore w:val="0"/>
              <w:widowControl w:val="0"/>
              <w:kinsoku/>
              <w:overflowPunct/>
              <w:topLinePunct w:val="0"/>
              <w:autoSpaceDE/>
              <w:autoSpaceDN/>
              <w:bidi w:val="0"/>
              <w:ind w:firstLine="420" w:firstLineChars="200"/>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lang w:eastAsia="zh-CN"/>
              </w:rPr>
              <w:t>1.</w:t>
            </w:r>
            <w:r>
              <w:rPr>
                <w:rFonts w:hint="eastAsia" w:ascii="仿宋" w:hAnsi="仿宋" w:eastAsia="仿宋" w:cs="仿宋"/>
                <w:b w:val="0"/>
                <w:bCs/>
                <w:color w:val="000000"/>
                <w:szCs w:val="21"/>
                <w:highlight w:val="none"/>
              </w:rPr>
              <w:t>项目概况</w:t>
            </w:r>
          </w:p>
          <w:p>
            <w:pPr>
              <w:keepNext w:val="0"/>
              <w:keepLines w:val="0"/>
              <w:pageBreakBefore w:val="0"/>
              <w:widowControl w:val="0"/>
              <w:kinsoku/>
              <w:overflowPunct/>
              <w:topLinePunct w:val="0"/>
              <w:autoSpaceDE/>
              <w:autoSpaceDN/>
              <w:bidi w:val="0"/>
              <w:ind w:firstLine="420" w:firstLineChars="200"/>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为落实国家海洋强国战略和《自然资源部 国家林业和草原局关于支持深圳进一步全面深化自然资源领域改革的若干措施》等文件要求，推动深海科技创新力量向深圳集聚，助力全球海洋中心城市建设，通过组建深海科技创新联盟，整合国内深海科研资源，引导社会力量和市场主体参与深海开发与保护，提升深海科技整体创新能力。</w:t>
            </w:r>
          </w:p>
          <w:p>
            <w:pPr>
              <w:keepNext w:val="0"/>
              <w:keepLines w:val="0"/>
              <w:pageBreakBefore w:val="0"/>
              <w:widowControl w:val="0"/>
              <w:kinsoku/>
              <w:overflowPunct/>
              <w:topLinePunct w:val="0"/>
              <w:autoSpaceDE/>
              <w:autoSpaceDN/>
              <w:bidi w:val="0"/>
              <w:ind w:firstLine="420" w:firstLineChars="200"/>
              <w:jc w:val="left"/>
              <w:rPr>
                <w:rFonts w:hint="eastAsia" w:ascii="仿宋" w:hAnsi="仿宋" w:eastAsia="仿宋" w:cs="仿宋"/>
                <w:b w:val="0"/>
                <w:bCs/>
                <w:color w:val="000000"/>
                <w:szCs w:val="21"/>
                <w:highlight w:val="none"/>
                <w:lang w:eastAsia="zh-CN"/>
              </w:rPr>
            </w:pPr>
            <w:r>
              <w:rPr>
                <w:rFonts w:hint="eastAsia" w:ascii="仿宋" w:hAnsi="仿宋" w:eastAsia="仿宋" w:cs="仿宋"/>
                <w:b w:val="0"/>
                <w:bCs/>
                <w:color w:val="000000"/>
                <w:szCs w:val="21"/>
                <w:highlight w:val="none"/>
                <w:lang w:eastAsia="zh-CN"/>
              </w:rPr>
              <w:t>通过组建深海科技创新联盟或细分领域创新联盟，整合国内深海科研资源，提升全市在深海科技领域的整体创新能力。</w:t>
            </w:r>
          </w:p>
          <w:p>
            <w:pPr>
              <w:keepNext w:val="0"/>
              <w:keepLines w:val="0"/>
              <w:pageBreakBefore w:val="0"/>
              <w:widowControl w:val="0"/>
              <w:kinsoku/>
              <w:overflowPunct/>
              <w:topLinePunct w:val="0"/>
              <w:autoSpaceDE/>
              <w:autoSpaceDN/>
              <w:bidi w:val="0"/>
              <w:ind w:firstLine="420" w:firstLineChars="200"/>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lang w:eastAsia="zh-CN"/>
              </w:rPr>
              <w:t>2.</w:t>
            </w:r>
            <w:r>
              <w:rPr>
                <w:rFonts w:hint="eastAsia" w:ascii="仿宋" w:hAnsi="仿宋" w:eastAsia="仿宋" w:cs="仿宋"/>
                <w:b w:val="0"/>
                <w:bCs/>
                <w:color w:val="000000"/>
                <w:szCs w:val="21"/>
                <w:highlight w:val="none"/>
              </w:rPr>
              <w:t>项目所依据及参考的标准</w:t>
            </w:r>
          </w:p>
          <w:p>
            <w:pPr>
              <w:keepNext w:val="0"/>
              <w:keepLines w:val="0"/>
              <w:pageBreakBefore w:val="0"/>
              <w:widowControl w:val="0"/>
              <w:kinsoku/>
              <w:overflowPunct/>
              <w:topLinePunct w:val="0"/>
              <w:autoSpaceDE/>
              <w:autoSpaceDN/>
              <w:bidi w:val="0"/>
              <w:ind w:firstLine="420" w:firstLineChars="200"/>
              <w:jc w:val="left"/>
              <w:rPr>
                <w:rFonts w:hint="eastAsia" w:ascii="仿宋" w:hAnsi="仿宋" w:eastAsia="仿宋" w:cs="仿宋"/>
                <w:b w:val="0"/>
                <w:bCs/>
                <w:color w:val="000000"/>
                <w:szCs w:val="21"/>
                <w:highlight w:val="none"/>
                <w:lang w:eastAsia="zh-CN"/>
              </w:rPr>
            </w:pPr>
            <w:r>
              <w:rPr>
                <w:rFonts w:hint="eastAsia" w:ascii="仿宋" w:hAnsi="仿宋" w:eastAsia="仿宋" w:cs="仿宋"/>
                <w:b w:val="0"/>
                <w:bCs/>
                <w:color w:val="000000"/>
                <w:szCs w:val="21"/>
                <w:highlight w:val="none"/>
              </w:rPr>
              <w:t>《自然资源部</w:t>
            </w:r>
            <w:r>
              <w:rPr>
                <w:rFonts w:hint="eastAsia" w:ascii="仿宋" w:hAnsi="仿宋" w:eastAsia="仿宋" w:cs="仿宋"/>
                <w:b w:val="0"/>
                <w:bCs/>
                <w:color w:val="000000"/>
                <w:szCs w:val="21"/>
                <w:highlight w:val="none"/>
                <w:lang w:val="en-US" w:eastAsia="zh-CN"/>
              </w:rPr>
              <w:t xml:space="preserve"> 国家林业和草原局关于支持深圳进一步全面深化自然资源领域改革的若干措施</w:t>
            </w:r>
            <w:r>
              <w:rPr>
                <w:rFonts w:hint="eastAsia" w:ascii="仿宋" w:hAnsi="仿宋" w:eastAsia="仿宋" w:cs="仿宋"/>
                <w:b w:val="0"/>
                <w:bCs/>
                <w:color w:val="000000"/>
                <w:szCs w:val="21"/>
                <w:highlight w:val="none"/>
              </w:rPr>
              <w:t>》</w:t>
            </w:r>
            <w:r>
              <w:rPr>
                <w:rFonts w:hint="eastAsia" w:ascii="仿宋" w:hAnsi="仿宋" w:eastAsia="仿宋" w:cs="仿宋"/>
                <w:b w:val="0"/>
                <w:bCs/>
                <w:color w:val="000000"/>
                <w:szCs w:val="21"/>
                <w:highlight w:val="none"/>
                <w:lang w:eastAsia="zh-CN"/>
              </w:rPr>
              <w:t>提出支持深圳建设全球海洋中心城市，明确支持引入部科技创新优势力量、深圳参与国家重大科技研发攻关、国家级创新平台载体建设、国际科技交流合作等事项。</w:t>
            </w:r>
          </w:p>
          <w:p>
            <w:pPr>
              <w:keepNext w:val="0"/>
              <w:keepLines w:val="0"/>
              <w:pageBreakBefore w:val="0"/>
              <w:widowControl w:val="0"/>
              <w:kinsoku/>
              <w:overflowPunct/>
              <w:topLinePunct w:val="0"/>
              <w:autoSpaceDE/>
              <w:autoSpaceDN/>
              <w:bidi w:val="0"/>
              <w:ind w:firstLine="420" w:firstLineChars="200"/>
              <w:jc w:val="left"/>
              <w:rPr>
                <w:rFonts w:hint="eastAsia" w:ascii="仿宋" w:hAnsi="仿宋" w:eastAsia="仿宋" w:cs="仿宋"/>
                <w:b w:val="0"/>
                <w:bCs/>
                <w:color w:val="000000"/>
                <w:szCs w:val="21"/>
                <w:highlight w:val="none"/>
                <w:lang w:eastAsia="zh-CN"/>
              </w:rPr>
            </w:pPr>
            <w:r>
              <w:rPr>
                <w:rFonts w:hint="eastAsia" w:ascii="仿宋" w:hAnsi="仿宋" w:eastAsia="仿宋" w:cs="仿宋"/>
                <w:b w:val="0"/>
                <w:bCs/>
                <w:color w:val="000000"/>
                <w:szCs w:val="21"/>
                <w:highlight w:val="none"/>
                <w:lang w:eastAsia="zh-CN"/>
              </w:rPr>
              <w:t>《深圳市海洋发展规划（2023-2035年）》提出支持组建各类涉海行业协会、商会、联盟等，积极引导社会力量和市场主体参与海洋经济发展。</w:t>
            </w:r>
          </w:p>
          <w:p>
            <w:pPr>
              <w:keepNext w:val="0"/>
              <w:keepLines w:val="0"/>
              <w:pageBreakBefore w:val="0"/>
              <w:widowControl w:val="0"/>
              <w:kinsoku/>
              <w:overflowPunct/>
              <w:topLinePunct w:val="0"/>
              <w:autoSpaceDE/>
              <w:autoSpaceDN/>
              <w:bidi w:val="0"/>
              <w:ind w:firstLine="420" w:firstLineChars="200"/>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lang w:eastAsia="zh-CN"/>
              </w:rPr>
              <w:t>3.</w:t>
            </w:r>
            <w:r>
              <w:rPr>
                <w:rFonts w:hint="eastAsia" w:ascii="仿宋" w:hAnsi="仿宋" w:eastAsia="仿宋" w:cs="仿宋"/>
                <w:b w:val="0"/>
                <w:bCs/>
                <w:color w:val="000000"/>
                <w:szCs w:val="21"/>
                <w:highlight w:val="none"/>
              </w:rPr>
              <w:t>项目</w:t>
            </w:r>
            <w:r>
              <w:rPr>
                <w:rFonts w:hint="eastAsia" w:ascii="仿宋" w:hAnsi="仿宋" w:eastAsia="仿宋" w:cs="仿宋"/>
                <w:b w:val="0"/>
                <w:bCs/>
                <w:color w:val="000000"/>
                <w:szCs w:val="21"/>
                <w:highlight w:val="none"/>
                <w:lang w:val="en-US" w:eastAsia="zh-CN"/>
              </w:rPr>
              <w:t>服务</w:t>
            </w:r>
            <w:r>
              <w:rPr>
                <w:rFonts w:hint="eastAsia" w:ascii="仿宋" w:hAnsi="仿宋" w:eastAsia="仿宋" w:cs="仿宋"/>
                <w:b w:val="0"/>
                <w:bCs/>
                <w:color w:val="000000"/>
                <w:szCs w:val="21"/>
                <w:highlight w:val="none"/>
              </w:rPr>
              <w:t>范围（本次招标的项目范围，包括服务名称、服务地点、服务内容、服务要求等）</w:t>
            </w:r>
          </w:p>
          <w:p>
            <w:pPr>
              <w:ind w:firstLine="420" w:firstLineChars="200"/>
              <w:rPr>
                <w:rFonts w:hint="eastAsia" w:ascii="仿宋" w:hAnsi="仿宋" w:eastAsia="仿宋" w:cs="仿宋"/>
                <w:b w:val="0"/>
                <w:bCs/>
                <w:color w:val="000000" w:themeColor="text1"/>
                <w:szCs w:val="21"/>
                <w:highlight w:val="none"/>
                <w14:textFill>
                  <w14:solidFill>
                    <w14:schemeClr w14:val="tx1"/>
                  </w14:solidFill>
                </w14:textFill>
              </w:rPr>
            </w:pPr>
            <w:r>
              <w:rPr>
                <w:rFonts w:hint="eastAsia" w:ascii="仿宋" w:hAnsi="仿宋" w:eastAsia="仿宋" w:cs="仿宋"/>
                <w:b w:val="0"/>
                <w:bCs/>
                <w:color w:val="000000" w:themeColor="text1"/>
                <w:szCs w:val="21"/>
                <w:highlight w:val="none"/>
                <w14:textFill>
                  <w14:solidFill>
                    <w14:schemeClr w14:val="tx1"/>
                  </w14:solidFill>
                </w14:textFill>
              </w:rPr>
              <w:t>服务名称：</w:t>
            </w:r>
            <w:r>
              <w:rPr>
                <w:rFonts w:hint="eastAsia" w:ascii="仿宋" w:hAnsi="仿宋" w:eastAsia="仿宋" w:cs="仿宋"/>
                <w:b w:val="0"/>
                <w:bCs/>
                <w:color w:val="000000"/>
                <w:szCs w:val="21"/>
                <w:highlight w:val="none"/>
              </w:rPr>
              <w:t>组建深海科技创新联盟技术服</w:t>
            </w:r>
            <w:r>
              <w:rPr>
                <w:rFonts w:hint="eastAsia" w:ascii="仿宋" w:hAnsi="仿宋" w:eastAsia="仿宋" w:cs="仿宋"/>
                <w:b w:val="0"/>
                <w:bCs/>
                <w:color w:val="000000" w:themeColor="text1"/>
                <w:szCs w:val="21"/>
                <w:highlight w:val="none"/>
                <w14:textFill>
                  <w14:solidFill>
                    <w14:schemeClr w14:val="tx1"/>
                  </w14:solidFill>
                </w14:textFill>
              </w:rPr>
              <w:t>务</w:t>
            </w:r>
          </w:p>
          <w:p>
            <w:pPr>
              <w:ind w:firstLine="420" w:firstLineChars="200"/>
              <w:rPr>
                <w:rFonts w:hint="eastAsia" w:ascii="仿宋" w:hAnsi="仿宋" w:eastAsia="仿宋" w:cs="仿宋"/>
                <w:b w:val="0"/>
                <w:bCs/>
                <w:color w:val="000000" w:themeColor="text1"/>
                <w:szCs w:val="21"/>
                <w:highlight w:val="none"/>
                <w14:textFill>
                  <w14:solidFill>
                    <w14:schemeClr w14:val="tx1"/>
                  </w14:solidFill>
                </w14:textFill>
              </w:rPr>
            </w:pPr>
            <w:r>
              <w:rPr>
                <w:rFonts w:hint="eastAsia" w:ascii="仿宋" w:hAnsi="仿宋" w:eastAsia="仿宋" w:cs="仿宋"/>
                <w:b w:val="0"/>
                <w:bCs/>
                <w:color w:val="000000" w:themeColor="text1"/>
                <w:szCs w:val="21"/>
                <w:highlight w:val="none"/>
                <w14:textFill>
                  <w14:solidFill>
                    <w14:schemeClr w14:val="tx1"/>
                  </w14:solidFill>
                </w14:textFill>
              </w:rPr>
              <w:t>服务地点：深圳市</w:t>
            </w:r>
          </w:p>
          <w:p>
            <w:pPr>
              <w:ind w:firstLine="420" w:firstLineChars="200"/>
              <w:jc w:val="left"/>
              <w:rPr>
                <w:rFonts w:hint="eastAsia"/>
                <w:b w:val="0"/>
                <w:bCs/>
                <w:highlight w:val="none"/>
              </w:rPr>
            </w:pPr>
            <w:r>
              <w:rPr>
                <w:rFonts w:hint="eastAsia" w:ascii="仿宋" w:hAnsi="仿宋" w:eastAsia="仿宋" w:cs="仿宋"/>
                <w:b w:val="0"/>
                <w:bCs/>
                <w:color w:val="000000" w:themeColor="text1"/>
                <w:szCs w:val="21"/>
                <w:highlight w:val="none"/>
                <w14:textFill>
                  <w14:solidFill>
                    <w14:schemeClr w14:val="tx1"/>
                  </w14:solidFill>
                </w14:textFill>
              </w:rPr>
              <w:t>服务内容：开展</w:t>
            </w:r>
            <w:r>
              <w:rPr>
                <w:rFonts w:hint="eastAsia" w:ascii="仿宋" w:hAnsi="仿宋" w:eastAsia="仿宋" w:cs="仿宋"/>
                <w:b w:val="0"/>
                <w:bCs/>
                <w:color w:val="000000" w:themeColor="text1"/>
                <w:szCs w:val="21"/>
                <w:highlight w:val="none"/>
                <w:lang w:eastAsia="zh-CN"/>
                <w14:textFill>
                  <w14:solidFill>
                    <w14:schemeClr w14:val="tx1"/>
                  </w14:solidFill>
                </w14:textFill>
              </w:rPr>
              <w:t>组建深海科技创新联盟或细分领域创新联盟技术服务</w:t>
            </w:r>
            <w:r>
              <w:rPr>
                <w:rFonts w:hint="eastAsia" w:ascii="仿宋" w:hAnsi="仿宋" w:eastAsia="仿宋" w:cs="仿宋"/>
                <w:b w:val="0"/>
                <w:bCs/>
                <w:color w:val="000000" w:themeColor="text1"/>
                <w:szCs w:val="21"/>
                <w:highlight w:val="none"/>
                <w14:textFill>
                  <w14:solidFill>
                    <w14:schemeClr w14:val="tx1"/>
                  </w14:solidFill>
                </w14:textFill>
              </w:rPr>
              <w:t>。</w:t>
            </w:r>
          </w:p>
          <w:p>
            <w:pPr>
              <w:ind w:firstLine="420" w:firstLineChars="20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lang w:eastAsia="zh-CN"/>
              </w:rPr>
              <w:t>4.</w:t>
            </w:r>
            <w:r>
              <w:rPr>
                <w:rFonts w:hint="eastAsia" w:ascii="仿宋" w:hAnsi="仿宋" w:eastAsia="仿宋" w:cs="仿宋"/>
                <w:b w:val="0"/>
                <w:bCs/>
                <w:color w:val="000000"/>
                <w:szCs w:val="21"/>
                <w:highlight w:val="none"/>
              </w:rPr>
              <w:t>项目服务期限</w:t>
            </w:r>
          </w:p>
          <w:p>
            <w:pPr>
              <w:ind w:firstLine="420" w:firstLineChars="200"/>
              <w:rPr>
                <w:rFonts w:hint="eastAsia" w:ascii="仿宋" w:hAnsi="仿宋" w:eastAsia="仿宋" w:cs="仿宋"/>
                <w:b w:val="0"/>
                <w:bCs/>
                <w:color w:val="000000" w:themeColor="text1"/>
                <w:szCs w:val="21"/>
                <w:highlight w:val="none"/>
                <w14:textFill>
                  <w14:solidFill>
                    <w14:schemeClr w14:val="tx1"/>
                  </w14:solidFill>
                </w14:textFill>
              </w:rPr>
            </w:pPr>
            <w:r>
              <w:rPr>
                <w:rFonts w:hint="eastAsia" w:ascii="仿宋" w:hAnsi="仿宋" w:eastAsia="仿宋" w:cs="仿宋"/>
                <w:b w:val="0"/>
                <w:bCs/>
                <w:color w:val="000000" w:themeColor="text1"/>
                <w:szCs w:val="21"/>
                <w:highlight w:val="none"/>
                <w14:textFill>
                  <w14:solidFill>
                    <w14:schemeClr w14:val="tx1"/>
                  </w14:solidFill>
                </w14:textFill>
              </w:rPr>
              <w:t>自合同签订之日起</w:t>
            </w:r>
            <w:r>
              <w:rPr>
                <w:rFonts w:hint="eastAsia" w:ascii="仿宋" w:hAnsi="仿宋" w:eastAsia="仿宋" w:cs="仿宋"/>
                <w:b w:val="0"/>
                <w:bCs/>
                <w:color w:val="000000" w:themeColor="text1"/>
                <w:szCs w:val="21"/>
                <w:highlight w:val="none"/>
                <w:lang w:val="en-US" w:eastAsia="zh-CN"/>
                <w14:textFill>
                  <w14:solidFill>
                    <w14:schemeClr w14:val="tx1"/>
                  </w14:solidFill>
                </w14:textFill>
              </w:rPr>
              <w:t>3</w:t>
            </w:r>
            <w:r>
              <w:rPr>
                <w:rFonts w:hint="eastAsia" w:ascii="仿宋" w:hAnsi="仿宋" w:eastAsia="仿宋" w:cs="仿宋"/>
                <w:b w:val="0"/>
                <w:bCs/>
                <w:color w:val="000000" w:themeColor="text1"/>
                <w:szCs w:val="21"/>
                <w:highlight w:val="none"/>
                <w14:textFill>
                  <w14:solidFill>
                    <w14:schemeClr w14:val="tx1"/>
                  </w14:solidFill>
                </w14:textFill>
              </w:rPr>
              <w:t>个月。</w:t>
            </w:r>
          </w:p>
          <w:p>
            <w:pPr>
              <w:keepNext w:val="0"/>
              <w:keepLines w:val="0"/>
              <w:pageBreakBefore w:val="0"/>
              <w:widowControl w:val="0"/>
              <w:kinsoku/>
              <w:overflowPunct/>
              <w:topLinePunct w:val="0"/>
              <w:autoSpaceDE/>
              <w:autoSpaceDN/>
              <w:bidi w:val="0"/>
              <w:ind w:firstLine="420" w:firstLineChars="200"/>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lang w:eastAsia="zh-CN"/>
              </w:rPr>
              <w:t>5.</w:t>
            </w:r>
            <w:r>
              <w:rPr>
                <w:rFonts w:hint="eastAsia" w:ascii="仿宋" w:hAnsi="仿宋" w:eastAsia="仿宋" w:cs="仿宋"/>
                <w:b w:val="0"/>
                <w:bCs/>
                <w:color w:val="000000"/>
                <w:szCs w:val="21"/>
                <w:highlight w:val="none"/>
              </w:rPr>
              <w:t>组织实施要求</w:t>
            </w:r>
          </w:p>
          <w:p>
            <w:pPr>
              <w:widowControl/>
              <w:spacing w:line="360" w:lineRule="exact"/>
              <w:ind w:firstLine="420" w:firstLineChars="200"/>
              <w:rPr>
                <w:rFonts w:hint="eastAsia" w:ascii="仿宋" w:hAnsi="仿宋" w:eastAsia="仿宋" w:cs="宋体"/>
                <w:b w:val="0"/>
                <w:bCs/>
                <w:kern w:val="0"/>
                <w:szCs w:val="21"/>
                <w:highlight w:val="none"/>
              </w:rPr>
            </w:pPr>
            <w:r>
              <w:rPr>
                <w:rFonts w:hint="eastAsia" w:ascii="仿宋" w:hAnsi="仿宋" w:eastAsia="仿宋" w:cs="宋体"/>
                <w:b w:val="0"/>
                <w:bCs/>
                <w:kern w:val="0"/>
                <w:szCs w:val="21"/>
                <w:highlight w:val="none"/>
              </w:rPr>
              <w:t>（1）前期研究阶段（合同签订后</w:t>
            </w:r>
            <w:r>
              <w:rPr>
                <w:rFonts w:hint="eastAsia" w:ascii="仿宋" w:hAnsi="仿宋" w:eastAsia="仿宋" w:cs="宋体"/>
                <w:b w:val="0"/>
                <w:bCs/>
                <w:kern w:val="0"/>
                <w:szCs w:val="21"/>
                <w:highlight w:val="none"/>
                <w:lang w:val="en-US" w:eastAsia="zh-CN"/>
              </w:rPr>
              <w:t>15天</w:t>
            </w:r>
            <w:r>
              <w:rPr>
                <w:rFonts w:hint="eastAsia" w:ascii="仿宋" w:hAnsi="仿宋" w:eastAsia="仿宋" w:cs="宋体"/>
                <w:b w:val="0"/>
                <w:bCs/>
                <w:kern w:val="0"/>
                <w:szCs w:val="21"/>
                <w:highlight w:val="none"/>
              </w:rPr>
              <w:t>内）</w:t>
            </w:r>
          </w:p>
          <w:p>
            <w:pPr>
              <w:widowControl/>
              <w:spacing w:line="360" w:lineRule="exact"/>
              <w:ind w:firstLine="630" w:firstLineChars="300"/>
              <w:rPr>
                <w:rFonts w:hint="eastAsia" w:ascii="仿宋" w:hAnsi="仿宋" w:eastAsia="仿宋" w:cs="宋体"/>
                <w:b w:val="0"/>
                <w:bCs/>
                <w:kern w:val="0"/>
                <w:szCs w:val="21"/>
                <w:highlight w:val="none"/>
              </w:rPr>
            </w:pPr>
            <w:r>
              <w:rPr>
                <w:rFonts w:hint="eastAsia" w:ascii="仿宋" w:hAnsi="仿宋" w:eastAsia="仿宋" w:cs="宋体"/>
                <w:b w:val="0"/>
                <w:bCs/>
                <w:kern w:val="0"/>
                <w:szCs w:val="21"/>
                <w:highlight w:val="none"/>
              </w:rPr>
              <w:t>①资料收集整理</w:t>
            </w:r>
          </w:p>
          <w:p>
            <w:pPr>
              <w:widowControl/>
              <w:spacing w:line="360" w:lineRule="exact"/>
              <w:ind w:firstLine="630" w:firstLineChars="300"/>
              <w:rPr>
                <w:rFonts w:hint="eastAsia" w:ascii="仿宋" w:hAnsi="仿宋" w:eastAsia="仿宋" w:cs="宋体"/>
                <w:b w:val="0"/>
                <w:bCs/>
                <w:kern w:val="0"/>
                <w:szCs w:val="21"/>
                <w:highlight w:val="none"/>
              </w:rPr>
            </w:pPr>
            <w:r>
              <w:rPr>
                <w:rFonts w:hint="eastAsia" w:ascii="仿宋" w:hAnsi="仿宋" w:eastAsia="仿宋" w:cs="宋体"/>
                <w:b w:val="0"/>
                <w:bCs/>
                <w:kern w:val="0"/>
                <w:szCs w:val="21"/>
                <w:highlight w:val="none"/>
              </w:rPr>
              <w:t>②</w:t>
            </w:r>
            <w:r>
              <w:rPr>
                <w:rFonts w:hint="eastAsia" w:ascii="仿宋" w:hAnsi="仿宋" w:eastAsia="仿宋" w:cs="宋体"/>
                <w:b w:val="0"/>
                <w:bCs/>
                <w:kern w:val="0"/>
                <w:szCs w:val="21"/>
                <w:highlight w:val="none"/>
                <w:lang w:eastAsia="zh-CN"/>
              </w:rPr>
              <w:t>提出项目实施计划</w:t>
            </w:r>
            <w:r>
              <w:rPr>
                <w:rFonts w:hint="eastAsia" w:ascii="仿宋" w:hAnsi="仿宋" w:eastAsia="仿宋" w:cs="宋体"/>
                <w:b w:val="0"/>
                <w:bCs/>
                <w:kern w:val="0"/>
                <w:szCs w:val="21"/>
                <w:highlight w:val="none"/>
              </w:rPr>
              <w:t>；</w:t>
            </w:r>
          </w:p>
          <w:p>
            <w:pPr>
              <w:widowControl/>
              <w:spacing w:line="360" w:lineRule="exact"/>
              <w:ind w:firstLine="420" w:firstLineChars="200"/>
              <w:rPr>
                <w:rFonts w:hint="eastAsia" w:ascii="仿宋" w:hAnsi="仿宋" w:eastAsia="仿宋" w:cs="宋体"/>
                <w:b w:val="0"/>
                <w:bCs/>
                <w:kern w:val="0"/>
                <w:szCs w:val="21"/>
                <w:highlight w:val="none"/>
              </w:rPr>
            </w:pPr>
            <w:r>
              <w:rPr>
                <w:rFonts w:hint="eastAsia" w:ascii="仿宋" w:hAnsi="仿宋" w:eastAsia="仿宋" w:cs="宋体"/>
                <w:b w:val="0"/>
                <w:bCs/>
                <w:kern w:val="0"/>
                <w:szCs w:val="21"/>
                <w:highlight w:val="none"/>
              </w:rPr>
              <w:t>（</w:t>
            </w:r>
            <w:r>
              <w:rPr>
                <w:rFonts w:ascii="仿宋" w:hAnsi="仿宋" w:eastAsia="仿宋" w:cs="宋体"/>
                <w:b w:val="0"/>
                <w:bCs/>
                <w:kern w:val="0"/>
                <w:szCs w:val="21"/>
                <w:highlight w:val="none"/>
              </w:rPr>
              <w:t>2</w:t>
            </w:r>
            <w:r>
              <w:rPr>
                <w:rFonts w:hint="eastAsia" w:ascii="仿宋" w:hAnsi="仿宋" w:eastAsia="仿宋" w:cs="宋体"/>
                <w:b w:val="0"/>
                <w:bCs/>
                <w:kern w:val="0"/>
                <w:szCs w:val="21"/>
                <w:highlight w:val="none"/>
              </w:rPr>
              <w:t>）中期成果阶段（合同签订后</w:t>
            </w:r>
            <w:r>
              <w:rPr>
                <w:rFonts w:hint="eastAsia" w:ascii="仿宋" w:hAnsi="仿宋" w:eastAsia="仿宋" w:cs="宋体"/>
                <w:b w:val="0"/>
                <w:bCs/>
                <w:kern w:val="0"/>
                <w:szCs w:val="21"/>
                <w:highlight w:val="none"/>
                <w:lang w:val="en-US" w:eastAsia="zh-CN"/>
              </w:rPr>
              <w:t>2</w:t>
            </w:r>
            <w:r>
              <w:rPr>
                <w:rFonts w:hint="eastAsia" w:ascii="仿宋" w:hAnsi="仿宋" w:eastAsia="仿宋" w:cs="宋体"/>
                <w:b w:val="0"/>
                <w:bCs/>
                <w:kern w:val="0"/>
                <w:szCs w:val="21"/>
                <w:highlight w:val="none"/>
              </w:rPr>
              <w:t>个月内）：</w:t>
            </w:r>
          </w:p>
          <w:p>
            <w:pPr>
              <w:widowControl/>
              <w:spacing w:line="360" w:lineRule="exact"/>
              <w:ind w:firstLine="420" w:firstLineChars="200"/>
              <w:rPr>
                <w:rFonts w:hint="eastAsia" w:ascii="仿宋" w:hAnsi="仿宋" w:eastAsia="仿宋" w:cs="宋体"/>
                <w:b w:val="0"/>
                <w:bCs/>
                <w:kern w:val="0"/>
                <w:szCs w:val="21"/>
                <w:highlight w:val="none"/>
              </w:rPr>
            </w:pPr>
            <w:r>
              <w:rPr>
                <w:rFonts w:hint="eastAsia" w:ascii="仿宋" w:hAnsi="仿宋" w:eastAsia="仿宋" w:cs="宋体"/>
                <w:b w:val="0"/>
                <w:bCs/>
                <w:kern w:val="0"/>
                <w:szCs w:val="21"/>
                <w:highlight w:val="none"/>
                <w:lang w:eastAsia="zh-CN"/>
              </w:rPr>
              <w:t>完成国家深海科技平台及机构优势分析、国内外海洋创新联盟组建及落地的案例借鉴、组建深海科技创新联盟的方向及策略</w:t>
            </w:r>
            <w:r>
              <w:rPr>
                <w:rFonts w:hint="eastAsia" w:ascii="仿宋" w:hAnsi="仿宋" w:eastAsia="仿宋" w:cs="宋体"/>
                <w:b w:val="0"/>
                <w:bCs/>
                <w:kern w:val="0"/>
                <w:szCs w:val="21"/>
                <w:highlight w:val="none"/>
              </w:rPr>
              <w:t>。</w:t>
            </w:r>
          </w:p>
          <w:p>
            <w:pPr>
              <w:widowControl/>
              <w:spacing w:line="360" w:lineRule="exact"/>
              <w:ind w:firstLine="420" w:firstLineChars="200"/>
              <w:rPr>
                <w:rFonts w:hint="eastAsia" w:ascii="仿宋" w:hAnsi="仿宋" w:eastAsia="仿宋" w:cs="宋体"/>
                <w:b w:val="0"/>
                <w:bCs/>
                <w:kern w:val="0"/>
                <w:szCs w:val="21"/>
                <w:highlight w:val="none"/>
              </w:rPr>
            </w:pPr>
            <w:r>
              <w:rPr>
                <w:rFonts w:hint="eastAsia" w:ascii="仿宋" w:hAnsi="仿宋" w:eastAsia="仿宋" w:cs="宋体"/>
                <w:b w:val="0"/>
                <w:bCs/>
                <w:kern w:val="0"/>
                <w:szCs w:val="21"/>
                <w:highlight w:val="none"/>
              </w:rPr>
              <w:t>（</w:t>
            </w:r>
            <w:r>
              <w:rPr>
                <w:rFonts w:ascii="仿宋" w:hAnsi="仿宋" w:eastAsia="仿宋" w:cs="宋体"/>
                <w:b w:val="0"/>
                <w:bCs/>
                <w:kern w:val="0"/>
                <w:szCs w:val="21"/>
                <w:highlight w:val="none"/>
              </w:rPr>
              <w:t>3</w:t>
            </w:r>
            <w:r>
              <w:rPr>
                <w:rFonts w:hint="eastAsia" w:ascii="仿宋" w:hAnsi="仿宋" w:eastAsia="仿宋" w:cs="宋体"/>
                <w:b w:val="0"/>
                <w:bCs/>
                <w:kern w:val="0"/>
                <w:szCs w:val="21"/>
                <w:highlight w:val="none"/>
              </w:rPr>
              <w:t>）最终成果阶段（合同签订后</w:t>
            </w:r>
            <w:r>
              <w:rPr>
                <w:rFonts w:hint="eastAsia" w:ascii="仿宋" w:hAnsi="仿宋" w:eastAsia="仿宋" w:cs="宋体"/>
                <w:b w:val="0"/>
                <w:bCs/>
                <w:kern w:val="0"/>
                <w:szCs w:val="21"/>
                <w:highlight w:val="none"/>
                <w:lang w:val="en-US" w:eastAsia="zh-CN"/>
              </w:rPr>
              <w:t>3</w:t>
            </w:r>
            <w:r>
              <w:rPr>
                <w:rFonts w:hint="eastAsia" w:ascii="仿宋" w:hAnsi="仿宋" w:eastAsia="仿宋" w:cs="宋体"/>
                <w:b w:val="0"/>
                <w:bCs/>
                <w:kern w:val="0"/>
                <w:szCs w:val="21"/>
                <w:highlight w:val="none"/>
              </w:rPr>
              <w:t xml:space="preserve">个月内）： </w:t>
            </w:r>
          </w:p>
          <w:p>
            <w:pPr>
              <w:widowControl/>
              <w:spacing w:line="360" w:lineRule="exact"/>
              <w:ind w:firstLine="630" w:firstLineChars="300"/>
              <w:rPr>
                <w:rFonts w:hint="eastAsia" w:ascii="仿宋" w:hAnsi="仿宋" w:eastAsia="仿宋" w:cs="宋体"/>
                <w:b w:val="0"/>
                <w:bCs/>
                <w:kern w:val="0"/>
                <w:szCs w:val="21"/>
                <w:highlight w:val="none"/>
              </w:rPr>
            </w:pPr>
            <w:r>
              <w:rPr>
                <w:rFonts w:hint="eastAsia" w:ascii="仿宋" w:hAnsi="仿宋" w:eastAsia="仿宋" w:cs="宋体"/>
                <w:b w:val="0"/>
                <w:bCs/>
                <w:kern w:val="0"/>
                <w:szCs w:val="21"/>
                <w:highlight w:val="none"/>
              </w:rPr>
              <w:t>①完成所有工作；</w:t>
            </w:r>
          </w:p>
          <w:p>
            <w:pPr>
              <w:widowControl/>
              <w:spacing w:line="360" w:lineRule="exact"/>
              <w:ind w:firstLine="630" w:firstLineChars="300"/>
              <w:rPr>
                <w:rFonts w:hint="eastAsia" w:ascii="仿宋" w:hAnsi="仿宋" w:eastAsia="仿宋" w:cs="宋体"/>
                <w:b w:val="0"/>
                <w:bCs/>
                <w:kern w:val="0"/>
                <w:szCs w:val="21"/>
                <w:highlight w:val="none"/>
              </w:rPr>
            </w:pPr>
            <w:r>
              <w:rPr>
                <w:rFonts w:hint="eastAsia" w:ascii="仿宋" w:hAnsi="仿宋" w:eastAsia="仿宋" w:cs="宋体"/>
                <w:b w:val="0"/>
                <w:bCs/>
                <w:kern w:val="0"/>
                <w:szCs w:val="21"/>
                <w:highlight w:val="none"/>
              </w:rPr>
              <w:t>②完成提交项目全部成果；</w:t>
            </w:r>
          </w:p>
          <w:p>
            <w:pPr>
              <w:widowControl/>
              <w:spacing w:line="360" w:lineRule="exact"/>
              <w:ind w:firstLine="630" w:firstLineChars="300"/>
              <w:rPr>
                <w:rFonts w:hint="eastAsia" w:ascii="仿宋" w:hAnsi="仿宋" w:eastAsia="仿宋" w:cs="宋体"/>
                <w:b w:val="0"/>
                <w:bCs/>
                <w:kern w:val="0"/>
                <w:szCs w:val="21"/>
                <w:highlight w:val="none"/>
              </w:rPr>
            </w:pPr>
            <w:r>
              <w:rPr>
                <w:rFonts w:ascii="仿宋" w:hAnsi="仿宋" w:eastAsia="仿宋" w:cs="宋体"/>
                <w:b w:val="0"/>
                <w:bCs/>
                <w:kern w:val="0"/>
                <w:szCs w:val="21"/>
                <w:highlight w:val="none"/>
              </w:rPr>
              <w:t>③</w:t>
            </w:r>
            <w:r>
              <w:rPr>
                <w:rFonts w:hint="eastAsia" w:ascii="仿宋" w:hAnsi="仿宋" w:eastAsia="仿宋" w:cs="宋体"/>
                <w:b w:val="0"/>
                <w:bCs/>
                <w:kern w:val="0"/>
                <w:szCs w:val="21"/>
                <w:highlight w:val="none"/>
              </w:rPr>
              <w:t>成果报批及归档。</w:t>
            </w:r>
          </w:p>
          <w:p>
            <w:pPr>
              <w:ind w:firstLine="420" w:firstLineChars="20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lang w:eastAsia="zh-CN"/>
              </w:rPr>
              <w:t>6.</w:t>
            </w:r>
            <w:r>
              <w:rPr>
                <w:rFonts w:hint="eastAsia" w:ascii="仿宋" w:hAnsi="仿宋" w:eastAsia="仿宋" w:cs="仿宋"/>
                <w:b w:val="0"/>
                <w:bCs/>
                <w:color w:val="000000"/>
                <w:szCs w:val="21"/>
                <w:highlight w:val="none"/>
              </w:rPr>
              <w:t>成果要求；</w:t>
            </w:r>
            <w:bookmarkStart w:id="0" w:name="OLE_LINK41"/>
            <w:bookmarkStart w:id="1" w:name="OLE_LINK37"/>
            <w:bookmarkStart w:id="2" w:name="OLE_LINK3"/>
            <w:bookmarkStart w:id="3" w:name="_Hlk170920981"/>
            <w:r>
              <w:rPr>
                <w:rFonts w:hint="eastAsia" w:ascii="仿宋" w:hAnsi="仿宋" w:eastAsia="仿宋" w:cs="仿宋"/>
                <w:b w:val="0"/>
                <w:bCs/>
                <w:color w:val="000000" w:themeColor="text1"/>
                <w:szCs w:val="21"/>
                <w:highlight w:val="none"/>
                <w14:textFill>
                  <w14:solidFill>
                    <w14:schemeClr w14:val="tx1"/>
                  </w14:solidFill>
                </w14:textFill>
              </w:rPr>
              <w:t>提供</w:t>
            </w:r>
            <w:bookmarkEnd w:id="0"/>
            <w:r>
              <w:rPr>
                <w:rFonts w:hint="eastAsia" w:ascii="仿宋" w:hAnsi="仿宋" w:eastAsia="仿宋" w:cs="仿宋"/>
                <w:b w:val="0"/>
                <w:bCs/>
                <w:color w:val="000000" w:themeColor="text1"/>
                <w:szCs w:val="21"/>
                <w:highlight w:val="none"/>
                <w14:textFill>
                  <w14:solidFill>
                    <w14:schemeClr w14:val="tx1"/>
                  </w14:solidFill>
                </w14:textFill>
              </w:rPr>
              <w:t>《深海科技创新联盟组建技术服务咨询报告》</w:t>
            </w:r>
            <w:r>
              <w:rPr>
                <w:rFonts w:hint="eastAsia" w:ascii="仿宋" w:hAnsi="仿宋" w:eastAsia="仿宋" w:cs="仿宋"/>
                <w:b w:val="0"/>
                <w:bCs/>
                <w:szCs w:val="21"/>
                <w:highlight w:val="none"/>
              </w:rPr>
              <w:t>电子光盘1套，纸质报告2份。</w:t>
            </w:r>
            <w:bookmarkEnd w:id="1"/>
            <w:bookmarkEnd w:id="2"/>
            <w:bookmarkEnd w:id="3"/>
          </w:p>
          <w:p>
            <w:pPr>
              <w:ind w:firstLine="420" w:firstLineChars="200"/>
              <w:rPr>
                <w:rFonts w:hint="eastAsia" w:ascii="仿宋" w:hAnsi="仿宋" w:eastAsia="仿宋" w:cs="仿宋"/>
                <w:b w:val="0"/>
                <w:bCs/>
                <w:color w:val="000000"/>
                <w:kern w:val="0"/>
                <w:szCs w:val="21"/>
                <w:highlight w:val="none"/>
              </w:rPr>
            </w:pPr>
            <w:r>
              <w:rPr>
                <w:rFonts w:hint="eastAsia" w:ascii="仿宋" w:hAnsi="仿宋" w:eastAsia="仿宋" w:cs="仿宋"/>
                <w:b w:val="0"/>
                <w:bCs/>
                <w:color w:val="000000"/>
                <w:szCs w:val="21"/>
                <w:highlight w:val="none"/>
                <w:lang w:eastAsia="zh-CN"/>
              </w:rPr>
              <w:t>7.</w:t>
            </w:r>
            <w:r>
              <w:rPr>
                <w:rFonts w:hint="eastAsia" w:ascii="仿宋" w:hAnsi="仿宋" w:eastAsia="仿宋" w:cs="仿宋"/>
                <w:b w:val="0"/>
                <w:bCs/>
                <w:color w:val="000000"/>
                <w:szCs w:val="21"/>
                <w:highlight w:val="none"/>
              </w:rPr>
              <w:t>售后服务内容、要求和期限</w:t>
            </w:r>
            <w:r>
              <w:rPr>
                <w:rFonts w:hint="eastAsia" w:ascii="仿宋" w:hAnsi="仿宋" w:eastAsia="仿宋" w:cs="仿宋"/>
                <w:b w:val="0"/>
                <w:bCs/>
                <w:color w:val="000000"/>
                <w:szCs w:val="21"/>
                <w:highlight w:val="none"/>
                <w:lang w:eastAsia="zh-CN"/>
              </w:rPr>
              <w:t>：</w:t>
            </w:r>
            <w:r>
              <w:rPr>
                <w:rFonts w:hint="eastAsia" w:ascii="仿宋" w:hAnsi="仿宋" w:eastAsia="仿宋" w:cs="仿宋"/>
                <w:b w:val="0"/>
                <w:bCs/>
                <w:kern w:val="0"/>
                <w:szCs w:val="21"/>
                <w:highlight w:val="none"/>
              </w:rPr>
              <w:t>本项目最后成果提交采购人后即进入售后服务期，由</w:t>
            </w:r>
            <w:r>
              <w:rPr>
                <w:rFonts w:hint="eastAsia" w:ascii="仿宋" w:hAnsi="仿宋" w:eastAsia="仿宋" w:cs="宋体"/>
                <w:b w:val="0"/>
                <w:bCs/>
                <w:kern w:val="0"/>
                <w:szCs w:val="21"/>
                <w:highlight w:val="none"/>
                <w:lang w:eastAsia="zh-CN"/>
              </w:rPr>
              <w:t>乙</w:t>
            </w:r>
            <w:r>
              <w:rPr>
                <w:rFonts w:hint="eastAsia" w:ascii="仿宋" w:hAnsi="仿宋" w:eastAsia="仿宋" w:cs="仿宋"/>
                <w:b w:val="0"/>
                <w:bCs/>
                <w:kern w:val="0"/>
                <w:szCs w:val="21"/>
                <w:highlight w:val="none"/>
              </w:rPr>
              <w:t>方提供</w:t>
            </w:r>
            <w:r>
              <w:rPr>
                <w:rFonts w:ascii="仿宋" w:hAnsi="仿宋" w:eastAsia="仿宋" w:cs="仿宋"/>
                <w:b w:val="0"/>
                <w:bCs/>
                <w:kern w:val="0"/>
                <w:szCs w:val="21"/>
                <w:highlight w:val="none"/>
              </w:rPr>
              <w:t>12</w:t>
            </w:r>
            <w:r>
              <w:rPr>
                <w:rFonts w:hint="eastAsia" w:ascii="仿宋" w:hAnsi="仿宋" w:eastAsia="仿宋" w:cs="仿宋"/>
                <w:b w:val="0"/>
                <w:bCs/>
                <w:kern w:val="0"/>
                <w:szCs w:val="21"/>
                <w:highlight w:val="none"/>
              </w:rPr>
              <w:t>个月售后支持，主要按照采购人要求提供针对项目成果咨询、汇报、研讨和实施等方面的技术支持。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93" w:type="dxa"/>
          <w:trHeight w:val="90" w:hRule="atLeast"/>
          <w:jc w:val="center"/>
        </w:trPr>
        <w:tc>
          <w:tcPr>
            <w:tcW w:w="1131" w:type="dxa"/>
            <w:shd w:val="clear" w:color="auto" w:fill="auto"/>
            <w:noWrap w:val="0"/>
            <w:vAlign w:val="top"/>
          </w:tcPr>
          <w:p>
            <w:pPr>
              <w:keepNext w:val="0"/>
              <w:keepLines w:val="0"/>
              <w:pageBreakBefore w:val="0"/>
              <w:widowControl w:val="0"/>
              <w:kinsoku/>
              <w:overflowPunct/>
              <w:topLinePunct w:val="0"/>
              <w:autoSpaceDE/>
              <w:autoSpaceDN/>
              <w:bidi w:val="0"/>
              <w:jc w:val="left"/>
              <w:rPr>
                <w:rFonts w:hint="default" w:ascii="仿宋" w:hAnsi="仿宋" w:eastAsia="仿宋" w:cs="仿宋"/>
                <w:b w:val="0"/>
                <w:bCs/>
                <w:color w:val="000000"/>
                <w:kern w:val="0"/>
                <w:szCs w:val="21"/>
                <w:highlight w:val="none"/>
                <w:lang w:val="en-US" w:eastAsia="zh-CN"/>
              </w:rPr>
            </w:pPr>
            <w:r>
              <w:rPr>
                <w:rFonts w:hint="eastAsia" w:ascii="仿宋" w:hAnsi="仿宋" w:eastAsia="仿宋" w:cs="仿宋"/>
                <w:b w:val="0"/>
                <w:bCs/>
                <w:color w:val="000000"/>
                <w:kern w:val="0"/>
                <w:szCs w:val="21"/>
                <w:highlight w:val="none"/>
                <w:lang w:val="en-US" w:eastAsia="zh-CN"/>
              </w:rPr>
              <w:t>投标文件要求</w:t>
            </w:r>
          </w:p>
        </w:tc>
        <w:tc>
          <w:tcPr>
            <w:tcW w:w="7836" w:type="dxa"/>
            <w:gridSpan w:val="9"/>
            <w:shd w:val="clear" w:color="auto" w:fill="auto"/>
            <w:noWrap w:val="0"/>
            <w:vAlign w:val="top"/>
          </w:tcPr>
          <w:p>
            <w:pPr>
              <w:ind w:left="0" w:leftChars="0" w:firstLine="218" w:firstLineChars="104"/>
              <w:rPr>
                <w:rFonts w:hint="eastAsia" w:ascii="仿宋" w:hAnsi="仿宋" w:eastAsia="仿宋" w:cs="仿宋"/>
                <w:b w:val="0"/>
                <w:bCs/>
                <w:color w:val="000000"/>
                <w:szCs w:val="21"/>
                <w:highlight w:val="none"/>
                <w:lang w:eastAsia="zh-CN"/>
              </w:rPr>
            </w:pPr>
            <w:r>
              <w:rPr>
                <w:rFonts w:hint="eastAsia" w:ascii="仿宋" w:hAnsi="仿宋" w:eastAsia="仿宋" w:cs="仿宋"/>
                <w:b w:val="0"/>
                <w:bCs/>
                <w:color w:val="000000"/>
                <w:szCs w:val="21"/>
                <w:highlight w:val="none"/>
                <w:lang w:val="en-US" w:eastAsia="zh-CN"/>
              </w:rPr>
              <w:t>1.</w:t>
            </w:r>
            <w:r>
              <w:rPr>
                <w:rFonts w:hint="eastAsia" w:ascii="仿宋" w:hAnsi="仿宋" w:eastAsia="仿宋" w:cs="仿宋"/>
                <w:b w:val="0"/>
                <w:bCs/>
                <w:color w:val="000000"/>
                <w:szCs w:val="21"/>
                <w:highlight w:val="none"/>
                <w:lang w:eastAsia="zh-CN"/>
              </w:rPr>
              <w:t>营业执照或事业单位法人证书，</w:t>
            </w:r>
            <w:r>
              <w:rPr>
                <w:rFonts w:hint="eastAsia" w:ascii="仿宋" w:hAnsi="仿宋" w:eastAsia="仿宋" w:cs="仿宋"/>
                <w:b w:val="0"/>
                <w:bCs/>
                <w:color w:val="000000"/>
                <w:szCs w:val="21"/>
                <w:highlight w:val="none"/>
                <w:lang w:val="en-US" w:eastAsia="zh-CN"/>
              </w:rPr>
              <w:t>必须提供，</w:t>
            </w:r>
            <w:r>
              <w:rPr>
                <w:rFonts w:hint="eastAsia" w:ascii="仿宋" w:hAnsi="仿宋" w:eastAsia="仿宋" w:cs="仿宋"/>
                <w:b w:val="0"/>
                <w:bCs/>
                <w:color w:val="000000"/>
                <w:szCs w:val="21"/>
                <w:highlight w:val="none"/>
                <w:lang w:eastAsia="zh-CN"/>
              </w:rPr>
              <w:t>原件备查；</w:t>
            </w:r>
          </w:p>
          <w:p>
            <w:pPr>
              <w:ind w:left="0" w:leftChars="0" w:firstLine="218" w:firstLineChars="104"/>
              <w:rPr>
                <w:rFonts w:hint="eastAsia" w:ascii="仿宋" w:hAnsi="仿宋" w:eastAsia="仿宋" w:cs="仿宋"/>
                <w:b w:val="0"/>
                <w:bCs/>
                <w:color w:val="000000"/>
                <w:szCs w:val="21"/>
                <w:highlight w:val="none"/>
                <w:lang w:eastAsia="zh-CN"/>
              </w:rPr>
            </w:pPr>
            <w:r>
              <w:rPr>
                <w:rFonts w:hint="eastAsia" w:ascii="仿宋" w:hAnsi="仿宋" w:eastAsia="仿宋" w:cs="仿宋"/>
                <w:b w:val="0"/>
                <w:bCs/>
                <w:color w:val="000000"/>
                <w:szCs w:val="21"/>
                <w:highlight w:val="none"/>
                <w:lang w:val="en-US" w:eastAsia="zh-CN"/>
              </w:rPr>
              <w:t>2.</w:t>
            </w:r>
            <w:r>
              <w:rPr>
                <w:rFonts w:hint="eastAsia" w:ascii="仿宋" w:hAnsi="仿宋" w:eastAsia="仿宋" w:cs="仿宋"/>
                <w:b w:val="0"/>
                <w:bCs/>
                <w:color w:val="000000"/>
                <w:szCs w:val="21"/>
                <w:highlight w:val="none"/>
                <w:lang w:eastAsia="zh-CN"/>
              </w:rPr>
              <w:t>投标报价函，</w:t>
            </w:r>
            <w:r>
              <w:rPr>
                <w:rFonts w:hint="eastAsia" w:ascii="仿宋" w:hAnsi="仿宋" w:eastAsia="仿宋" w:cs="仿宋"/>
                <w:b w:val="0"/>
                <w:bCs/>
                <w:color w:val="000000"/>
                <w:szCs w:val="21"/>
                <w:highlight w:val="none"/>
                <w:lang w:val="en-US" w:eastAsia="zh-CN"/>
              </w:rPr>
              <w:t>必须提供，</w:t>
            </w:r>
            <w:r>
              <w:rPr>
                <w:rFonts w:hint="eastAsia" w:ascii="仿宋" w:hAnsi="仿宋" w:eastAsia="仿宋" w:cs="仿宋"/>
                <w:b w:val="0"/>
                <w:bCs/>
                <w:color w:val="000000"/>
                <w:szCs w:val="21"/>
                <w:highlight w:val="none"/>
                <w:lang w:eastAsia="zh-CN"/>
              </w:rPr>
              <w:t>格式自拟；</w:t>
            </w:r>
          </w:p>
          <w:p>
            <w:pPr>
              <w:ind w:left="0" w:leftChars="0" w:firstLine="218" w:firstLineChars="104"/>
              <w:rPr>
                <w:rFonts w:hint="eastAsia" w:ascii="仿宋" w:hAnsi="仿宋" w:eastAsia="仿宋" w:cs="仿宋"/>
                <w:b w:val="0"/>
                <w:bCs/>
                <w:color w:val="000000"/>
                <w:szCs w:val="21"/>
                <w:highlight w:val="none"/>
                <w:lang w:eastAsia="zh-CN"/>
              </w:rPr>
            </w:pPr>
            <w:r>
              <w:rPr>
                <w:rFonts w:hint="eastAsia" w:ascii="仿宋" w:hAnsi="仿宋" w:eastAsia="仿宋" w:cs="仿宋"/>
                <w:b w:val="0"/>
                <w:bCs/>
                <w:color w:val="000000"/>
                <w:szCs w:val="21"/>
                <w:highlight w:val="none"/>
                <w:lang w:val="en-US" w:eastAsia="zh-CN"/>
              </w:rPr>
              <w:t>3.</w:t>
            </w:r>
            <w:r>
              <w:rPr>
                <w:rFonts w:hint="eastAsia" w:ascii="仿宋" w:hAnsi="仿宋" w:eastAsia="仿宋" w:cs="仿宋"/>
                <w:b w:val="0"/>
                <w:bCs/>
                <w:color w:val="000000"/>
                <w:szCs w:val="21"/>
                <w:highlight w:val="none"/>
                <w:lang w:eastAsia="zh-CN"/>
              </w:rPr>
              <w:t>政府采购投标及履约承诺函，</w:t>
            </w:r>
            <w:r>
              <w:rPr>
                <w:rFonts w:hint="eastAsia" w:ascii="仿宋" w:hAnsi="仿宋" w:eastAsia="仿宋" w:cs="仿宋"/>
                <w:b w:val="0"/>
                <w:bCs/>
                <w:color w:val="000000"/>
                <w:szCs w:val="21"/>
                <w:highlight w:val="none"/>
                <w:lang w:val="en-US" w:eastAsia="zh-CN"/>
              </w:rPr>
              <w:t>必须提供，</w:t>
            </w:r>
            <w:r>
              <w:rPr>
                <w:rFonts w:hint="eastAsia" w:ascii="仿宋" w:hAnsi="仿宋" w:eastAsia="仿宋" w:cs="仿宋"/>
                <w:b w:val="0"/>
                <w:bCs/>
                <w:color w:val="000000"/>
                <w:szCs w:val="21"/>
                <w:highlight w:val="none"/>
                <w:lang w:eastAsia="zh-CN"/>
              </w:rPr>
              <w:t>按照我局提供的格式提交；</w:t>
            </w:r>
          </w:p>
          <w:p>
            <w:pPr>
              <w:ind w:left="0" w:leftChars="0" w:firstLine="218" w:firstLineChars="104"/>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lang w:val="en-US" w:eastAsia="zh-CN"/>
              </w:rPr>
              <w:t>4.</w:t>
            </w:r>
            <w:r>
              <w:rPr>
                <w:rFonts w:hint="eastAsia" w:ascii="仿宋" w:hAnsi="仿宋" w:eastAsia="仿宋" w:cs="仿宋"/>
                <w:b w:val="0"/>
                <w:bCs/>
                <w:color w:val="000000"/>
                <w:szCs w:val="21"/>
                <w:highlight w:val="none"/>
                <w:lang w:eastAsia="zh-CN"/>
              </w:rPr>
              <w:t>供应商基本情况表，</w:t>
            </w:r>
            <w:r>
              <w:rPr>
                <w:rFonts w:hint="eastAsia" w:ascii="仿宋" w:hAnsi="仿宋" w:eastAsia="仿宋" w:cs="仿宋"/>
                <w:b w:val="0"/>
                <w:bCs/>
                <w:color w:val="000000"/>
                <w:szCs w:val="21"/>
                <w:highlight w:val="none"/>
                <w:lang w:val="en-US" w:eastAsia="zh-CN"/>
              </w:rPr>
              <w:t>必须提供，</w:t>
            </w:r>
            <w:r>
              <w:rPr>
                <w:rFonts w:hint="eastAsia" w:ascii="仿宋" w:hAnsi="仿宋" w:eastAsia="仿宋" w:cs="仿宋"/>
                <w:b w:val="0"/>
                <w:bCs/>
                <w:color w:val="000000"/>
                <w:szCs w:val="21"/>
                <w:highlight w:val="none"/>
                <w:lang w:eastAsia="zh-CN"/>
              </w:rPr>
              <w:t>按照我局提供的格式提交。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93" w:type="dxa"/>
          <w:trHeight w:val="388" w:hRule="atLeast"/>
          <w:jc w:val="center"/>
        </w:trPr>
        <w:tc>
          <w:tcPr>
            <w:tcW w:w="1131" w:type="dxa"/>
            <w:vMerge w:val="restart"/>
            <w:shd w:val="clear" w:color="auto" w:fill="auto"/>
            <w:noWrap w:val="0"/>
            <w:vAlign w:val="top"/>
          </w:tcPr>
          <w:p>
            <w:pPr>
              <w:keepNext w:val="0"/>
              <w:keepLines w:val="0"/>
              <w:pageBreakBefore w:val="0"/>
              <w:widowControl w:val="0"/>
              <w:kinsoku/>
              <w:overflowPunct/>
              <w:topLinePunct w:val="0"/>
              <w:autoSpaceDE/>
              <w:autoSpaceDN/>
              <w:bidi w:val="0"/>
              <w:jc w:val="center"/>
              <w:rPr>
                <w:rFonts w:hint="eastAsia" w:ascii="仿宋" w:hAnsi="仿宋" w:eastAsia="仿宋" w:cs="仿宋"/>
                <w:b w:val="0"/>
                <w:bCs/>
                <w:color w:val="000000"/>
                <w:kern w:val="0"/>
                <w:szCs w:val="21"/>
                <w:highlight w:val="none"/>
              </w:rPr>
            </w:pPr>
            <w:r>
              <w:rPr>
                <w:rFonts w:hint="eastAsia" w:ascii="仿宋" w:hAnsi="仿宋" w:eastAsia="仿宋" w:cs="仿宋"/>
                <w:b w:val="0"/>
                <w:bCs/>
                <w:color w:val="000000"/>
                <w:kern w:val="0"/>
                <w:szCs w:val="21"/>
                <w:highlight w:val="none"/>
              </w:rPr>
              <w:t>其他要求</w:t>
            </w:r>
          </w:p>
        </w:tc>
        <w:tc>
          <w:tcPr>
            <w:tcW w:w="7836" w:type="dxa"/>
            <w:gridSpan w:val="9"/>
            <w:shd w:val="clear" w:color="auto" w:fill="auto"/>
            <w:noWrap w:val="0"/>
            <w:vAlign w:val="top"/>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kern w:val="0"/>
                <w:szCs w:val="21"/>
                <w:highlight w:val="none"/>
              </w:rPr>
            </w:pPr>
            <w:r>
              <w:rPr>
                <w:rFonts w:hint="eastAsia" w:ascii="仿宋" w:hAnsi="仿宋" w:eastAsia="仿宋" w:cs="仿宋"/>
                <w:b w:val="0"/>
                <w:bCs/>
                <w:color w:val="000000"/>
                <w:szCs w:val="21"/>
                <w:highlight w:val="none"/>
              </w:rPr>
              <w:t>特定供应商的名称、项目负责人及联系方式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93" w:type="dxa"/>
          <w:trHeight w:val="315" w:hRule="atLeast"/>
          <w:jc w:val="center"/>
        </w:trPr>
        <w:tc>
          <w:tcPr>
            <w:tcW w:w="1131" w:type="dxa"/>
            <w:vMerge w:val="continue"/>
            <w:shd w:val="clear" w:color="auto" w:fill="auto"/>
            <w:noWrap w:val="0"/>
            <w:vAlign w:val="top"/>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kern w:val="0"/>
                <w:szCs w:val="21"/>
                <w:highlight w:val="none"/>
              </w:rPr>
            </w:pPr>
          </w:p>
        </w:tc>
        <w:tc>
          <w:tcPr>
            <w:tcW w:w="614" w:type="dxa"/>
            <w:gridSpan w:val="2"/>
            <w:vMerge w:val="restart"/>
            <w:shd w:val="clear" w:color="auto" w:fill="auto"/>
            <w:noWrap w:val="0"/>
            <w:vAlign w:val="top"/>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kern w:val="0"/>
                <w:szCs w:val="21"/>
                <w:highlight w:val="none"/>
              </w:rPr>
            </w:pPr>
            <w:r>
              <w:rPr>
                <w:rFonts w:hint="eastAsia" w:ascii="仿宋" w:hAnsi="仿宋" w:eastAsia="仿宋" w:cs="仿宋"/>
                <w:b w:val="0"/>
                <w:bCs/>
                <w:color w:val="000000"/>
                <w:szCs w:val="21"/>
                <w:highlight w:val="none"/>
              </w:rPr>
              <w:t>特定供应商</w:t>
            </w:r>
          </w:p>
        </w:tc>
        <w:tc>
          <w:tcPr>
            <w:tcW w:w="7222" w:type="dxa"/>
            <w:gridSpan w:val="7"/>
            <w:shd w:val="clear" w:color="auto" w:fill="auto"/>
            <w:noWrap w:val="0"/>
            <w:vAlign w:val="top"/>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kern w:val="0"/>
                <w:szCs w:val="21"/>
                <w:highlight w:val="none"/>
              </w:rPr>
            </w:pPr>
            <w:r>
              <w:rPr>
                <w:rFonts w:hint="eastAsia" w:ascii="仿宋" w:hAnsi="仿宋" w:eastAsia="仿宋" w:cs="仿宋"/>
                <w:b w:val="0"/>
                <w:bCs/>
                <w:color w:val="000000"/>
                <w:szCs w:val="21"/>
                <w:highlight w:val="none"/>
              </w:rPr>
              <w:t>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3" w:type="dxa"/>
          <w:trHeight w:val="325" w:hRule="atLeast"/>
          <w:jc w:val="center"/>
        </w:trPr>
        <w:tc>
          <w:tcPr>
            <w:tcW w:w="1131" w:type="dxa"/>
            <w:vMerge w:val="continue"/>
            <w:shd w:val="clear" w:color="auto" w:fill="auto"/>
            <w:noWrap w:val="0"/>
            <w:vAlign w:val="top"/>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kern w:val="0"/>
                <w:szCs w:val="21"/>
                <w:highlight w:val="none"/>
              </w:rPr>
            </w:pPr>
          </w:p>
        </w:tc>
        <w:tc>
          <w:tcPr>
            <w:tcW w:w="614" w:type="dxa"/>
            <w:gridSpan w:val="2"/>
            <w:vMerge w:val="continue"/>
            <w:shd w:val="clear" w:color="auto" w:fill="auto"/>
            <w:noWrap w:val="0"/>
            <w:vAlign w:val="top"/>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kern w:val="0"/>
                <w:szCs w:val="21"/>
                <w:highlight w:val="none"/>
              </w:rPr>
            </w:pPr>
          </w:p>
        </w:tc>
        <w:tc>
          <w:tcPr>
            <w:tcW w:w="7222" w:type="dxa"/>
            <w:gridSpan w:val="7"/>
            <w:shd w:val="clear" w:color="auto" w:fill="auto"/>
            <w:noWrap w:val="0"/>
            <w:vAlign w:val="top"/>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kern w:val="0"/>
                <w:szCs w:val="21"/>
                <w:highlight w:val="none"/>
              </w:rPr>
            </w:pPr>
            <w:r>
              <w:rPr>
                <w:rFonts w:hint="eastAsia" w:ascii="仿宋" w:hAnsi="仿宋" w:eastAsia="仿宋" w:cs="仿宋"/>
                <w:b w:val="0"/>
                <w:bCs/>
                <w:color w:val="000000"/>
                <w:szCs w:val="21"/>
                <w:highlight w:val="none"/>
              </w:rPr>
              <w:t>项目经办人：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3" w:type="dxa"/>
          <w:trHeight w:val="283" w:hRule="atLeast"/>
          <w:jc w:val="center"/>
        </w:trPr>
        <w:tc>
          <w:tcPr>
            <w:tcW w:w="1131" w:type="dxa"/>
            <w:vMerge w:val="continue"/>
            <w:shd w:val="clear" w:color="auto" w:fill="auto"/>
            <w:noWrap w:val="0"/>
            <w:vAlign w:val="top"/>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kern w:val="0"/>
                <w:szCs w:val="21"/>
                <w:highlight w:val="none"/>
              </w:rPr>
            </w:pPr>
          </w:p>
        </w:tc>
        <w:tc>
          <w:tcPr>
            <w:tcW w:w="614" w:type="dxa"/>
            <w:gridSpan w:val="2"/>
            <w:vMerge w:val="continue"/>
            <w:shd w:val="clear" w:color="auto" w:fill="auto"/>
            <w:noWrap w:val="0"/>
            <w:vAlign w:val="top"/>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kern w:val="0"/>
                <w:szCs w:val="21"/>
                <w:highlight w:val="none"/>
              </w:rPr>
            </w:pPr>
          </w:p>
        </w:tc>
        <w:tc>
          <w:tcPr>
            <w:tcW w:w="7222" w:type="dxa"/>
            <w:gridSpan w:val="7"/>
            <w:shd w:val="clear" w:color="auto" w:fill="auto"/>
            <w:noWrap w:val="0"/>
            <w:vAlign w:val="top"/>
          </w:tcPr>
          <w:p>
            <w:pPr>
              <w:keepNext w:val="0"/>
              <w:keepLines w:val="0"/>
              <w:pageBreakBefore w:val="0"/>
              <w:widowControl w:val="0"/>
              <w:kinsoku/>
              <w:overflowPunct/>
              <w:topLinePunct w:val="0"/>
              <w:autoSpaceDE/>
              <w:autoSpaceDN/>
              <w:bidi w:val="0"/>
              <w:jc w:val="left"/>
              <w:rPr>
                <w:rFonts w:hint="eastAsia" w:ascii="仿宋" w:hAnsi="仿宋" w:eastAsia="仿宋" w:cs="仿宋"/>
                <w:b w:val="0"/>
                <w:bCs/>
                <w:color w:val="000000"/>
                <w:kern w:val="0"/>
                <w:szCs w:val="21"/>
                <w:highlight w:val="none"/>
              </w:rPr>
            </w:pPr>
            <w:r>
              <w:rPr>
                <w:rFonts w:hint="eastAsia" w:ascii="仿宋" w:hAnsi="仿宋" w:eastAsia="仿宋" w:cs="仿宋"/>
                <w:b w:val="0"/>
                <w:bCs/>
                <w:color w:val="000000"/>
                <w:szCs w:val="21"/>
                <w:highlight w:val="none"/>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gridSpan w:val="2"/>
            <w:vMerge w:val="restart"/>
            <w:tcBorders>
              <w:top w:val="single" w:color="auto" w:sz="4" w:space="0"/>
              <w:left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评标信息</w:t>
            </w:r>
          </w:p>
        </w:tc>
        <w:tc>
          <w:tcPr>
            <w:tcW w:w="7924" w:type="dxa"/>
            <w:gridSpan w:val="9"/>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综合评分法，是指投标文件满足招标文件全部实质性要求，且按照评审因素的量化指标评审得分最高的投标人为中标候选人的评标方法。</w:t>
            </w:r>
          </w:p>
          <w:p>
            <w:pPr>
              <w:jc w:val="left"/>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价格分计算方法：</w:t>
            </w:r>
          </w:p>
          <w:p>
            <w:pPr>
              <w:jc w:val="left"/>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采用低价优先法计算，即满足招标文件要求且投标价格最低的投标报价为评标基准价，其价格分为满分。其他投标人的价格分统一按照下列公式计算：</w:t>
            </w:r>
          </w:p>
          <w:p>
            <w:pPr>
              <w:jc w:val="left"/>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投标报价得分=（评标基准价／投标报价）×100</w:t>
            </w:r>
          </w:p>
          <w:p>
            <w:pPr>
              <w:jc w:val="left"/>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评标总得分＝F1×A1＋F2×A2＋……＋Fn×An</w:t>
            </w:r>
          </w:p>
          <w:p>
            <w:pPr>
              <w:jc w:val="left"/>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F1.F2……Fn分别为各项评审因素的得分；</w:t>
            </w:r>
          </w:p>
          <w:p>
            <w:pPr>
              <w:jc w:val="left"/>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A1.A2、……An分别为各项评审因素所占的权重（A1＋A2＋……＋An＝1）。</w:t>
            </w:r>
          </w:p>
          <w:p>
            <w:pPr>
              <w:jc w:val="left"/>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评标过程中，不得去掉报价中的最高报价和最低报价。</w:t>
            </w:r>
          </w:p>
          <w:p>
            <w:pPr>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highlight w:val="none"/>
              </w:rPr>
              <w:t>此方法适用于货物类、服务类、工程类项目。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136" w:type="dxa"/>
            <w:gridSpan w:val="2"/>
            <w:vMerge w:val="continue"/>
            <w:tcBorders>
              <w:left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highlight w:val="none"/>
              </w:rPr>
            </w:pPr>
          </w:p>
        </w:tc>
        <w:tc>
          <w:tcPr>
            <w:tcW w:w="7924" w:type="dxa"/>
            <w:gridSpan w:val="9"/>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强化政府采购异常低价审查：</w:t>
            </w:r>
          </w:p>
          <w:p>
            <w:pPr>
              <w:jc w:val="left"/>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（一）政府采购评审中出现下列情形之一的，评审委员会应当启动异常低价投标（响应）审查程序：</w:t>
            </w:r>
          </w:p>
          <w:p>
            <w:pPr>
              <w:jc w:val="left"/>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1.投标（响应）报价低于全部通过符合性审查供应商投标（响应）报价平均值50%的，即投标（响应）报价&lt;全部通过符合性审查供应商投标（响应）报价平均值×50%；</w:t>
            </w:r>
          </w:p>
          <w:p>
            <w:pPr>
              <w:jc w:val="left"/>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2.投标（响应）报价低于通过符合性审查的次低报价供应商投标（响应）报价50%的，即投标（响应）报价&lt;通过符合性审查的次低报价供应商投标（响应）报价×50%；</w:t>
            </w:r>
          </w:p>
          <w:p>
            <w:pPr>
              <w:jc w:val="left"/>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3.投标（响应）报价低于采购项目最高限价45%的，即投标（响应）报价&lt;采购项目最高限价×45%；</w:t>
            </w:r>
          </w:p>
          <w:p>
            <w:pPr>
              <w:jc w:val="left"/>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4.评审委员会基于专业判断，认为供应商报价过低，有可能影响产品质量或者不能诚信履约的其他情形。</w:t>
            </w:r>
          </w:p>
          <w:p>
            <w:pPr>
              <w:jc w:val="left"/>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采购人可以结合具体项目实际情况，提高上述第1项至第3项中启动异常低价投标（响应）审查的数值标准，但是最高不得超过65%。</w:t>
            </w:r>
          </w:p>
          <w:p>
            <w:pPr>
              <w:jc w:val="left"/>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相关法律法规对供应商报价有规定的，从其规定。</w:t>
            </w:r>
          </w:p>
          <w:p>
            <w:pPr>
              <w:jc w:val="left"/>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jc w:val="left"/>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jc w:val="left"/>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jc w:val="left"/>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异常低价投标（响应）审查的启动原因、审查意见和审查结果应当在评审报告中记录，并随供应商提供的相关书面说明及证明材料，以及评审委员会有关互联网浏览、查询历史一并归档。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gridSpan w:val="2"/>
            <w:vMerge w:val="continue"/>
            <w:tcBorders>
              <w:left w:val="single" w:color="auto" w:sz="4" w:space="0"/>
              <w:right w:val="single" w:color="auto" w:sz="4" w:space="0"/>
            </w:tcBorders>
            <w:shd w:val="clear" w:color="auto" w:fill="auto"/>
            <w:noWrap w:val="0"/>
            <w:vAlign w:val="top"/>
          </w:tcPr>
          <w:p>
            <w:pPr>
              <w:pStyle w:val="4"/>
              <w:rPr>
                <w:rFonts w:hint="eastAsia" w:ascii="仿宋" w:hAnsi="仿宋" w:eastAsia="仿宋" w:cs="仿宋"/>
                <w:b w:val="0"/>
                <w:bCs/>
                <w:color w:val="000000"/>
                <w:szCs w:val="21"/>
                <w:highlight w:val="none"/>
                <w:lang w:eastAsia="zh-CN"/>
              </w:rPr>
            </w:pPr>
          </w:p>
        </w:tc>
        <w:tc>
          <w:tcPr>
            <w:tcW w:w="7924" w:type="dxa"/>
            <w:gridSpan w:val="9"/>
            <w:tcBorders>
              <w:top w:val="single" w:color="auto" w:sz="4" w:space="0"/>
              <w:left w:val="single" w:color="auto" w:sz="4" w:space="0"/>
              <w:bottom w:val="single" w:color="auto" w:sz="4" w:space="0"/>
              <w:right w:val="single" w:color="auto" w:sz="4" w:space="0"/>
            </w:tcBorders>
            <w:shd w:val="clear" w:color="auto" w:fill="auto"/>
            <w:noWrap w:val="0"/>
            <w:vAlign w:val="top"/>
          </w:tcPr>
          <w:p>
            <w:pPr>
              <w:ind w:firstLine="210" w:firstLineChars="100"/>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评标优惠政策</w:t>
            </w:r>
          </w:p>
          <w:p>
            <w:pPr>
              <w:pStyle w:val="3"/>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1.根据《财政部司法部关于政府采购支持监狱企业发展有关问题的通知》（财库〔2014〕68号）、《三部门联合发布关于促进残疾人就业政府采购政策的通知》（财库〔2017〕141号）和《政府采购促进中小企业发展管理办法》（财库〔2020〕46号）的规定，对满足价格扣除条件且在投标文件中提交了《投标人企业类型声明函》《残疾人福利性单位声明函》或省级以上监狱管理局、戒毒管理局（含新疆生产建设兵团）出具的属于监狱企业的证明文件的投标人，其投标报价扣除</w:t>
            </w:r>
            <w:r>
              <w:rPr>
                <w:rFonts w:hint="eastAsia" w:ascii="仿宋" w:hAnsi="仿宋" w:eastAsia="仿宋" w:cs="仿宋"/>
                <w:b w:val="0"/>
                <w:bCs/>
                <w:color w:val="000000"/>
                <w:highlight w:val="none"/>
                <w:u w:val="single"/>
              </w:rPr>
              <w:t>10</w:t>
            </w:r>
            <w:r>
              <w:rPr>
                <w:rFonts w:hint="eastAsia" w:ascii="仿宋" w:hAnsi="仿宋" w:eastAsia="仿宋" w:cs="仿宋"/>
                <w:b w:val="0"/>
                <w:bCs/>
                <w:color w:val="000000"/>
                <w:highlight w:val="none"/>
              </w:rPr>
              <w:t>%后参与评审。对于同时属于小微企业、监狱企业或残疾人福利性单位的，不重复进行投标报价扣除。如有其他政策支持因素（如鼓励创新等）需一并列出。</w:t>
            </w:r>
          </w:p>
          <w:p>
            <w:pPr>
              <w:pStyle w:val="3"/>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2.联合协议中约定，小型、微型企业和监狱企业的协议合同金额占到联合体协议合同总金额30%以上的，可给予联合体</w:t>
            </w:r>
            <w:r>
              <w:rPr>
                <w:rFonts w:hint="eastAsia" w:ascii="仿宋" w:hAnsi="仿宋" w:eastAsia="仿宋" w:cs="仿宋"/>
                <w:b w:val="0"/>
                <w:bCs/>
                <w:color w:val="000000"/>
                <w:highlight w:val="none"/>
                <w:u w:val="single"/>
              </w:rPr>
              <w:t>4</w:t>
            </w:r>
            <w:r>
              <w:rPr>
                <w:rFonts w:hint="eastAsia" w:ascii="仿宋" w:hAnsi="仿宋" w:eastAsia="仿宋" w:cs="仿宋"/>
                <w:b w:val="0"/>
                <w:bCs/>
                <w:color w:val="000000"/>
                <w:highlight w:val="none"/>
              </w:rPr>
              <w:t>%的价格扣除。</w:t>
            </w:r>
          </w:p>
          <w:p>
            <w:pPr>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联合体各方均为小型、微型企业和监狱企业的，联合体视同为小型、微型企业和监狱企业，均享受评标优惠政策第一款的优惠政策。</w:t>
            </w:r>
          </w:p>
          <w:p>
            <w:pPr>
              <w:rPr>
                <w:rFonts w:hint="eastAsia" w:ascii="仿宋" w:hAnsi="仿宋" w:eastAsia="仿宋" w:cs="仿宋"/>
                <w:b w:val="0"/>
                <w:bCs/>
                <w:color w:val="000000"/>
                <w:szCs w:val="21"/>
                <w:highlight w:val="none"/>
              </w:rPr>
            </w:pPr>
            <w:r>
              <w:rPr>
                <w:rFonts w:hint="eastAsia" w:ascii="仿宋" w:hAnsi="仿宋" w:eastAsia="仿宋" w:cs="仿宋"/>
                <w:b w:val="0"/>
                <w:bCs/>
                <w:color w:val="000000"/>
                <w:highlight w:val="none"/>
              </w:rPr>
              <w:t>3.如采购人所采购产品为政府强制采购的节能产品，投标人所投产品的品牌及型号必须为清单中有效期内产品并提供证明文件，否则其投标将被认定为投标无效。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gridSpan w:val="2"/>
            <w:vMerge w:val="continue"/>
            <w:tcBorders>
              <w:left w:val="single" w:color="auto" w:sz="4" w:space="0"/>
              <w:right w:val="single" w:color="auto" w:sz="4" w:space="0"/>
            </w:tcBorders>
            <w:shd w:val="clear" w:color="auto" w:fill="auto"/>
            <w:noWrap w:val="0"/>
            <w:vAlign w:val="top"/>
          </w:tcPr>
          <w:p>
            <w:pPr>
              <w:pStyle w:val="4"/>
              <w:rPr>
                <w:rFonts w:hint="eastAsia" w:ascii="仿宋" w:hAnsi="仿宋" w:eastAsia="仿宋" w:cs="仿宋"/>
                <w:b w:val="0"/>
                <w:bCs/>
                <w:color w:val="000000"/>
                <w:highlight w:val="none"/>
                <w:lang w:eastAsia="zh-CN"/>
              </w:rPr>
            </w:pPr>
          </w:p>
        </w:tc>
        <w:tc>
          <w:tcPr>
            <w:tcW w:w="707"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序号</w:t>
            </w:r>
          </w:p>
        </w:tc>
        <w:tc>
          <w:tcPr>
            <w:tcW w:w="3119" w:type="dxa"/>
            <w:gridSpan w:val="3"/>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评分项</w:t>
            </w:r>
          </w:p>
        </w:tc>
        <w:tc>
          <w:tcPr>
            <w:tcW w:w="4098" w:type="dxa"/>
            <w:gridSpan w:val="4"/>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gridSpan w:val="2"/>
            <w:vMerge w:val="continue"/>
            <w:tcBorders>
              <w:left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p>
        </w:tc>
        <w:tc>
          <w:tcPr>
            <w:tcW w:w="707"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w:t>
            </w:r>
          </w:p>
        </w:tc>
        <w:tc>
          <w:tcPr>
            <w:tcW w:w="3119" w:type="dxa"/>
            <w:gridSpan w:val="3"/>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价格</w:t>
            </w:r>
          </w:p>
        </w:tc>
        <w:tc>
          <w:tcPr>
            <w:tcW w:w="4098" w:type="dxa"/>
            <w:gridSpan w:val="4"/>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default" w:ascii="仿宋" w:hAnsi="仿宋" w:eastAsia="仿宋" w:cs="仿宋"/>
                <w:b w:val="0"/>
                <w:bCs/>
                <w:color w:val="000000"/>
                <w:szCs w:val="21"/>
                <w:highlight w:val="none"/>
                <w:lang w:val="en-US" w:eastAsia="zh-CN"/>
              </w:rPr>
            </w:pPr>
            <w:r>
              <w:rPr>
                <w:rFonts w:hint="eastAsia" w:ascii="仿宋" w:hAnsi="仿宋" w:eastAsia="仿宋" w:cs="仿宋"/>
                <w:b w:val="0"/>
                <w:bCs/>
                <w:color w:val="000000"/>
                <w:szCs w:val="21"/>
                <w:highlight w:val="no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gridSpan w:val="2"/>
            <w:vMerge w:val="continue"/>
            <w:tcBorders>
              <w:left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p>
        </w:tc>
        <w:tc>
          <w:tcPr>
            <w:tcW w:w="707"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2</w:t>
            </w:r>
          </w:p>
        </w:tc>
        <w:tc>
          <w:tcPr>
            <w:tcW w:w="3119" w:type="dxa"/>
            <w:gridSpan w:val="3"/>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技术</w:t>
            </w:r>
          </w:p>
        </w:tc>
        <w:tc>
          <w:tcPr>
            <w:tcW w:w="4098" w:type="dxa"/>
            <w:gridSpan w:val="4"/>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default" w:ascii="仿宋" w:hAnsi="仿宋" w:eastAsia="仿宋" w:cs="仿宋"/>
                <w:b w:val="0"/>
                <w:bCs/>
                <w:color w:val="000000"/>
                <w:szCs w:val="21"/>
                <w:highlight w:val="none"/>
                <w:lang w:val="en-US" w:eastAsia="zh-CN"/>
              </w:rPr>
            </w:pPr>
            <w:r>
              <w:rPr>
                <w:rFonts w:hint="eastAsia" w:ascii="仿宋" w:hAnsi="仿宋" w:eastAsia="仿宋" w:cs="仿宋"/>
                <w:b w:val="0"/>
                <w:bCs/>
                <w:color w:val="000000"/>
                <w:szCs w:val="21"/>
                <w:highlight w:val="none"/>
                <w:lang w:val="en-US" w:eastAsia="zh-CN"/>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1136" w:type="dxa"/>
            <w:gridSpan w:val="2"/>
            <w:vMerge w:val="continue"/>
            <w:tcBorders>
              <w:left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p>
        </w:tc>
        <w:tc>
          <w:tcPr>
            <w:tcW w:w="707" w:type="dxa"/>
            <w:gridSpan w:val="2"/>
            <w:vMerge w:val="restart"/>
            <w:tcBorders>
              <w:top w:val="single" w:color="auto" w:sz="4" w:space="0"/>
              <w:left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行号</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内容</w:t>
            </w:r>
          </w:p>
        </w:tc>
        <w:tc>
          <w:tcPr>
            <w:tcW w:w="94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权重</w:t>
            </w:r>
          </w:p>
        </w:tc>
        <w:tc>
          <w:tcPr>
            <w:tcW w:w="4098" w:type="dxa"/>
            <w:gridSpan w:val="4"/>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1136" w:type="dxa"/>
            <w:gridSpan w:val="2"/>
            <w:vMerge w:val="continue"/>
            <w:tcBorders>
              <w:left w:val="single" w:color="auto" w:sz="4" w:space="0"/>
              <w:right w:val="single" w:color="auto" w:sz="4" w:space="0"/>
            </w:tcBorders>
            <w:shd w:val="clear" w:color="auto" w:fill="auto"/>
            <w:noWrap w:val="0"/>
            <w:vAlign w:val="center"/>
          </w:tcPr>
          <w:p>
            <w:pPr>
              <w:rPr>
                <w:rFonts w:hint="eastAsia" w:ascii="仿宋" w:hAnsi="仿宋" w:eastAsia="仿宋" w:cs="仿宋"/>
                <w:b w:val="0"/>
                <w:bCs/>
                <w:color w:val="000000"/>
                <w:szCs w:val="21"/>
                <w:highlight w:val="none"/>
              </w:rPr>
            </w:pPr>
          </w:p>
        </w:tc>
        <w:tc>
          <w:tcPr>
            <w:tcW w:w="707" w:type="dxa"/>
            <w:gridSpan w:val="2"/>
            <w:vMerge w:val="continue"/>
            <w:tcBorders>
              <w:left w:val="single" w:color="auto" w:sz="4" w:space="0"/>
              <w:right w:val="single" w:color="auto" w:sz="4" w:space="0"/>
            </w:tcBorders>
            <w:shd w:val="clear" w:color="auto" w:fill="auto"/>
            <w:noWrap w:val="0"/>
            <w:vAlign w:val="center"/>
          </w:tcPr>
          <w:p>
            <w:pPr>
              <w:rPr>
                <w:rFonts w:hint="eastAsia" w:ascii="仿宋" w:hAnsi="仿宋" w:eastAsia="仿宋" w:cs="仿宋"/>
                <w:b w:val="0"/>
                <w:bCs/>
                <w:color w:val="000000"/>
                <w:szCs w:val="21"/>
                <w:highlight w:val="none"/>
              </w:rPr>
            </w:pP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实施方案</w:t>
            </w:r>
          </w:p>
        </w:tc>
        <w:tc>
          <w:tcPr>
            <w:tcW w:w="94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15</w:t>
            </w:r>
          </w:p>
        </w:tc>
        <w:tc>
          <w:tcPr>
            <w:tcW w:w="4098" w:type="dxa"/>
            <w:gridSpan w:val="4"/>
            <w:tcBorders>
              <w:top w:val="single" w:color="auto" w:sz="4" w:space="0"/>
              <w:left w:val="single" w:color="auto" w:sz="4" w:space="0"/>
              <w:bottom w:val="single" w:color="auto" w:sz="4" w:space="0"/>
              <w:right w:val="single" w:color="auto" w:sz="4" w:space="0"/>
            </w:tcBorders>
            <w:shd w:val="clear" w:color="auto" w:fill="auto"/>
            <w:noWrap w:val="0"/>
            <w:vAlign w:val="top"/>
          </w:tcPr>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（一）评审内容：</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投标人需按本项目要求提供实施方案，包括以下内容：</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1.项目认识与理解；</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2.工作方法；</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3.工作内容；</w:t>
            </w:r>
          </w:p>
          <w:p>
            <w:pPr>
              <w:wordWrap w:val="0"/>
              <w:rPr>
                <w:rFonts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4.进度安排。</w:t>
            </w:r>
          </w:p>
          <w:p>
            <w:pPr>
              <w:wordWrap w:val="0"/>
              <w:rPr>
                <w:rFonts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（二）投标人提供的实施方案每满足以上1点的得</w:t>
            </w:r>
            <w:r>
              <w:rPr>
                <w:rFonts w:hint="eastAsia" w:ascii="仿宋" w:hAnsi="仿宋" w:eastAsia="仿宋" w:cs="仿宋"/>
                <w:b w:val="0"/>
                <w:bCs/>
                <w:color w:val="000000"/>
                <w:szCs w:val="21"/>
                <w:highlight w:val="none"/>
                <w:u w:val="single"/>
              </w:rPr>
              <w:t>10</w:t>
            </w:r>
            <w:r>
              <w:rPr>
                <w:rFonts w:hint="eastAsia" w:ascii="仿宋" w:hAnsi="仿宋" w:eastAsia="仿宋" w:cs="仿宋"/>
                <w:b w:val="0"/>
                <w:bCs/>
                <w:color w:val="000000"/>
                <w:szCs w:val="21"/>
                <w:highlight w:val="none"/>
              </w:rPr>
              <w:t>分，最高得</w:t>
            </w:r>
            <w:r>
              <w:rPr>
                <w:rFonts w:hint="eastAsia" w:ascii="仿宋" w:hAnsi="仿宋" w:eastAsia="仿宋" w:cs="仿宋"/>
                <w:b w:val="0"/>
                <w:bCs/>
                <w:color w:val="000000"/>
                <w:szCs w:val="21"/>
                <w:highlight w:val="none"/>
                <w:u w:val="single"/>
              </w:rPr>
              <w:t>40</w:t>
            </w:r>
            <w:r>
              <w:rPr>
                <w:rFonts w:hint="eastAsia" w:ascii="仿宋" w:hAnsi="仿宋" w:eastAsia="仿宋" w:cs="仿宋"/>
                <w:b w:val="0"/>
                <w:bCs/>
                <w:color w:val="000000"/>
                <w:szCs w:val="21"/>
                <w:highlight w:val="none"/>
              </w:rPr>
              <w:t>分。</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在以上评审内容的基础上，专家根据各投标人的具体响应内容进一步评审加分：</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1.实施方案紧扣项目需求、与本项目需求的匹配程度高；</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2.实施方案内容详实完整；</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3.实施方案逻辑清晰；</w:t>
            </w:r>
          </w:p>
          <w:p>
            <w:pPr>
              <w:wordWrap w:val="0"/>
              <w:rPr>
                <w:rFonts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4.实施方案科学可行。</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每满足以上1项要求加</w:t>
            </w:r>
            <w:r>
              <w:rPr>
                <w:rFonts w:hint="eastAsia" w:ascii="仿宋" w:hAnsi="仿宋" w:eastAsia="仿宋" w:cs="仿宋"/>
                <w:b w:val="0"/>
                <w:bCs/>
                <w:color w:val="000000"/>
                <w:szCs w:val="21"/>
                <w:highlight w:val="none"/>
                <w:u w:val="single"/>
              </w:rPr>
              <w:t>15</w:t>
            </w:r>
            <w:r>
              <w:rPr>
                <w:rFonts w:hint="eastAsia" w:ascii="仿宋" w:hAnsi="仿宋" w:eastAsia="仿宋" w:cs="仿宋"/>
                <w:b w:val="0"/>
                <w:bCs/>
                <w:color w:val="000000"/>
                <w:szCs w:val="21"/>
                <w:highlight w:val="none"/>
              </w:rPr>
              <w:t>分，最高加</w:t>
            </w:r>
            <w:r>
              <w:rPr>
                <w:rFonts w:hint="eastAsia" w:ascii="仿宋" w:hAnsi="仿宋" w:eastAsia="仿宋" w:cs="仿宋"/>
                <w:b w:val="0"/>
                <w:bCs/>
                <w:color w:val="000000"/>
                <w:szCs w:val="21"/>
                <w:highlight w:val="none"/>
                <w:u w:val="single"/>
              </w:rPr>
              <w:t>60</w:t>
            </w:r>
            <w:r>
              <w:rPr>
                <w:rFonts w:hint="eastAsia" w:ascii="仿宋" w:hAnsi="仿宋" w:eastAsia="仿宋" w:cs="仿宋"/>
                <w:b w:val="0"/>
                <w:bCs/>
                <w:color w:val="000000"/>
                <w:szCs w:val="21"/>
                <w:highlight w:val="none"/>
              </w:rPr>
              <w:t>分。</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备注：</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1.以上评审按百分制打分，累加计分，最高得100分；</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2.不提供或提供不齐全的或无法辨别的不得分。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 w:hRule="atLeast"/>
          <w:jc w:val="center"/>
        </w:trPr>
        <w:tc>
          <w:tcPr>
            <w:tcW w:w="1136" w:type="dxa"/>
            <w:gridSpan w:val="2"/>
            <w:vMerge w:val="continue"/>
            <w:tcBorders>
              <w:left w:val="single" w:color="auto" w:sz="4" w:space="0"/>
              <w:right w:val="single" w:color="auto" w:sz="4" w:space="0"/>
            </w:tcBorders>
            <w:shd w:val="clear" w:color="auto" w:fill="auto"/>
            <w:noWrap w:val="0"/>
            <w:vAlign w:val="center"/>
          </w:tcPr>
          <w:p>
            <w:pPr>
              <w:rPr>
                <w:rFonts w:hint="eastAsia" w:ascii="仿宋" w:hAnsi="仿宋" w:eastAsia="仿宋" w:cs="仿宋"/>
                <w:b w:val="0"/>
                <w:bCs/>
                <w:color w:val="000000"/>
                <w:szCs w:val="21"/>
                <w:highlight w:val="none"/>
              </w:rPr>
            </w:pPr>
          </w:p>
        </w:tc>
        <w:tc>
          <w:tcPr>
            <w:tcW w:w="707" w:type="dxa"/>
            <w:gridSpan w:val="2"/>
            <w:vMerge w:val="continue"/>
            <w:tcBorders>
              <w:left w:val="single" w:color="auto" w:sz="4" w:space="0"/>
              <w:right w:val="single" w:color="auto" w:sz="4" w:space="0"/>
            </w:tcBorders>
            <w:shd w:val="clear" w:color="auto" w:fill="auto"/>
            <w:noWrap w:val="0"/>
            <w:vAlign w:val="center"/>
          </w:tcPr>
          <w:p>
            <w:pPr>
              <w:rPr>
                <w:rFonts w:hint="eastAsia" w:ascii="仿宋" w:hAnsi="仿宋" w:eastAsia="仿宋" w:cs="仿宋"/>
                <w:b w:val="0"/>
                <w:bCs/>
                <w:color w:val="000000"/>
                <w:szCs w:val="21"/>
                <w:highlight w:val="none"/>
              </w:rPr>
            </w:pP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2</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项目重点难点分析、应对措施及相关的合理化建议</w:t>
            </w:r>
          </w:p>
        </w:tc>
        <w:tc>
          <w:tcPr>
            <w:tcW w:w="94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default" w:ascii="仿宋" w:hAnsi="仿宋" w:eastAsia="仿宋" w:cs="仿宋"/>
                <w:b w:val="0"/>
                <w:bCs/>
                <w:color w:val="000000"/>
                <w:szCs w:val="21"/>
                <w:highlight w:val="none"/>
                <w:lang w:val="en-US" w:eastAsia="zh-CN"/>
              </w:rPr>
            </w:pPr>
            <w:r>
              <w:rPr>
                <w:rFonts w:hint="eastAsia" w:ascii="仿宋" w:hAnsi="仿宋" w:eastAsia="仿宋" w:cs="仿宋"/>
                <w:b w:val="0"/>
                <w:bCs/>
                <w:color w:val="000000"/>
                <w:szCs w:val="21"/>
                <w:highlight w:val="none"/>
                <w:lang w:val="en-US" w:eastAsia="zh-CN"/>
              </w:rPr>
              <w:t>15</w:t>
            </w:r>
          </w:p>
        </w:tc>
        <w:tc>
          <w:tcPr>
            <w:tcW w:w="4098" w:type="dxa"/>
            <w:gridSpan w:val="4"/>
            <w:tcBorders>
              <w:top w:val="single" w:color="auto" w:sz="4" w:space="0"/>
              <w:left w:val="single" w:color="auto" w:sz="4" w:space="0"/>
              <w:bottom w:val="single" w:color="auto" w:sz="4" w:space="0"/>
              <w:right w:val="single" w:color="auto" w:sz="4" w:space="0"/>
            </w:tcBorders>
            <w:shd w:val="clear" w:color="auto" w:fill="auto"/>
            <w:noWrap w:val="0"/>
            <w:vAlign w:val="top"/>
          </w:tcPr>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（一）评审内容：</w:t>
            </w:r>
          </w:p>
          <w:p>
            <w:pPr>
              <w:snapToGrid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投标人需按本项目要求提供项目重点难点分析、应对措施及相关的合理化建议，包括以下内容：</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1.项目重点难点分析；</w:t>
            </w:r>
          </w:p>
          <w:p>
            <w:pPr>
              <w:widowControl/>
              <w:rPr>
                <w:rFonts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2.应对措施及相关的合理化建议。</w:t>
            </w:r>
          </w:p>
          <w:p>
            <w:pPr>
              <w:widowControl/>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（二）投标人提供的项目重点难点分析、应对措施及相关的合理化建议每满足以上1点的得</w:t>
            </w:r>
            <w:r>
              <w:rPr>
                <w:rFonts w:hint="eastAsia" w:ascii="仿宋" w:hAnsi="仿宋" w:eastAsia="仿宋" w:cs="仿宋"/>
                <w:b w:val="0"/>
                <w:bCs/>
                <w:color w:val="000000"/>
                <w:szCs w:val="21"/>
                <w:highlight w:val="none"/>
                <w:u w:val="single"/>
              </w:rPr>
              <w:t>20</w:t>
            </w:r>
            <w:r>
              <w:rPr>
                <w:rFonts w:hint="eastAsia" w:ascii="仿宋" w:hAnsi="仿宋" w:eastAsia="仿宋" w:cs="仿宋"/>
                <w:b w:val="0"/>
                <w:bCs/>
                <w:color w:val="000000"/>
                <w:szCs w:val="21"/>
                <w:highlight w:val="none"/>
              </w:rPr>
              <w:t>分，最高得</w:t>
            </w:r>
            <w:r>
              <w:rPr>
                <w:rFonts w:hint="eastAsia" w:ascii="仿宋" w:hAnsi="仿宋" w:eastAsia="仿宋" w:cs="仿宋"/>
                <w:b w:val="0"/>
                <w:bCs/>
                <w:color w:val="000000"/>
                <w:szCs w:val="21"/>
                <w:highlight w:val="none"/>
                <w:u w:val="single"/>
              </w:rPr>
              <w:t>40</w:t>
            </w:r>
            <w:r>
              <w:rPr>
                <w:rFonts w:hint="eastAsia" w:ascii="仿宋" w:hAnsi="仿宋" w:eastAsia="仿宋" w:cs="仿宋"/>
                <w:b w:val="0"/>
                <w:bCs/>
                <w:color w:val="000000"/>
                <w:szCs w:val="21"/>
                <w:highlight w:val="none"/>
              </w:rPr>
              <w:t>分。</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在以上评审内容的基础上，专家根据各投标人的具体响应内容进一步评审加分：</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1.对项目重难点的判断准确；</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2.对项目重难点的论述充分全面；</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3.应对措施和建议与重难点之间的对应关系较好；</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4.应对措施和建议考虑全面，且切</w:t>
            </w:r>
          </w:p>
          <w:p>
            <w:pPr>
              <w:wordWrap w:val="0"/>
              <w:rPr>
                <w:rFonts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实有效、针对性强。</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每满足以上1项要求加15分，最高加60分。</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备注：</w:t>
            </w:r>
          </w:p>
          <w:p>
            <w:pPr>
              <w:snapToGrid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1.以上评审按百分制打分，累加计分，最高得100分；</w:t>
            </w:r>
          </w:p>
          <w:p>
            <w:pP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2.不提供或提供不齐全的或无法辨别的不得分。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 w:hRule="atLeast"/>
          <w:jc w:val="center"/>
        </w:trPr>
        <w:tc>
          <w:tcPr>
            <w:tcW w:w="1136" w:type="dxa"/>
            <w:gridSpan w:val="2"/>
            <w:vMerge w:val="continue"/>
            <w:tcBorders>
              <w:left w:val="single" w:color="auto" w:sz="4" w:space="0"/>
              <w:right w:val="single" w:color="auto" w:sz="4" w:space="0"/>
            </w:tcBorders>
            <w:shd w:val="clear" w:color="auto" w:fill="auto"/>
            <w:noWrap w:val="0"/>
            <w:vAlign w:val="center"/>
          </w:tcPr>
          <w:p>
            <w:pPr>
              <w:rPr>
                <w:rFonts w:hint="eastAsia" w:ascii="仿宋" w:hAnsi="仿宋" w:eastAsia="仿宋" w:cs="仿宋"/>
                <w:b w:val="0"/>
                <w:bCs/>
                <w:color w:val="000000"/>
                <w:szCs w:val="21"/>
                <w:highlight w:val="none"/>
              </w:rPr>
            </w:pPr>
          </w:p>
        </w:tc>
        <w:tc>
          <w:tcPr>
            <w:tcW w:w="707" w:type="dxa"/>
            <w:gridSpan w:val="2"/>
            <w:vMerge w:val="continue"/>
            <w:tcBorders>
              <w:left w:val="single" w:color="auto" w:sz="4" w:space="0"/>
              <w:right w:val="single" w:color="auto" w:sz="4" w:space="0"/>
            </w:tcBorders>
            <w:shd w:val="clear" w:color="auto" w:fill="auto"/>
            <w:noWrap w:val="0"/>
            <w:vAlign w:val="center"/>
          </w:tcPr>
          <w:p>
            <w:pPr>
              <w:rPr>
                <w:rFonts w:hint="eastAsia" w:ascii="仿宋" w:hAnsi="仿宋" w:eastAsia="仿宋" w:cs="仿宋"/>
                <w:b w:val="0"/>
                <w:bCs/>
                <w:color w:val="000000"/>
                <w:szCs w:val="21"/>
                <w:highlight w:val="none"/>
              </w:rPr>
            </w:pP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3</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质量（完成时间、安全、环保）保障措施及方案</w:t>
            </w:r>
          </w:p>
        </w:tc>
        <w:tc>
          <w:tcPr>
            <w:tcW w:w="94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default" w:ascii="仿宋" w:hAnsi="仿宋" w:eastAsia="仿宋" w:cs="仿宋"/>
                <w:b w:val="0"/>
                <w:bCs/>
                <w:color w:val="000000"/>
                <w:szCs w:val="21"/>
                <w:highlight w:val="none"/>
                <w:lang w:val="en-US" w:eastAsia="zh-CN"/>
              </w:rPr>
            </w:pPr>
            <w:r>
              <w:rPr>
                <w:rFonts w:hint="eastAsia" w:ascii="仿宋" w:hAnsi="仿宋" w:eastAsia="仿宋" w:cs="仿宋"/>
                <w:b w:val="0"/>
                <w:bCs/>
                <w:color w:val="000000"/>
                <w:szCs w:val="21"/>
                <w:highlight w:val="none"/>
                <w:lang w:val="en-US" w:eastAsia="zh-CN"/>
              </w:rPr>
              <w:t>7</w:t>
            </w:r>
          </w:p>
        </w:tc>
        <w:tc>
          <w:tcPr>
            <w:tcW w:w="4098" w:type="dxa"/>
            <w:gridSpan w:val="4"/>
            <w:tcBorders>
              <w:top w:val="single" w:color="auto" w:sz="4" w:space="0"/>
              <w:left w:val="single" w:color="auto" w:sz="4" w:space="0"/>
              <w:bottom w:val="single" w:color="auto" w:sz="4" w:space="0"/>
              <w:right w:val="single" w:color="auto" w:sz="4" w:space="0"/>
            </w:tcBorders>
            <w:shd w:val="clear" w:color="auto" w:fill="auto"/>
            <w:noWrap w:val="0"/>
            <w:vAlign w:val="top"/>
          </w:tcPr>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（一）评审内容：</w:t>
            </w:r>
          </w:p>
          <w:p>
            <w:pPr>
              <w:snapToGrid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投标人需按本项目要求提供</w:t>
            </w:r>
            <w:r>
              <w:rPr>
                <w:rFonts w:ascii="仿宋" w:hAnsi="仿宋" w:eastAsia="仿宋" w:cs="仿宋"/>
                <w:b w:val="0"/>
                <w:bCs/>
                <w:color w:val="000000"/>
                <w:szCs w:val="21"/>
                <w:highlight w:val="none"/>
              </w:rPr>
              <w:t>质量及进度保障措施</w:t>
            </w:r>
            <w:r>
              <w:rPr>
                <w:rFonts w:hint="eastAsia" w:ascii="仿宋" w:hAnsi="仿宋" w:eastAsia="仿宋" w:cs="仿宋"/>
                <w:b w:val="0"/>
                <w:bCs/>
                <w:color w:val="000000"/>
                <w:szCs w:val="21"/>
                <w:highlight w:val="none"/>
              </w:rPr>
              <w:t>，包括以下内容：</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1.具有项目进度计划及保障措施；</w:t>
            </w:r>
          </w:p>
          <w:p>
            <w:pPr>
              <w:widowControl/>
              <w:rPr>
                <w:rFonts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2.具有项目质量目标及保障措施。</w:t>
            </w:r>
          </w:p>
          <w:p>
            <w:pPr>
              <w:widowControl/>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（二）投标人提供的</w:t>
            </w:r>
            <w:r>
              <w:rPr>
                <w:rFonts w:ascii="仿宋" w:hAnsi="仿宋" w:eastAsia="仿宋" w:cs="仿宋"/>
                <w:b w:val="0"/>
                <w:bCs/>
                <w:color w:val="000000"/>
                <w:szCs w:val="21"/>
                <w:highlight w:val="none"/>
              </w:rPr>
              <w:t>质量及进度保障措施</w:t>
            </w:r>
            <w:r>
              <w:rPr>
                <w:rFonts w:hint="eastAsia" w:ascii="仿宋" w:hAnsi="仿宋" w:eastAsia="仿宋" w:cs="仿宋"/>
                <w:b w:val="0"/>
                <w:bCs/>
                <w:color w:val="000000"/>
                <w:szCs w:val="21"/>
                <w:highlight w:val="none"/>
              </w:rPr>
              <w:t>每满足以上1点的得</w:t>
            </w:r>
            <w:r>
              <w:rPr>
                <w:rFonts w:hint="eastAsia" w:ascii="仿宋" w:hAnsi="仿宋" w:eastAsia="仿宋" w:cs="仿宋"/>
                <w:b w:val="0"/>
                <w:bCs/>
                <w:color w:val="000000"/>
                <w:szCs w:val="21"/>
                <w:highlight w:val="none"/>
                <w:u w:val="single"/>
              </w:rPr>
              <w:t>25</w:t>
            </w:r>
            <w:r>
              <w:rPr>
                <w:rFonts w:hint="eastAsia" w:ascii="仿宋" w:hAnsi="仿宋" w:eastAsia="仿宋" w:cs="仿宋"/>
                <w:b w:val="0"/>
                <w:bCs/>
                <w:color w:val="000000"/>
                <w:szCs w:val="21"/>
                <w:highlight w:val="none"/>
              </w:rPr>
              <w:t>分，最高得</w:t>
            </w:r>
            <w:r>
              <w:rPr>
                <w:rFonts w:hint="eastAsia" w:ascii="仿宋" w:hAnsi="仿宋" w:eastAsia="仿宋" w:cs="仿宋"/>
                <w:b w:val="0"/>
                <w:bCs/>
                <w:color w:val="000000"/>
                <w:szCs w:val="21"/>
                <w:highlight w:val="none"/>
                <w:u w:val="single"/>
              </w:rPr>
              <w:t>50</w:t>
            </w:r>
            <w:r>
              <w:rPr>
                <w:rFonts w:hint="eastAsia" w:ascii="仿宋" w:hAnsi="仿宋" w:eastAsia="仿宋" w:cs="仿宋"/>
                <w:b w:val="0"/>
                <w:bCs/>
                <w:color w:val="000000"/>
                <w:szCs w:val="21"/>
                <w:highlight w:val="none"/>
              </w:rPr>
              <w:t>分。</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在以上评审内容的基础上，专家根据各投标人的具体响应内容进一步评审加分：</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1.进度计划安排合理；</w:t>
            </w:r>
          </w:p>
          <w:p>
            <w:pPr>
              <w:snapToGrid w:val="0"/>
              <w:rPr>
                <w:rFonts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2.保障措施及方案可行。</w:t>
            </w:r>
          </w:p>
          <w:p>
            <w:pPr>
              <w:snapToGrid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每满足以上1项要求加</w:t>
            </w:r>
            <w:r>
              <w:rPr>
                <w:rFonts w:hint="eastAsia" w:ascii="仿宋" w:hAnsi="仿宋" w:eastAsia="仿宋" w:cs="仿宋"/>
                <w:b w:val="0"/>
                <w:bCs/>
                <w:color w:val="000000"/>
                <w:szCs w:val="21"/>
                <w:highlight w:val="none"/>
                <w:u w:val="single"/>
              </w:rPr>
              <w:t>25</w:t>
            </w:r>
            <w:r>
              <w:rPr>
                <w:rFonts w:hint="eastAsia" w:ascii="仿宋" w:hAnsi="仿宋" w:eastAsia="仿宋" w:cs="仿宋"/>
                <w:b w:val="0"/>
                <w:bCs/>
                <w:color w:val="000000"/>
                <w:szCs w:val="21"/>
                <w:highlight w:val="none"/>
              </w:rPr>
              <w:t>分，最高加</w:t>
            </w:r>
            <w:r>
              <w:rPr>
                <w:rFonts w:hint="eastAsia" w:ascii="仿宋" w:hAnsi="仿宋" w:eastAsia="仿宋" w:cs="仿宋"/>
                <w:b w:val="0"/>
                <w:bCs/>
                <w:color w:val="000000"/>
                <w:szCs w:val="21"/>
                <w:highlight w:val="none"/>
                <w:u w:val="single"/>
              </w:rPr>
              <w:t>50</w:t>
            </w:r>
            <w:r>
              <w:rPr>
                <w:rFonts w:hint="eastAsia" w:ascii="仿宋" w:hAnsi="仿宋" w:eastAsia="仿宋" w:cs="仿宋"/>
                <w:b w:val="0"/>
                <w:bCs/>
                <w:color w:val="000000"/>
                <w:szCs w:val="21"/>
                <w:highlight w:val="none"/>
              </w:rPr>
              <w:t>分。</w:t>
            </w:r>
          </w:p>
          <w:p>
            <w:pPr>
              <w:snapToGrid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备注：</w:t>
            </w:r>
          </w:p>
          <w:p>
            <w:pPr>
              <w:snapToGrid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1.以上评审按百分制打分，累加计分，最高得100分；</w:t>
            </w:r>
          </w:p>
          <w:p>
            <w:pP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2.不提供或提供不齐全的或无法辨别的不得分。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 w:hRule="atLeast"/>
          <w:jc w:val="center"/>
        </w:trPr>
        <w:tc>
          <w:tcPr>
            <w:tcW w:w="1136" w:type="dxa"/>
            <w:gridSpan w:val="2"/>
            <w:vMerge w:val="continue"/>
            <w:tcBorders>
              <w:left w:val="single" w:color="auto" w:sz="4" w:space="0"/>
              <w:right w:val="single" w:color="auto" w:sz="4" w:space="0"/>
            </w:tcBorders>
            <w:shd w:val="clear" w:color="auto" w:fill="auto"/>
            <w:noWrap w:val="0"/>
            <w:vAlign w:val="center"/>
          </w:tcPr>
          <w:p>
            <w:pPr>
              <w:rPr>
                <w:rFonts w:hint="eastAsia" w:ascii="仿宋" w:hAnsi="仿宋" w:eastAsia="仿宋" w:cs="仿宋"/>
                <w:b w:val="0"/>
                <w:bCs/>
                <w:color w:val="000000"/>
                <w:szCs w:val="21"/>
                <w:highlight w:val="none"/>
              </w:rPr>
            </w:pPr>
          </w:p>
        </w:tc>
        <w:tc>
          <w:tcPr>
            <w:tcW w:w="707" w:type="dxa"/>
            <w:gridSpan w:val="2"/>
            <w:vMerge w:val="continue"/>
            <w:tcBorders>
              <w:left w:val="single" w:color="auto" w:sz="4" w:space="0"/>
              <w:right w:val="single" w:color="auto" w:sz="4" w:space="0"/>
            </w:tcBorders>
            <w:shd w:val="clear" w:color="auto" w:fill="auto"/>
            <w:noWrap w:val="0"/>
            <w:vAlign w:val="center"/>
          </w:tcPr>
          <w:p>
            <w:pPr>
              <w:rPr>
                <w:rFonts w:hint="eastAsia" w:ascii="仿宋" w:hAnsi="仿宋" w:eastAsia="仿宋" w:cs="仿宋"/>
                <w:b w:val="0"/>
                <w:bCs/>
                <w:color w:val="000000"/>
                <w:szCs w:val="21"/>
                <w:highlight w:val="none"/>
              </w:rPr>
            </w:pP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4</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项目完成（服务期满）后的服务承诺</w:t>
            </w:r>
          </w:p>
        </w:tc>
        <w:tc>
          <w:tcPr>
            <w:tcW w:w="94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lang w:eastAsia="zh-CN"/>
              </w:rPr>
            </w:pPr>
            <w:r>
              <w:rPr>
                <w:rFonts w:hint="eastAsia" w:ascii="仿宋" w:hAnsi="仿宋" w:eastAsia="仿宋" w:cs="仿宋"/>
                <w:b w:val="0"/>
                <w:bCs/>
                <w:color w:val="000000"/>
                <w:szCs w:val="21"/>
                <w:highlight w:val="none"/>
                <w:lang w:val="en-US" w:eastAsia="zh-CN"/>
              </w:rPr>
              <w:t>5</w:t>
            </w:r>
          </w:p>
        </w:tc>
        <w:tc>
          <w:tcPr>
            <w:tcW w:w="4098" w:type="dxa"/>
            <w:gridSpan w:val="4"/>
            <w:tcBorders>
              <w:top w:val="single" w:color="auto" w:sz="4" w:space="0"/>
              <w:left w:val="single" w:color="auto" w:sz="4" w:space="0"/>
              <w:bottom w:val="single" w:color="auto" w:sz="4" w:space="0"/>
              <w:right w:val="single" w:color="auto" w:sz="4" w:space="0"/>
            </w:tcBorders>
            <w:shd w:val="clear" w:color="auto" w:fill="auto"/>
            <w:noWrap w:val="0"/>
            <w:vAlign w:val="top"/>
          </w:tcPr>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（一）评审内容：</w:t>
            </w:r>
          </w:p>
          <w:p>
            <w:pPr>
              <w:snapToGrid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投标人需按本项目要求提供</w:t>
            </w:r>
            <w:r>
              <w:rPr>
                <w:rFonts w:ascii="仿宋" w:hAnsi="仿宋" w:eastAsia="仿宋" w:cs="仿宋"/>
                <w:b w:val="0"/>
                <w:bCs/>
                <w:color w:val="000000"/>
                <w:szCs w:val="21"/>
                <w:highlight w:val="none"/>
              </w:rPr>
              <w:t>项目完成（服务期满）后的服务承诺</w:t>
            </w:r>
            <w:r>
              <w:rPr>
                <w:rFonts w:hint="eastAsia" w:ascii="仿宋" w:hAnsi="仿宋" w:eastAsia="仿宋" w:cs="仿宋"/>
                <w:b w:val="0"/>
                <w:bCs/>
                <w:color w:val="000000"/>
                <w:szCs w:val="21"/>
                <w:highlight w:val="none"/>
              </w:rPr>
              <w:t>，包括以下内容：</w:t>
            </w:r>
          </w:p>
          <w:p>
            <w:pPr>
              <w:wordWrap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1.服务承诺。</w:t>
            </w:r>
          </w:p>
          <w:p>
            <w:pPr>
              <w:widowControl/>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（二）投标人提供上述服务承诺得</w:t>
            </w:r>
            <w:r>
              <w:rPr>
                <w:rFonts w:hint="eastAsia" w:ascii="仿宋" w:hAnsi="仿宋" w:eastAsia="仿宋" w:cs="仿宋"/>
                <w:b w:val="0"/>
                <w:bCs/>
                <w:color w:val="000000"/>
                <w:szCs w:val="21"/>
                <w:highlight w:val="none"/>
                <w:u w:val="single"/>
              </w:rPr>
              <w:t>50</w:t>
            </w:r>
            <w:r>
              <w:rPr>
                <w:rFonts w:hint="eastAsia" w:ascii="仿宋" w:hAnsi="仿宋" w:eastAsia="仿宋" w:cs="仿宋"/>
                <w:b w:val="0"/>
                <w:bCs/>
                <w:color w:val="000000"/>
                <w:szCs w:val="21"/>
                <w:highlight w:val="none"/>
              </w:rPr>
              <w:t>分，不提供不得分。</w:t>
            </w:r>
          </w:p>
          <w:p>
            <w:pPr>
              <w:widowControl/>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在以上评审内容的基础上，专家根据各投标人的具体响应内容进一步评审加分：</w:t>
            </w:r>
          </w:p>
          <w:p>
            <w:pPr>
              <w:widowControl/>
              <w:rPr>
                <w:rFonts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1.服务承诺具体、全面、可行。</w:t>
            </w:r>
          </w:p>
          <w:p>
            <w:pPr>
              <w:snapToGrid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满足以上要求加</w:t>
            </w:r>
            <w:r>
              <w:rPr>
                <w:rFonts w:hint="eastAsia" w:ascii="仿宋" w:hAnsi="仿宋" w:eastAsia="仿宋" w:cs="仿宋"/>
                <w:b w:val="0"/>
                <w:bCs/>
                <w:color w:val="000000"/>
                <w:szCs w:val="21"/>
                <w:highlight w:val="none"/>
                <w:u w:val="single"/>
              </w:rPr>
              <w:t>50</w:t>
            </w:r>
            <w:r>
              <w:rPr>
                <w:rFonts w:hint="eastAsia" w:ascii="仿宋" w:hAnsi="仿宋" w:eastAsia="仿宋" w:cs="仿宋"/>
                <w:b w:val="0"/>
                <w:bCs/>
                <w:color w:val="000000"/>
                <w:szCs w:val="21"/>
                <w:highlight w:val="none"/>
              </w:rPr>
              <w:t>分，不满足不得分。</w:t>
            </w:r>
          </w:p>
          <w:p>
            <w:pPr>
              <w:snapToGrid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备注：</w:t>
            </w:r>
          </w:p>
          <w:p>
            <w:pPr>
              <w:snapToGrid w:val="0"/>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1.以上评审按百分制打分，累加计分，最高得100分；</w:t>
            </w:r>
          </w:p>
          <w:p>
            <w:pP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2.不提供或提供不齐全的或无法辨别的不得分。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 w:hRule="atLeast"/>
          <w:jc w:val="center"/>
        </w:trPr>
        <w:tc>
          <w:tcPr>
            <w:tcW w:w="1136" w:type="dxa"/>
            <w:gridSpan w:val="2"/>
            <w:vMerge w:val="continue"/>
            <w:tcBorders>
              <w:left w:val="single" w:color="auto" w:sz="4" w:space="0"/>
              <w:right w:val="single" w:color="auto" w:sz="4" w:space="0"/>
            </w:tcBorders>
            <w:shd w:val="clear" w:color="auto" w:fill="auto"/>
            <w:noWrap w:val="0"/>
            <w:vAlign w:val="center"/>
          </w:tcPr>
          <w:p>
            <w:pPr>
              <w:rPr>
                <w:rFonts w:hint="eastAsia" w:ascii="仿宋" w:hAnsi="仿宋" w:eastAsia="仿宋" w:cs="仿宋"/>
                <w:b w:val="0"/>
                <w:bCs/>
                <w:color w:val="000000"/>
                <w:szCs w:val="21"/>
                <w:highlight w:val="none"/>
              </w:rPr>
            </w:pPr>
          </w:p>
        </w:tc>
        <w:tc>
          <w:tcPr>
            <w:tcW w:w="707" w:type="dxa"/>
            <w:gridSpan w:val="2"/>
            <w:vMerge w:val="continue"/>
            <w:tcBorders>
              <w:left w:val="single" w:color="auto" w:sz="4" w:space="0"/>
              <w:right w:val="single" w:color="auto" w:sz="4" w:space="0"/>
            </w:tcBorders>
            <w:shd w:val="clear" w:color="auto" w:fill="auto"/>
            <w:noWrap w:val="0"/>
            <w:vAlign w:val="center"/>
          </w:tcPr>
          <w:p>
            <w:pPr>
              <w:rPr>
                <w:rFonts w:hint="eastAsia" w:ascii="仿宋" w:hAnsi="仿宋" w:eastAsia="仿宋" w:cs="仿宋"/>
                <w:b w:val="0"/>
                <w:bCs/>
                <w:color w:val="000000"/>
                <w:szCs w:val="21"/>
                <w:highlight w:val="none"/>
              </w:rPr>
            </w:pP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5</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违约承诺</w:t>
            </w:r>
          </w:p>
        </w:tc>
        <w:tc>
          <w:tcPr>
            <w:tcW w:w="94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lang w:eastAsia="zh-CN"/>
              </w:rPr>
            </w:pPr>
            <w:r>
              <w:rPr>
                <w:rFonts w:hint="eastAsia" w:ascii="仿宋" w:hAnsi="仿宋" w:eastAsia="仿宋" w:cs="仿宋"/>
                <w:b w:val="0"/>
                <w:bCs/>
                <w:color w:val="000000"/>
                <w:szCs w:val="21"/>
                <w:highlight w:val="none"/>
                <w:lang w:val="en-US" w:eastAsia="zh-CN"/>
              </w:rPr>
              <w:t>3</w:t>
            </w:r>
          </w:p>
        </w:tc>
        <w:tc>
          <w:tcPr>
            <w:tcW w:w="4098" w:type="dxa"/>
            <w:gridSpan w:val="4"/>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（一）评审内容：</w:t>
            </w:r>
          </w:p>
          <w:p>
            <w:pPr>
              <w:jc w:val="left"/>
              <w:rPr>
                <w:rFonts w:hint="eastAsia" w:ascii="仿宋" w:hAnsi="仿宋" w:eastAsia="仿宋" w:cs="仿宋"/>
                <w:b w:val="0"/>
                <w:bCs/>
                <w:iCs/>
                <w:color w:val="000000"/>
                <w:szCs w:val="21"/>
                <w:highlight w:val="none"/>
              </w:rPr>
            </w:pPr>
            <w:r>
              <w:rPr>
                <w:rFonts w:hint="eastAsia" w:ascii="仿宋" w:hAnsi="仿宋" w:eastAsia="仿宋" w:cs="仿宋"/>
                <w:b w:val="0"/>
                <w:bCs/>
                <w:color w:val="000000"/>
                <w:szCs w:val="21"/>
                <w:highlight w:val="none"/>
              </w:rPr>
              <w:t>投标人需以本项目要求提供违约承诺，违约承诺包括以下内容：</w:t>
            </w:r>
          </w:p>
          <w:p>
            <w:pPr>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w:t>
            </w:r>
            <w:r>
              <w:rPr>
                <w:rFonts w:ascii="仿宋" w:hAnsi="仿宋" w:eastAsia="仿宋" w:cs="仿宋"/>
                <w:b w:val="0"/>
                <w:bCs/>
                <w:color w:val="000000"/>
                <w:szCs w:val="21"/>
                <w:highlight w:val="none"/>
              </w:rPr>
              <w:t>违约承诺满足招标文件要求。</w:t>
            </w:r>
          </w:p>
          <w:p>
            <w:pPr>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（二）投标人提供违约承诺5</w:t>
            </w:r>
            <w:r>
              <w:rPr>
                <w:rFonts w:hint="eastAsia" w:ascii="仿宋" w:hAnsi="仿宋" w:eastAsia="仿宋" w:cs="仿宋"/>
                <w:b w:val="0"/>
                <w:bCs/>
                <w:color w:val="000000"/>
                <w:szCs w:val="21"/>
                <w:highlight w:val="none"/>
                <w:u w:val="single"/>
              </w:rPr>
              <w:t>0</w:t>
            </w:r>
            <w:r>
              <w:rPr>
                <w:rFonts w:hint="eastAsia" w:ascii="仿宋" w:hAnsi="仿宋" w:eastAsia="仿宋" w:cs="仿宋"/>
                <w:b w:val="0"/>
                <w:bCs/>
                <w:color w:val="000000"/>
                <w:szCs w:val="21"/>
                <w:highlight w:val="none"/>
              </w:rPr>
              <w:t>分，最不提供不得分。</w:t>
            </w:r>
          </w:p>
          <w:p>
            <w:pPr>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在以上评审内容的基础上，专家根据各投标人的具体响应内容进一步评审加分：</w:t>
            </w:r>
          </w:p>
          <w:p>
            <w:pPr>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w:t>
            </w:r>
            <w:r>
              <w:rPr>
                <w:rFonts w:ascii="仿宋" w:hAnsi="仿宋" w:eastAsia="仿宋" w:cs="仿宋"/>
                <w:b w:val="0"/>
                <w:bCs/>
                <w:color w:val="000000"/>
                <w:szCs w:val="21"/>
                <w:highlight w:val="none"/>
              </w:rPr>
              <w:t>违约承诺合理、具体</w:t>
            </w:r>
            <w:r>
              <w:rPr>
                <w:rFonts w:hint="eastAsia" w:ascii="仿宋" w:hAnsi="仿宋" w:eastAsia="仿宋" w:cs="仿宋"/>
                <w:b w:val="0"/>
                <w:bCs/>
                <w:color w:val="000000"/>
                <w:szCs w:val="21"/>
                <w:highlight w:val="none"/>
              </w:rPr>
              <w:t>。</w:t>
            </w:r>
          </w:p>
          <w:p>
            <w:pPr>
              <w:jc w:val="left"/>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满足以上要求加</w:t>
            </w:r>
            <w:r>
              <w:rPr>
                <w:rFonts w:hint="eastAsia" w:ascii="仿宋" w:hAnsi="仿宋" w:eastAsia="仿宋" w:cs="仿宋"/>
                <w:b w:val="0"/>
                <w:bCs/>
                <w:color w:val="000000"/>
                <w:szCs w:val="21"/>
                <w:highlight w:val="none"/>
                <w:u w:val="single"/>
              </w:rPr>
              <w:t>50</w:t>
            </w:r>
            <w:r>
              <w:rPr>
                <w:rFonts w:hint="eastAsia" w:ascii="仿宋" w:hAnsi="仿宋" w:eastAsia="仿宋" w:cs="仿宋"/>
                <w:b w:val="0"/>
                <w:bCs/>
                <w:color w:val="000000"/>
                <w:szCs w:val="21"/>
                <w:highlight w:val="none"/>
              </w:rPr>
              <w:t>分，不满足不得分。</w:t>
            </w:r>
          </w:p>
          <w:p>
            <w:pPr>
              <w:snapToGrid w:val="0"/>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备注：</w:t>
            </w:r>
          </w:p>
          <w:p>
            <w:pPr>
              <w:snapToGrid w:val="0"/>
              <w:rPr>
                <w:rFonts w:hint="eastAsia" w:ascii="仿宋" w:hAnsi="仿宋" w:eastAsia="仿宋" w:cs="仿宋"/>
                <w:b w:val="0"/>
                <w:bCs/>
                <w:color w:val="000000"/>
                <w:highlight w:val="none"/>
              </w:rPr>
            </w:pPr>
            <w:r>
              <w:rPr>
                <w:rFonts w:hint="eastAsia" w:ascii="仿宋" w:hAnsi="仿宋" w:eastAsia="仿宋" w:cs="仿宋"/>
                <w:b w:val="0"/>
                <w:bCs/>
                <w:color w:val="000000"/>
                <w:szCs w:val="21"/>
                <w:highlight w:val="none"/>
              </w:rPr>
              <w:t>1.以上评审按百分制打分，累加计分，最高得100分；</w:t>
            </w:r>
          </w:p>
          <w:p>
            <w:pPr>
              <w:pStyle w:val="3"/>
              <w:rPr>
                <w:rFonts w:hint="eastAsia" w:ascii="仿宋" w:hAnsi="仿宋" w:eastAsia="仿宋" w:cs="仿宋"/>
                <w:b w:val="0"/>
                <w:bCs/>
                <w:color w:val="000000"/>
                <w:szCs w:val="21"/>
                <w:highlight w:val="none"/>
              </w:rPr>
            </w:pPr>
            <w:r>
              <w:rPr>
                <w:rFonts w:hint="eastAsia" w:ascii="仿宋" w:hAnsi="仿宋" w:eastAsia="仿宋" w:cs="仿宋"/>
                <w:b w:val="0"/>
                <w:bCs/>
                <w:color w:val="000000"/>
                <w:highlight w:val="none"/>
              </w:rPr>
              <w:t>2.不提供或提供不齐全的或无法辨别的不得分。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136" w:type="dxa"/>
            <w:gridSpan w:val="2"/>
            <w:vMerge w:val="continue"/>
            <w:tcBorders>
              <w:left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p>
        </w:tc>
        <w:tc>
          <w:tcPr>
            <w:tcW w:w="707"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3</w:t>
            </w:r>
          </w:p>
        </w:tc>
        <w:tc>
          <w:tcPr>
            <w:tcW w:w="2177"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综合实力</w:t>
            </w:r>
          </w:p>
        </w:tc>
        <w:tc>
          <w:tcPr>
            <w:tcW w:w="5040" w:type="dxa"/>
            <w:gridSpan w:val="5"/>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jc w:val="center"/>
        </w:trPr>
        <w:tc>
          <w:tcPr>
            <w:tcW w:w="1136" w:type="dxa"/>
            <w:gridSpan w:val="2"/>
            <w:vMerge w:val="continue"/>
            <w:tcBorders>
              <w:left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p>
        </w:tc>
        <w:tc>
          <w:tcPr>
            <w:tcW w:w="707" w:type="dxa"/>
            <w:gridSpan w:val="2"/>
            <w:vMerge w:val="restart"/>
            <w:tcBorders>
              <w:top w:val="single" w:color="auto" w:sz="4" w:space="0"/>
              <w:left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行号</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内容</w:t>
            </w:r>
          </w:p>
        </w:tc>
        <w:tc>
          <w:tcPr>
            <w:tcW w:w="94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权重</w:t>
            </w:r>
          </w:p>
        </w:tc>
        <w:tc>
          <w:tcPr>
            <w:tcW w:w="4098" w:type="dxa"/>
            <w:gridSpan w:val="4"/>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1136" w:type="dxa"/>
            <w:gridSpan w:val="2"/>
            <w:vMerge w:val="continue"/>
            <w:tcBorders>
              <w:left w:val="single" w:color="auto" w:sz="4" w:space="0"/>
              <w:right w:val="single" w:color="auto" w:sz="4" w:space="0"/>
            </w:tcBorders>
            <w:shd w:val="clear" w:color="auto" w:fill="auto"/>
            <w:noWrap w:val="0"/>
            <w:vAlign w:val="center"/>
          </w:tcPr>
          <w:p>
            <w:pPr>
              <w:rPr>
                <w:rFonts w:hint="eastAsia" w:ascii="仿宋" w:hAnsi="仿宋" w:eastAsia="仿宋" w:cs="仿宋"/>
                <w:b w:val="0"/>
                <w:bCs/>
                <w:color w:val="000000"/>
                <w:szCs w:val="21"/>
                <w:highlight w:val="none"/>
              </w:rPr>
            </w:pPr>
          </w:p>
        </w:tc>
        <w:tc>
          <w:tcPr>
            <w:tcW w:w="707" w:type="dxa"/>
            <w:gridSpan w:val="2"/>
            <w:vMerge w:val="continue"/>
            <w:tcBorders>
              <w:left w:val="single" w:color="auto" w:sz="4" w:space="0"/>
              <w:right w:val="single" w:color="auto" w:sz="4" w:space="0"/>
            </w:tcBorders>
            <w:shd w:val="clear" w:color="auto" w:fill="auto"/>
            <w:noWrap w:val="0"/>
            <w:vAlign w:val="center"/>
          </w:tcPr>
          <w:p>
            <w:pPr>
              <w:rPr>
                <w:rFonts w:hint="eastAsia" w:ascii="仿宋" w:hAnsi="仿宋" w:eastAsia="仿宋" w:cs="仿宋"/>
                <w:b w:val="0"/>
                <w:bCs/>
                <w:color w:val="000000"/>
                <w:szCs w:val="21"/>
                <w:highlight w:val="none"/>
              </w:rPr>
            </w:pP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投标人同类项目业绩情况</w:t>
            </w:r>
          </w:p>
        </w:tc>
        <w:tc>
          <w:tcPr>
            <w:tcW w:w="94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10</w:t>
            </w:r>
          </w:p>
        </w:tc>
        <w:tc>
          <w:tcPr>
            <w:tcW w:w="4098" w:type="dxa"/>
            <w:gridSpan w:val="4"/>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（一）评分内容：</w:t>
            </w:r>
          </w:p>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自2021年1月1日以来（以合同签订日期为准）承担的业绩情况：</w:t>
            </w:r>
          </w:p>
          <w:p>
            <w:pPr>
              <w:pStyle w:val="3"/>
              <w:spacing w:after="0" w:line="240" w:lineRule="auto"/>
              <w:rPr>
                <w:rFonts w:ascii="仿宋" w:hAnsi="仿宋" w:eastAsia="仿宋" w:cs="仿宋"/>
                <w:b w:val="0"/>
                <w:bCs/>
                <w:color w:val="000000"/>
                <w:highlight w:val="none"/>
              </w:rPr>
            </w:pPr>
            <w:r>
              <w:rPr>
                <w:rFonts w:hint="eastAsia" w:ascii="仿宋" w:hAnsi="仿宋" w:eastAsia="仿宋" w:cs="仿宋"/>
                <w:b w:val="0"/>
                <w:bCs/>
                <w:color w:val="000000"/>
                <w:highlight w:val="none"/>
              </w:rPr>
              <w:t>投标人具有</w:t>
            </w:r>
            <w:r>
              <w:rPr>
                <w:rFonts w:ascii="仿宋" w:hAnsi="仿宋" w:eastAsia="仿宋" w:cs="仿宋"/>
                <w:b w:val="0"/>
                <w:bCs/>
                <w:color w:val="000000"/>
                <w:highlight w:val="none"/>
              </w:rPr>
              <w:t>海洋</w:t>
            </w:r>
            <w:r>
              <w:rPr>
                <w:rFonts w:hint="eastAsia" w:ascii="仿宋" w:hAnsi="仿宋" w:eastAsia="仿宋" w:cs="仿宋"/>
                <w:b w:val="0"/>
                <w:bCs/>
                <w:color w:val="000000"/>
                <w:highlight w:val="none"/>
              </w:rPr>
              <w:t>领域相关的</w:t>
            </w:r>
            <w:r>
              <w:rPr>
                <w:rFonts w:ascii="仿宋" w:hAnsi="仿宋" w:eastAsia="仿宋" w:cs="仿宋"/>
                <w:b w:val="0"/>
                <w:bCs/>
                <w:color w:val="000000"/>
                <w:highlight w:val="none"/>
              </w:rPr>
              <w:t>战略规划、产业实施、</w:t>
            </w:r>
            <w:r>
              <w:rPr>
                <w:rFonts w:hint="eastAsia" w:ascii="仿宋" w:hAnsi="仿宋" w:eastAsia="仿宋" w:cs="仿宋"/>
                <w:b w:val="0"/>
                <w:bCs/>
                <w:color w:val="000000"/>
                <w:highlight w:val="none"/>
              </w:rPr>
              <w:t>平台建设、技术服务</w:t>
            </w:r>
            <w:r>
              <w:rPr>
                <w:rFonts w:ascii="仿宋" w:hAnsi="仿宋" w:eastAsia="仿宋" w:cs="仿宋"/>
                <w:b w:val="0"/>
                <w:bCs/>
                <w:color w:val="000000"/>
                <w:highlight w:val="none"/>
              </w:rPr>
              <w:t>等项目业绩的</w:t>
            </w:r>
            <w:r>
              <w:rPr>
                <w:rFonts w:hint="eastAsia" w:ascii="仿宋" w:hAnsi="仿宋" w:eastAsia="仿宋" w:cs="仿宋"/>
                <w:b w:val="0"/>
                <w:bCs/>
                <w:color w:val="000000"/>
                <w:highlight w:val="none"/>
              </w:rPr>
              <w:t>，每提供一个得50分，该项不超过100分；</w:t>
            </w:r>
          </w:p>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（二）评分依据：</w:t>
            </w:r>
          </w:p>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1.要求同时提供合同关键信息和其他证明文件作为得分依据。</w:t>
            </w:r>
          </w:p>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2.通过合同关键信息无法判断是否得分的，也可以提供能证明得分的其他证明资料，如项目报告或合同甲方出具的证明文件等。</w:t>
            </w:r>
          </w:p>
          <w:p>
            <w:pPr>
              <w:pStyle w:val="3"/>
              <w:spacing w:after="0" w:line="240" w:lineRule="auto"/>
              <w:rPr>
                <w:rFonts w:ascii="仿宋" w:hAnsi="仿宋" w:eastAsia="仿宋" w:cs="仿宋"/>
                <w:b w:val="0"/>
                <w:bCs/>
                <w:color w:val="000000"/>
                <w:highlight w:val="none"/>
              </w:rPr>
            </w:pPr>
            <w:r>
              <w:rPr>
                <w:rFonts w:hint="eastAsia" w:ascii="仿宋" w:hAnsi="仿宋" w:eastAsia="仿宋" w:cs="仿宋"/>
                <w:b w:val="0"/>
                <w:bCs/>
                <w:color w:val="000000"/>
                <w:highlight w:val="none"/>
              </w:rPr>
              <w:t>3.以上资料均要求提供扫描件，原件备查。</w:t>
            </w:r>
          </w:p>
          <w:p>
            <w:pPr>
              <w:pStyle w:val="3"/>
              <w:spacing w:after="0" w:line="240" w:lineRule="auto"/>
              <w:rPr>
                <w:rFonts w:ascii="仿宋" w:hAnsi="仿宋" w:eastAsia="仿宋" w:cs="仿宋"/>
                <w:b w:val="0"/>
                <w:bCs/>
                <w:color w:val="000000"/>
                <w:highlight w:val="none"/>
              </w:rPr>
            </w:pPr>
            <w:r>
              <w:rPr>
                <w:rFonts w:hint="eastAsia" w:ascii="仿宋" w:hAnsi="仿宋" w:eastAsia="仿宋" w:cs="仿宋"/>
                <w:b w:val="0"/>
                <w:bCs/>
                <w:color w:val="000000"/>
                <w:highlight w:val="none"/>
              </w:rPr>
              <w:t>备注：</w:t>
            </w:r>
          </w:p>
          <w:p>
            <w:pPr>
              <w:pStyle w:val="3"/>
              <w:numPr>
                <w:ilvl w:val="0"/>
                <w:numId w:val="1"/>
              </w:numPr>
              <w:spacing w:after="0" w:line="240" w:lineRule="auto"/>
              <w:rPr>
                <w:rFonts w:ascii="仿宋" w:hAnsi="仿宋" w:eastAsia="仿宋" w:cs="仿宋"/>
                <w:b w:val="0"/>
                <w:bCs/>
                <w:color w:val="000000"/>
                <w:highlight w:val="none"/>
              </w:rPr>
            </w:pPr>
            <w:r>
              <w:rPr>
                <w:rFonts w:hint="eastAsia" w:ascii="仿宋" w:hAnsi="仿宋" w:eastAsia="仿宋" w:cs="仿宋"/>
                <w:b w:val="0"/>
                <w:bCs/>
                <w:color w:val="000000"/>
                <w:szCs w:val="21"/>
                <w:highlight w:val="none"/>
              </w:rPr>
              <w:t>以上评审按百分制打分，累加计分，最高得100分</w:t>
            </w:r>
            <w:r>
              <w:rPr>
                <w:rFonts w:hint="eastAsia" w:ascii="仿宋" w:hAnsi="仿宋" w:eastAsia="仿宋" w:cs="仿宋"/>
                <w:b w:val="0"/>
                <w:bCs/>
                <w:color w:val="000000"/>
                <w:highlight w:val="none"/>
              </w:rPr>
              <w:t>；</w:t>
            </w:r>
          </w:p>
          <w:p>
            <w:pPr>
              <w:pStyle w:val="3"/>
              <w:numPr>
                <w:ilvl w:val="0"/>
                <w:numId w:val="1"/>
              </w:numPr>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不提供或提供不齐全、无法辨别的不得分。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 w:hRule="atLeast"/>
          <w:jc w:val="center"/>
        </w:trPr>
        <w:tc>
          <w:tcPr>
            <w:tcW w:w="1136" w:type="dxa"/>
            <w:gridSpan w:val="2"/>
            <w:vMerge w:val="continue"/>
            <w:tcBorders>
              <w:left w:val="single" w:color="auto" w:sz="4" w:space="0"/>
              <w:right w:val="single" w:color="auto" w:sz="4" w:space="0"/>
            </w:tcBorders>
            <w:shd w:val="clear" w:color="auto" w:fill="auto"/>
            <w:noWrap w:val="0"/>
            <w:vAlign w:val="center"/>
          </w:tcPr>
          <w:p>
            <w:pPr>
              <w:rPr>
                <w:rFonts w:hint="eastAsia" w:ascii="仿宋" w:hAnsi="仿宋" w:eastAsia="仿宋" w:cs="仿宋"/>
                <w:b w:val="0"/>
                <w:bCs/>
                <w:color w:val="000000"/>
                <w:szCs w:val="21"/>
                <w:highlight w:val="none"/>
              </w:rPr>
            </w:pPr>
          </w:p>
        </w:tc>
        <w:tc>
          <w:tcPr>
            <w:tcW w:w="707" w:type="dxa"/>
            <w:gridSpan w:val="2"/>
            <w:vMerge w:val="continue"/>
            <w:tcBorders>
              <w:left w:val="single" w:color="auto" w:sz="4" w:space="0"/>
              <w:right w:val="single" w:color="auto" w:sz="4" w:space="0"/>
            </w:tcBorders>
            <w:shd w:val="clear" w:color="auto" w:fill="auto"/>
            <w:noWrap w:val="0"/>
            <w:vAlign w:val="center"/>
          </w:tcPr>
          <w:p>
            <w:pPr>
              <w:rPr>
                <w:rFonts w:hint="eastAsia" w:ascii="仿宋" w:hAnsi="仿宋" w:eastAsia="仿宋" w:cs="仿宋"/>
                <w:b w:val="0"/>
                <w:bCs/>
                <w:color w:val="000000"/>
                <w:szCs w:val="21"/>
                <w:highlight w:val="none"/>
              </w:rPr>
            </w:pP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2</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拟安排的项目负责人情况（仅限一人）</w:t>
            </w:r>
          </w:p>
        </w:tc>
        <w:tc>
          <w:tcPr>
            <w:tcW w:w="94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10</w:t>
            </w:r>
          </w:p>
        </w:tc>
        <w:tc>
          <w:tcPr>
            <w:tcW w:w="4098" w:type="dxa"/>
            <w:gridSpan w:val="4"/>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（一）评分内容：</w:t>
            </w:r>
          </w:p>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1.项目负责人具备正高级职称及以上的，得50分；具备副高级职称的，得30分；其他情况不得分。</w:t>
            </w:r>
          </w:p>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2.2021年1月1日至今，曾主持/参与过</w:t>
            </w:r>
            <w:r>
              <w:rPr>
                <w:rFonts w:ascii="仿宋" w:hAnsi="仿宋" w:eastAsia="仿宋" w:cs="仿宋"/>
                <w:b w:val="0"/>
                <w:bCs/>
                <w:color w:val="000000"/>
                <w:highlight w:val="none"/>
              </w:rPr>
              <w:t>海洋</w:t>
            </w:r>
            <w:r>
              <w:rPr>
                <w:rFonts w:hint="eastAsia" w:ascii="仿宋" w:hAnsi="仿宋" w:eastAsia="仿宋" w:cs="仿宋"/>
                <w:b w:val="0"/>
                <w:bCs/>
                <w:color w:val="000000"/>
                <w:highlight w:val="none"/>
              </w:rPr>
              <w:t>领域相关的</w:t>
            </w:r>
            <w:r>
              <w:rPr>
                <w:rFonts w:ascii="仿宋" w:hAnsi="仿宋" w:eastAsia="仿宋" w:cs="仿宋"/>
                <w:b w:val="0"/>
                <w:bCs/>
                <w:color w:val="000000"/>
                <w:highlight w:val="none"/>
              </w:rPr>
              <w:t>战略规划、产业实施、</w:t>
            </w:r>
            <w:r>
              <w:rPr>
                <w:rFonts w:hint="eastAsia" w:ascii="仿宋" w:hAnsi="仿宋" w:eastAsia="仿宋" w:cs="仿宋"/>
                <w:b w:val="0"/>
                <w:bCs/>
                <w:color w:val="000000"/>
                <w:highlight w:val="none"/>
              </w:rPr>
              <w:t>平台建设、技术服务</w:t>
            </w:r>
            <w:r>
              <w:rPr>
                <w:rFonts w:ascii="仿宋" w:hAnsi="仿宋" w:eastAsia="仿宋" w:cs="仿宋"/>
                <w:b w:val="0"/>
                <w:bCs/>
                <w:color w:val="000000"/>
                <w:highlight w:val="none"/>
              </w:rPr>
              <w:t>等项目业绩的</w:t>
            </w:r>
            <w:r>
              <w:rPr>
                <w:rFonts w:hint="eastAsia" w:ascii="仿宋" w:hAnsi="仿宋" w:eastAsia="仿宋" w:cs="仿宋"/>
                <w:b w:val="0"/>
                <w:bCs/>
                <w:color w:val="000000"/>
                <w:highlight w:val="none"/>
              </w:rPr>
              <w:t>，每一个项目得25分，最高得50分；</w:t>
            </w:r>
          </w:p>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（二）评分依据：</w:t>
            </w:r>
          </w:p>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1.职称证要求提供扫描件，原件备查。</w:t>
            </w:r>
          </w:p>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2.工作经验证明为项目合同关键信息，通过合同关键信息无法判断是否得分的，还需提供合同采购方出具的证明文件。</w:t>
            </w:r>
          </w:p>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备注：</w:t>
            </w:r>
          </w:p>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1.</w:t>
            </w:r>
            <w:r>
              <w:rPr>
                <w:rFonts w:hint="eastAsia" w:ascii="仿宋" w:hAnsi="仿宋" w:eastAsia="仿宋" w:cs="仿宋"/>
                <w:b w:val="0"/>
                <w:bCs/>
                <w:color w:val="000000"/>
                <w:szCs w:val="21"/>
                <w:highlight w:val="none"/>
              </w:rPr>
              <w:t>以上评审按百分制打分，累加计分，最高得100分</w:t>
            </w:r>
            <w:r>
              <w:rPr>
                <w:rFonts w:hint="eastAsia" w:ascii="仿宋" w:hAnsi="仿宋" w:eastAsia="仿宋" w:cs="仿宋"/>
                <w:b w:val="0"/>
                <w:bCs/>
                <w:color w:val="000000"/>
                <w:highlight w:val="none"/>
              </w:rPr>
              <w:t>；</w:t>
            </w:r>
          </w:p>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2.不提供或提供不齐全的或无法辨别的不得分。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 w:hRule="atLeast"/>
          <w:jc w:val="center"/>
        </w:trPr>
        <w:tc>
          <w:tcPr>
            <w:tcW w:w="1136" w:type="dxa"/>
            <w:gridSpan w:val="2"/>
            <w:vMerge w:val="continue"/>
            <w:tcBorders>
              <w:left w:val="single" w:color="auto" w:sz="4" w:space="0"/>
              <w:right w:val="single" w:color="auto" w:sz="4" w:space="0"/>
            </w:tcBorders>
            <w:shd w:val="clear" w:color="auto" w:fill="auto"/>
            <w:noWrap w:val="0"/>
            <w:vAlign w:val="center"/>
          </w:tcPr>
          <w:p>
            <w:pPr>
              <w:rPr>
                <w:rFonts w:hint="eastAsia" w:ascii="仿宋" w:hAnsi="仿宋" w:eastAsia="仿宋" w:cs="仿宋"/>
                <w:b w:val="0"/>
                <w:bCs/>
                <w:color w:val="000000"/>
                <w:szCs w:val="21"/>
                <w:highlight w:val="none"/>
              </w:rPr>
            </w:pPr>
          </w:p>
        </w:tc>
        <w:tc>
          <w:tcPr>
            <w:tcW w:w="707" w:type="dxa"/>
            <w:gridSpan w:val="2"/>
            <w:vMerge w:val="continue"/>
            <w:tcBorders>
              <w:left w:val="single" w:color="auto" w:sz="4" w:space="0"/>
              <w:right w:val="single" w:color="auto" w:sz="4" w:space="0"/>
            </w:tcBorders>
            <w:shd w:val="clear" w:color="auto" w:fill="auto"/>
            <w:noWrap w:val="0"/>
            <w:vAlign w:val="center"/>
          </w:tcPr>
          <w:p>
            <w:pPr>
              <w:rPr>
                <w:rFonts w:hint="eastAsia" w:ascii="仿宋" w:hAnsi="仿宋" w:eastAsia="仿宋" w:cs="仿宋"/>
                <w:b w:val="0"/>
                <w:bCs/>
                <w:color w:val="000000"/>
                <w:szCs w:val="21"/>
                <w:highlight w:val="none"/>
              </w:rPr>
            </w:pP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3</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拟安排的项目主要团队成员（主要技术人员）情况（项目负责人除外）</w:t>
            </w:r>
          </w:p>
        </w:tc>
        <w:tc>
          <w:tcPr>
            <w:tcW w:w="94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10</w:t>
            </w:r>
          </w:p>
        </w:tc>
        <w:tc>
          <w:tcPr>
            <w:tcW w:w="4098" w:type="dxa"/>
            <w:gridSpan w:val="4"/>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（一）评分内容：</w:t>
            </w:r>
          </w:p>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1.项目团队中具备副高及以上的，每1人得20分；具备中级职称的，得10分；最高得50分。</w:t>
            </w:r>
          </w:p>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2.项目团队成因自2021年1月1日至今，主持/参与过</w:t>
            </w:r>
            <w:r>
              <w:rPr>
                <w:rFonts w:ascii="仿宋" w:hAnsi="仿宋" w:eastAsia="仿宋" w:cs="仿宋"/>
                <w:b w:val="0"/>
                <w:bCs/>
                <w:color w:val="000000"/>
                <w:highlight w:val="none"/>
              </w:rPr>
              <w:t>海洋</w:t>
            </w:r>
            <w:r>
              <w:rPr>
                <w:rFonts w:hint="eastAsia" w:ascii="仿宋" w:hAnsi="仿宋" w:eastAsia="仿宋" w:cs="仿宋"/>
                <w:b w:val="0"/>
                <w:bCs/>
                <w:color w:val="000000"/>
                <w:highlight w:val="none"/>
              </w:rPr>
              <w:t>领域相关的</w:t>
            </w:r>
            <w:r>
              <w:rPr>
                <w:rFonts w:ascii="仿宋" w:hAnsi="仿宋" w:eastAsia="仿宋" w:cs="仿宋"/>
                <w:b w:val="0"/>
                <w:bCs/>
                <w:color w:val="000000"/>
                <w:highlight w:val="none"/>
              </w:rPr>
              <w:t>战略规划、产业实施、</w:t>
            </w:r>
            <w:r>
              <w:rPr>
                <w:rFonts w:hint="eastAsia" w:ascii="仿宋" w:hAnsi="仿宋" w:eastAsia="仿宋" w:cs="仿宋"/>
                <w:b w:val="0"/>
                <w:bCs/>
                <w:color w:val="000000"/>
                <w:highlight w:val="none"/>
              </w:rPr>
              <w:t>平台建设、技术服务</w:t>
            </w:r>
            <w:r>
              <w:rPr>
                <w:rFonts w:ascii="仿宋" w:hAnsi="仿宋" w:eastAsia="仿宋" w:cs="仿宋"/>
                <w:b w:val="0"/>
                <w:bCs/>
                <w:color w:val="000000"/>
                <w:highlight w:val="none"/>
              </w:rPr>
              <w:t>等项目业绩的</w:t>
            </w:r>
            <w:r>
              <w:rPr>
                <w:rFonts w:hint="eastAsia" w:ascii="仿宋" w:hAnsi="仿宋" w:eastAsia="仿宋" w:cs="仿宋"/>
                <w:b w:val="0"/>
                <w:bCs/>
                <w:color w:val="000000"/>
                <w:highlight w:val="none"/>
              </w:rPr>
              <w:t>，每一项得20分，最高得50分；</w:t>
            </w:r>
          </w:p>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（二）评分依据：</w:t>
            </w:r>
          </w:p>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1.职称证要求提供扫描件，原件备查。</w:t>
            </w:r>
          </w:p>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2.工作经验证明为项目合同关键信息，通过合同关键信息无法判断是否得分的，还需提供合同采购方出具的证明文件。</w:t>
            </w:r>
          </w:p>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备注：</w:t>
            </w:r>
          </w:p>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1.</w:t>
            </w:r>
            <w:r>
              <w:rPr>
                <w:rFonts w:hint="eastAsia" w:ascii="仿宋" w:hAnsi="仿宋" w:eastAsia="仿宋" w:cs="仿宋"/>
                <w:b w:val="0"/>
                <w:bCs/>
                <w:color w:val="000000"/>
                <w:szCs w:val="21"/>
                <w:highlight w:val="none"/>
              </w:rPr>
              <w:t>以上评审按百分制打分，累加计分，最高得100分</w:t>
            </w:r>
            <w:r>
              <w:rPr>
                <w:rFonts w:hint="eastAsia" w:ascii="仿宋" w:hAnsi="仿宋" w:eastAsia="仿宋" w:cs="仿宋"/>
                <w:b w:val="0"/>
                <w:bCs/>
                <w:color w:val="000000"/>
                <w:highlight w:val="none"/>
              </w:rPr>
              <w:t>；</w:t>
            </w:r>
          </w:p>
          <w:p>
            <w:pPr>
              <w:rPr>
                <w:rFonts w:hint="eastAsia" w:ascii="仿宋" w:hAnsi="仿宋" w:eastAsia="仿宋" w:cs="仿宋"/>
                <w:b w:val="0"/>
                <w:bCs/>
                <w:color w:val="000000"/>
                <w:szCs w:val="21"/>
                <w:highlight w:val="none"/>
              </w:rPr>
            </w:pPr>
            <w:r>
              <w:rPr>
                <w:rFonts w:hint="eastAsia" w:ascii="仿宋" w:hAnsi="仿宋" w:eastAsia="仿宋" w:cs="仿宋"/>
                <w:b w:val="0"/>
                <w:bCs/>
                <w:color w:val="000000"/>
                <w:highlight w:val="none"/>
              </w:rPr>
              <w:t>2.不提供或提供不齐全的或无法辨别的不得分。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 w:hRule="atLeast"/>
          <w:jc w:val="center"/>
        </w:trPr>
        <w:tc>
          <w:tcPr>
            <w:tcW w:w="1136" w:type="dxa"/>
            <w:gridSpan w:val="2"/>
            <w:vMerge w:val="continue"/>
            <w:tcBorders>
              <w:left w:val="single" w:color="auto" w:sz="4" w:space="0"/>
              <w:right w:val="single" w:color="auto" w:sz="4" w:space="0"/>
            </w:tcBorders>
            <w:shd w:val="clear" w:color="auto" w:fill="auto"/>
            <w:noWrap w:val="0"/>
            <w:vAlign w:val="center"/>
          </w:tcPr>
          <w:p>
            <w:pPr>
              <w:rPr>
                <w:rFonts w:hint="eastAsia" w:ascii="仿宋" w:hAnsi="仿宋" w:eastAsia="仿宋" w:cs="仿宋"/>
                <w:b w:val="0"/>
                <w:bCs/>
                <w:color w:val="000000"/>
                <w:szCs w:val="21"/>
                <w:highlight w:val="none"/>
              </w:rPr>
            </w:pPr>
          </w:p>
        </w:tc>
        <w:tc>
          <w:tcPr>
            <w:tcW w:w="707" w:type="dxa"/>
            <w:gridSpan w:val="2"/>
            <w:vMerge w:val="continue"/>
            <w:tcBorders>
              <w:left w:val="single" w:color="auto" w:sz="4" w:space="0"/>
              <w:right w:val="single" w:color="auto" w:sz="4" w:space="0"/>
            </w:tcBorders>
            <w:shd w:val="clear" w:color="auto" w:fill="auto"/>
            <w:noWrap w:val="0"/>
            <w:vAlign w:val="center"/>
          </w:tcPr>
          <w:p>
            <w:pPr>
              <w:rPr>
                <w:rFonts w:hint="eastAsia" w:ascii="仿宋" w:hAnsi="仿宋" w:eastAsia="仿宋" w:cs="仿宋"/>
                <w:b w:val="0"/>
                <w:bCs/>
                <w:color w:val="000000"/>
                <w:szCs w:val="21"/>
                <w:highlight w:val="none"/>
              </w:rPr>
            </w:pP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4</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投标人</w:t>
            </w:r>
            <w:r>
              <w:rPr>
                <w:rFonts w:hint="eastAsia" w:ascii="仿宋" w:hAnsi="仿宋" w:eastAsia="仿宋" w:cs="仿宋"/>
                <w:b w:val="0"/>
                <w:bCs/>
                <w:color w:val="000000"/>
                <w:szCs w:val="21"/>
                <w:highlight w:val="none"/>
                <w:lang w:val="en-US" w:eastAsia="zh-CN"/>
              </w:rPr>
              <w:t>与项目开展相关的</w:t>
            </w:r>
            <w:r>
              <w:rPr>
                <w:rFonts w:hint="eastAsia" w:ascii="仿宋" w:hAnsi="仿宋" w:eastAsia="仿宋" w:cs="仿宋"/>
                <w:b w:val="0"/>
                <w:bCs/>
                <w:color w:val="000000"/>
                <w:szCs w:val="21"/>
                <w:highlight w:val="none"/>
              </w:rPr>
              <w:t>自主知识产权产品（创新、设计）情况</w:t>
            </w:r>
          </w:p>
        </w:tc>
        <w:tc>
          <w:tcPr>
            <w:tcW w:w="94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5</w:t>
            </w:r>
          </w:p>
        </w:tc>
        <w:tc>
          <w:tcPr>
            <w:tcW w:w="4098" w:type="dxa"/>
            <w:gridSpan w:val="4"/>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（一）评分内容：</w:t>
            </w:r>
          </w:p>
          <w:p>
            <w:pPr>
              <w:pStyle w:val="3"/>
              <w:spacing w:after="0" w:line="240" w:lineRule="auto"/>
              <w:rPr>
                <w:rFonts w:ascii="仿宋" w:hAnsi="仿宋" w:eastAsia="仿宋" w:cs="仿宋"/>
                <w:b w:val="0"/>
                <w:bCs/>
                <w:color w:val="000000"/>
                <w:highlight w:val="none"/>
              </w:rPr>
            </w:pPr>
            <w:r>
              <w:rPr>
                <w:rFonts w:hint="eastAsia" w:ascii="仿宋" w:hAnsi="仿宋" w:eastAsia="仿宋" w:cs="仿宋"/>
                <w:b w:val="0"/>
                <w:bCs/>
                <w:color w:val="000000"/>
                <w:highlight w:val="none"/>
              </w:rPr>
              <w:t>1</w:t>
            </w:r>
            <w:r>
              <w:rPr>
                <w:rFonts w:ascii="仿宋" w:hAnsi="仿宋" w:eastAsia="仿宋" w:cs="仿宋"/>
                <w:b w:val="0"/>
                <w:bCs/>
                <w:color w:val="000000"/>
                <w:highlight w:val="none"/>
              </w:rPr>
              <w:t>.在公开刊物发表海洋类专题文章的，发表1篇得</w:t>
            </w:r>
            <w:r>
              <w:rPr>
                <w:rFonts w:hint="eastAsia" w:ascii="仿宋" w:hAnsi="仿宋" w:eastAsia="仿宋" w:cs="仿宋"/>
                <w:b w:val="0"/>
                <w:bCs/>
                <w:color w:val="000000"/>
                <w:highlight w:val="none"/>
              </w:rPr>
              <w:t>20</w:t>
            </w:r>
            <w:r>
              <w:rPr>
                <w:rFonts w:ascii="仿宋" w:hAnsi="仿宋" w:eastAsia="仿宋" w:cs="仿宋"/>
                <w:b w:val="0"/>
                <w:bCs/>
                <w:color w:val="000000"/>
                <w:highlight w:val="none"/>
              </w:rPr>
              <w:t>分，最高得</w:t>
            </w:r>
            <w:r>
              <w:rPr>
                <w:rFonts w:hint="eastAsia" w:ascii="仿宋" w:hAnsi="仿宋" w:eastAsia="仿宋" w:cs="仿宋"/>
                <w:b w:val="0"/>
                <w:bCs/>
                <w:color w:val="000000"/>
                <w:highlight w:val="none"/>
              </w:rPr>
              <w:t>100</w:t>
            </w:r>
            <w:r>
              <w:rPr>
                <w:rFonts w:ascii="仿宋" w:hAnsi="仿宋" w:eastAsia="仿宋" w:cs="仿宋"/>
                <w:b w:val="0"/>
                <w:bCs/>
                <w:color w:val="000000"/>
                <w:highlight w:val="none"/>
              </w:rPr>
              <w:t>分。</w:t>
            </w:r>
          </w:p>
          <w:p>
            <w:pPr>
              <w:pStyle w:val="3"/>
              <w:spacing w:after="0" w:line="240" w:lineRule="auto"/>
              <w:rPr>
                <w:rFonts w:hint="eastAsia" w:ascii="仿宋" w:hAnsi="仿宋" w:eastAsia="仿宋" w:cs="仿宋"/>
                <w:b w:val="0"/>
                <w:bCs/>
                <w:color w:val="000000"/>
                <w:highlight w:val="none"/>
              </w:rPr>
            </w:pPr>
            <w:r>
              <w:rPr>
                <w:rFonts w:ascii="仿宋" w:hAnsi="仿宋" w:eastAsia="仿宋" w:cs="仿宋"/>
                <w:b w:val="0"/>
                <w:bCs/>
                <w:color w:val="000000"/>
                <w:highlight w:val="none"/>
              </w:rPr>
              <w:t>2.</w:t>
            </w:r>
            <w:r>
              <w:rPr>
                <w:rFonts w:hint="eastAsia" w:ascii="仿宋" w:hAnsi="仿宋" w:eastAsia="仿宋" w:cs="仿宋"/>
                <w:b w:val="0"/>
                <w:bCs/>
                <w:color w:val="000000"/>
                <w:highlight w:val="none"/>
              </w:rPr>
              <w:t>授权项目相关专利</w:t>
            </w:r>
            <w:r>
              <w:rPr>
                <w:rFonts w:ascii="仿宋" w:hAnsi="仿宋" w:eastAsia="仿宋" w:cs="仿宋"/>
                <w:b w:val="0"/>
                <w:bCs/>
                <w:color w:val="000000"/>
                <w:highlight w:val="none"/>
              </w:rPr>
              <w:t>的，</w:t>
            </w:r>
            <w:r>
              <w:rPr>
                <w:rFonts w:hint="eastAsia" w:ascii="仿宋" w:hAnsi="仿宋" w:eastAsia="仿宋" w:cs="仿宋"/>
                <w:b w:val="0"/>
                <w:bCs/>
                <w:color w:val="000000"/>
                <w:highlight w:val="none"/>
              </w:rPr>
              <w:t>授权</w:t>
            </w:r>
            <w:r>
              <w:rPr>
                <w:rFonts w:ascii="仿宋" w:hAnsi="仿宋" w:eastAsia="仿宋" w:cs="仿宋"/>
                <w:b w:val="0"/>
                <w:bCs/>
                <w:color w:val="000000"/>
                <w:highlight w:val="none"/>
              </w:rPr>
              <w:t>1</w:t>
            </w:r>
            <w:r>
              <w:rPr>
                <w:rFonts w:hint="eastAsia" w:ascii="仿宋" w:hAnsi="仿宋" w:eastAsia="仿宋" w:cs="仿宋"/>
                <w:b w:val="0"/>
                <w:bCs/>
                <w:color w:val="000000"/>
                <w:highlight w:val="none"/>
              </w:rPr>
              <w:t>项</w:t>
            </w:r>
            <w:r>
              <w:rPr>
                <w:rFonts w:ascii="仿宋" w:hAnsi="仿宋" w:eastAsia="仿宋" w:cs="仿宋"/>
                <w:b w:val="0"/>
                <w:bCs/>
                <w:color w:val="000000"/>
                <w:highlight w:val="none"/>
              </w:rPr>
              <w:t>得</w:t>
            </w:r>
            <w:r>
              <w:rPr>
                <w:rFonts w:hint="eastAsia" w:ascii="仿宋" w:hAnsi="仿宋" w:eastAsia="仿宋" w:cs="仿宋"/>
                <w:b w:val="0"/>
                <w:bCs/>
                <w:color w:val="000000"/>
                <w:highlight w:val="none"/>
              </w:rPr>
              <w:t>20</w:t>
            </w:r>
            <w:r>
              <w:rPr>
                <w:rFonts w:ascii="仿宋" w:hAnsi="仿宋" w:eastAsia="仿宋" w:cs="仿宋"/>
                <w:b w:val="0"/>
                <w:bCs/>
                <w:color w:val="000000"/>
                <w:highlight w:val="none"/>
              </w:rPr>
              <w:t>分，最高得</w:t>
            </w:r>
            <w:r>
              <w:rPr>
                <w:rFonts w:hint="eastAsia" w:ascii="仿宋" w:hAnsi="仿宋" w:eastAsia="仿宋" w:cs="仿宋"/>
                <w:b w:val="0"/>
                <w:bCs/>
                <w:color w:val="000000"/>
                <w:highlight w:val="none"/>
              </w:rPr>
              <w:t>100</w:t>
            </w:r>
            <w:r>
              <w:rPr>
                <w:rFonts w:ascii="仿宋" w:hAnsi="仿宋" w:eastAsia="仿宋" w:cs="仿宋"/>
                <w:b w:val="0"/>
                <w:bCs/>
                <w:color w:val="000000"/>
                <w:highlight w:val="none"/>
              </w:rPr>
              <w:t>分。</w:t>
            </w:r>
          </w:p>
          <w:p>
            <w:pPr>
              <w:pStyle w:val="3"/>
              <w:spacing w:after="0" w:line="240" w:lineRule="auto"/>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（二）评分依据：</w:t>
            </w:r>
          </w:p>
          <w:p>
            <w:pPr>
              <w:pStyle w:val="3"/>
              <w:spacing w:after="0" w:line="240" w:lineRule="auto"/>
              <w:rPr>
                <w:rFonts w:hint="eastAsia" w:ascii="仿宋" w:hAnsi="仿宋" w:eastAsia="仿宋" w:cs="仿宋"/>
                <w:b w:val="0"/>
                <w:bCs/>
                <w:color w:val="000000"/>
                <w:highlight w:val="none"/>
              </w:rPr>
            </w:pPr>
            <w:r>
              <w:rPr>
                <w:rFonts w:ascii="仿宋" w:hAnsi="仿宋" w:eastAsia="仿宋" w:cs="仿宋"/>
                <w:b w:val="0"/>
                <w:bCs/>
                <w:color w:val="000000"/>
                <w:highlight w:val="none"/>
              </w:rPr>
              <w:t>1.文章提供扫面件</w:t>
            </w:r>
            <w:r>
              <w:rPr>
                <w:rFonts w:hint="eastAsia" w:ascii="仿宋" w:hAnsi="仿宋" w:eastAsia="仿宋" w:cs="仿宋"/>
                <w:b w:val="0"/>
                <w:bCs/>
                <w:color w:val="000000"/>
                <w:highlight w:val="none"/>
              </w:rPr>
              <w:t>、专利授权书</w:t>
            </w:r>
            <w:r>
              <w:rPr>
                <w:rFonts w:ascii="仿宋" w:hAnsi="仿宋" w:eastAsia="仿宋" w:cs="仿宋"/>
                <w:b w:val="0"/>
                <w:bCs/>
                <w:color w:val="000000"/>
                <w:highlight w:val="none"/>
              </w:rPr>
              <w:t>等相关证明材料作为得分依据。</w:t>
            </w:r>
          </w:p>
          <w:p>
            <w:pPr>
              <w:pStyle w:val="3"/>
              <w:spacing w:after="0" w:line="240" w:lineRule="auto"/>
              <w:rPr>
                <w:rFonts w:hint="eastAsia" w:ascii="仿宋" w:hAnsi="仿宋" w:eastAsia="仿宋" w:cs="仿宋"/>
                <w:b w:val="0"/>
                <w:bCs/>
                <w:color w:val="000000"/>
                <w:highlight w:val="none"/>
              </w:rPr>
            </w:pPr>
            <w:r>
              <w:rPr>
                <w:rFonts w:ascii="仿宋" w:hAnsi="仿宋" w:eastAsia="仿宋" w:cs="仿宋"/>
                <w:b w:val="0"/>
                <w:bCs/>
                <w:color w:val="000000"/>
                <w:highlight w:val="none"/>
              </w:rPr>
              <w:t>2.以上资料均要求提供扫描件，原件备查。</w:t>
            </w:r>
          </w:p>
          <w:p>
            <w:pPr>
              <w:pStyle w:val="3"/>
              <w:spacing w:after="0" w:line="240" w:lineRule="auto"/>
              <w:rPr>
                <w:rFonts w:hint="eastAsia" w:ascii="仿宋" w:hAnsi="仿宋" w:eastAsia="仿宋" w:cs="仿宋"/>
                <w:b w:val="0"/>
                <w:bCs/>
                <w:color w:val="000000"/>
                <w:highlight w:val="none"/>
              </w:rPr>
            </w:pPr>
            <w:r>
              <w:rPr>
                <w:rFonts w:ascii="仿宋" w:hAnsi="仿宋" w:eastAsia="仿宋" w:cs="仿宋"/>
                <w:b w:val="0"/>
                <w:bCs/>
                <w:color w:val="000000"/>
                <w:highlight w:val="none"/>
              </w:rPr>
              <w:t>备注：</w:t>
            </w:r>
          </w:p>
          <w:p>
            <w:pPr>
              <w:pStyle w:val="3"/>
              <w:spacing w:after="0" w:line="240" w:lineRule="auto"/>
              <w:rPr>
                <w:rFonts w:hint="eastAsia" w:ascii="仿宋" w:hAnsi="仿宋" w:eastAsia="仿宋" w:cs="仿宋"/>
                <w:b w:val="0"/>
                <w:bCs/>
                <w:color w:val="000000"/>
                <w:highlight w:val="none"/>
              </w:rPr>
            </w:pPr>
            <w:r>
              <w:rPr>
                <w:rFonts w:ascii="仿宋" w:hAnsi="仿宋" w:eastAsia="仿宋" w:cs="仿宋"/>
                <w:b w:val="0"/>
                <w:bCs/>
                <w:color w:val="000000"/>
                <w:highlight w:val="none"/>
              </w:rPr>
              <w:t>1.</w:t>
            </w:r>
            <w:r>
              <w:rPr>
                <w:rFonts w:hint="eastAsia" w:ascii="仿宋" w:hAnsi="仿宋" w:eastAsia="仿宋" w:cs="仿宋"/>
                <w:b w:val="0"/>
                <w:bCs/>
                <w:color w:val="000000"/>
                <w:szCs w:val="21"/>
                <w:highlight w:val="none"/>
              </w:rPr>
              <w:t>以上评审按百分制打分，累加计分，最高得100分</w:t>
            </w:r>
            <w:r>
              <w:rPr>
                <w:rFonts w:ascii="仿宋" w:hAnsi="仿宋" w:eastAsia="仿宋" w:cs="仿宋"/>
                <w:b w:val="0"/>
                <w:bCs/>
                <w:color w:val="000000"/>
                <w:highlight w:val="none"/>
              </w:rPr>
              <w:t>；</w:t>
            </w:r>
          </w:p>
          <w:p>
            <w:pPr>
              <w:pStyle w:val="3"/>
              <w:spacing w:after="0" w:line="240" w:lineRule="auto"/>
              <w:rPr>
                <w:rFonts w:hint="eastAsia" w:ascii="仿宋" w:hAnsi="仿宋" w:eastAsia="仿宋" w:cs="仿宋"/>
                <w:b w:val="0"/>
                <w:bCs/>
                <w:color w:val="000000"/>
                <w:szCs w:val="21"/>
                <w:highlight w:val="none"/>
              </w:rPr>
            </w:pPr>
            <w:r>
              <w:rPr>
                <w:rFonts w:ascii="仿宋" w:hAnsi="仿宋" w:eastAsia="仿宋" w:cs="仿宋"/>
                <w:b w:val="0"/>
                <w:bCs/>
                <w:color w:val="000000"/>
                <w:highlight w:val="none"/>
              </w:rPr>
              <w:t>2.不提供或提供不齐全的或无法辨别的不得分。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 w:hRule="atLeast"/>
          <w:jc w:val="center"/>
        </w:trPr>
        <w:tc>
          <w:tcPr>
            <w:tcW w:w="1136" w:type="dxa"/>
            <w:gridSpan w:val="2"/>
            <w:vMerge w:val="continue"/>
            <w:tcBorders>
              <w:left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p>
        </w:tc>
        <w:tc>
          <w:tcPr>
            <w:tcW w:w="707"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4</w:t>
            </w:r>
          </w:p>
        </w:tc>
        <w:tc>
          <w:tcPr>
            <w:tcW w:w="2177"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诚信情况</w:t>
            </w:r>
          </w:p>
        </w:tc>
        <w:tc>
          <w:tcPr>
            <w:tcW w:w="5040" w:type="dxa"/>
            <w:gridSpan w:val="5"/>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1136" w:type="dxa"/>
            <w:gridSpan w:val="2"/>
            <w:vMerge w:val="continue"/>
            <w:tcBorders>
              <w:left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p>
        </w:tc>
        <w:tc>
          <w:tcPr>
            <w:tcW w:w="707" w:type="dxa"/>
            <w:gridSpan w:val="2"/>
            <w:vMerge w:val="restart"/>
            <w:tcBorders>
              <w:top w:val="single" w:color="auto" w:sz="4" w:space="0"/>
              <w:left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ordWrap w:val="0"/>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序号</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ordWrap w:val="0"/>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评分因素</w:t>
            </w:r>
          </w:p>
        </w:tc>
        <w:tc>
          <w:tcPr>
            <w:tcW w:w="942"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ordWrap w:val="0"/>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权重</w:t>
            </w:r>
          </w:p>
        </w:tc>
        <w:tc>
          <w:tcPr>
            <w:tcW w:w="4098"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pPr>
              <w:wordWrap w:val="0"/>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1136" w:type="dxa"/>
            <w:gridSpan w:val="2"/>
            <w:vMerge w:val="continue"/>
            <w:tcBorders>
              <w:left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p>
        </w:tc>
        <w:tc>
          <w:tcPr>
            <w:tcW w:w="707" w:type="dxa"/>
            <w:gridSpan w:val="2"/>
            <w:vMerge w:val="continue"/>
            <w:tcBorders>
              <w:left w:val="single" w:color="auto" w:sz="4" w:space="0"/>
              <w:right w:val="single" w:color="auto" w:sz="4" w:space="0"/>
            </w:tcBorders>
            <w:shd w:val="clear" w:color="auto" w:fill="auto"/>
            <w:noWrap w:val="0"/>
            <w:vAlign w:val="top"/>
          </w:tcPr>
          <w:p>
            <w:pPr>
              <w:jc w:val="center"/>
              <w:rPr>
                <w:rFonts w:hint="eastAsia" w:ascii="仿宋" w:hAnsi="仿宋" w:eastAsia="仿宋" w:cs="仿宋"/>
                <w:b w:val="0"/>
                <w:bCs/>
                <w:color w:val="000000"/>
                <w:szCs w:val="21"/>
                <w:highlight w:val="none"/>
              </w:rPr>
            </w:pP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top"/>
          </w:tcPr>
          <w:p>
            <w:pPr>
              <w:wordWrap w:val="0"/>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1</w:t>
            </w:r>
          </w:p>
        </w:tc>
        <w:tc>
          <w:tcPr>
            <w:tcW w:w="12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市财政委员会诚信管理情况</w:t>
            </w:r>
          </w:p>
        </w:tc>
        <w:tc>
          <w:tcPr>
            <w:tcW w:w="94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wordWrap w:val="0"/>
              <w:jc w:val="cente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5</w:t>
            </w:r>
          </w:p>
        </w:tc>
        <w:tc>
          <w:tcPr>
            <w:tcW w:w="4098" w:type="dxa"/>
            <w:gridSpan w:val="4"/>
            <w:tcBorders>
              <w:top w:val="single" w:color="auto" w:sz="4" w:space="0"/>
              <w:left w:val="single" w:color="auto" w:sz="4" w:space="0"/>
              <w:bottom w:val="single" w:color="auto" w:sz="4" w:space="0"/>
              <w:right w:val="single" w:color="auto" w:sz="4" w:space="0"/>
            </w:tcBorders>
            <w:shd w:val="clear" w:color="auto" w:fill="auto"/>
            <w:noWrap w:val="0"/>
            <w:vAlign w:val="top"/>
          </w:tcPr>
          <w:p>
            <w:pPr>
              <w:rPr>
                <w:rFonts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投标人在参与政府采购活动中存在诚信相关问题且在主管部门相关处理措施实施期限内的，本项不得分，否则得满分。投标人无需提供任何证明材料，由工作人员向评审委员会提供相关诚信查询结果。</w:t>
            </w:r>
          </w:p>
          <w:p>
            <w:pPr>
              <w:rPr>
                <w:rFonts w:hint="eastAsia" w:ascii="仿宋" w:hAnsi="仿宋" w:eastAsia="仿宋" w:cs="仿宋"/>
                <w:b w:val="0"/>
                <w:bCs/>
                <w:color w:val="000000"/>
                <w:szCs w:val="21"/>
                <w:highlight w:val="none"/>
              </w:rPr>
            </w:pPr>
            <w:r>
              <w:rPr>
                <w:rFonts w:hint="eastAsia" w:ascii="仿宋" w:hAnsi="仿宋" w:eastAsia="仿宋" w:cs="仿宋"/>
                <w:b w:val="0"/>
                <w:bCs/>
                <w:color w:val="000000"/>
                <w:szCs w:val="21"/>
                <w:highlight w:val="none"/>
              </w:rPr>
              <w:t>查询渠道：通过“信用中国”（www.creditchina.gov.cn，下载信用信息报告）、“中国政府采购网”（www.ccgp.gov.cn）、以及“深圳市政府采购监管网”（http://zfcg.sz.gov.cn）查询供应商信用信息，信用信息以开标当日的查询结果为准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D0571D"/>
    <w:multiLevelType w:val="multilevel"/>
    <w:tmpl w:val="60D0571D"/>
    <w:lvl w:ilvl="0" w:tentative="0">
      <w:start w:val="1"/>
      <w:numFmt w:val="decimal"/>
      <w:lvlText w:val="%1."/>
      <w:lvlJc w:val="left"/>
      <w:pPr>
        <w:ind w:left="228" w:hanging="228"/>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3BFA98A2"/>
    <w:rsid w:val="4A1947CF"/>
    <w:rsid w:val="5BF82FA7"/>
    <w:rsid w:val="75D2020A"/>
    <w:rsid w:val="7EB54D13"/>
    <w:rsid w:val="BEC12335"/>
    <w:rsid w:val="DBED19E3"/>
    <w:rsid w:val="DEFF6C39"/>
    <w:rsid w:val="F7D7E4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pPr>
      <w:widowControl w:val="0"/>
      <w:jc w:val="both"/>
    </w:pPr>
    <w:rPr>
      <w:rFonts w:ascii="宋体" w:hAnsi="Courier New" w:cs="Courier New"/>
      <w:szCs w:val="21"/>
    </w:rPr>
  </w:style>
  <w:style w:type="paragraph" w:styleId="3">
    <w:name w:val="annotation text"/>
    <w:basedOn w:val="1"/>
    <w:qFormat/>
    <w:uiPriority w:val="0"/>
    <w:pPr>
      <w:spacing w:after="160" w:line="259" w:lineRule="auto"/>
    </w:pPr>
    <w:rPr>
      <w:rFonts w:ascii="等线" w:hAnsi="等线" w:eastAsia="等线" w:cs="Times New Roman"/>
      <w:kern w:val="0"/>
      <w:sz w:val="22"/>
    </w:rPr>
  </w:style>
  <w:style w:type="paragraph" w:styleId="4">
    <w:name w:val="Body Text"/>
    <w:basedOn w:val="1"/>
    <w:next w:val="5"/>
    <w:qFormat/>
    <w:uiPriority w:val="0"/>
    <w:pPr>
      <w:widowControl w:val="0"/>
      <w:spacing w:before="61"/>
      <w:ind w:left="102"/>
    </w:pPr>
    <w:rPr>
      <w:rFonts w:ascii="宋体" w:hAnsi="宋体" w:eastAsia="宋体"/>
      <w:kern w:val="0"/>
      <w:sz w:val="28"/>
      <w:szCs w:val="28"/>
      <w:lang w:eastAsia="en-US"/>
    </w:rPr>
  </w:style>
  <w:style w:type="paragraph" w:styleId="5">
    <w:name w:val="Title"/>
    <w:basedOn w:val="1"/>
    <w:next w:val="1"/>
    <w:qFormat/>
    <w:uiPriority w:val="0"/>
    <w:pPr>
      <w:spacing w:before="240" w:after="60"/>
      <w:jc w:val="center"/>
      <w:outlineLvl w:val="0"/>
    </w:pPr>
    <w:rPr>
      <w:rFonts w:ascii="Cambria" w:hAnsi="Cambria" w:eastAsia="宋体"/>
      <w:b/>
      <w:bCs/>
    </w:rPr>
  </w:style>
  <w:style w:type="paragraph" w:styleId="6">
    <w:name w:val="footnote text"/>
    <w:basedOn w:val="1"/>
    <w:qFormat/>
    <w:uiPriority w:val="0"/>
    <w:pPr>
      <w:snapToGrid w:val="0"/>
      <w:jc w:val="left"/>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2018-07-12T15:11:00Z</dcterms:created>
  <dc:creator>d</dc:creator>
  <cp:lastModifiedBy>lybg-PX</cp:lastModifiedBy>
  <dcterms:modified xsi:type="dcterms:W3CDTF">2026-09-30T11:11:36Z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BC400D4079E8451F2D21A16A826A0B58</vt:lpwstr>
  </property>
</Properties>
</file>