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w:t>
      </w:r>
      <w:r>
        <w:rPr>
          <w:rFonts w:hint="eastAsia" w:ascii="黑体" w:hAnsi="黑体" w:eastAsia="黑体" w:cs="黑体"/>
          <w:b/>
          <w:bCs/>
          <w:color w:val="auto"/>
          <w:sz w:val="44"/>
          <w:szCs w:val="44"/>
          <w:highlight w:val="none"/>
          <w:lang w:val="en-US" w:eastAsia="zh-CN"/>
        </w:rPr>
        <w:t>服务类项目采购需求（修改稿）</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项目名称：办公终端及网络运维服务</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采购人名称：深圳市海洋综合执法支队</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采购方式：公开招标</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财政预算限额（元）：156,600</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项目所属行业：软件和信息技术服务业</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 xml:space="preserve"> 一、采购项目概况</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深圳市海洋综合执法支队主要负责海洋监察、海岛管理、渔政管理、渔港监督、渔船监督检验、海洋环境保护执法等六项职责。支队机关位于南山蛇口，下属大鹏、盐田、南山、宝安四个大队。为保障支队正常工作开展，需采购办公电脑、网络、系统、软件及硬件等运维服务。</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服务期限：自合同签订之日起一年。</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服务地点：支队机关（南山蛇口）及大鹏、盐田、南山、宝安四个下属大队。</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运维设备：台式机150台（支队70+大队80）、交换机12台（五台核心三层交换机）、服务器2台（准入+水印）、视频会议系统5套、网络打印机6台、光纤 6条。</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 xml:space="preserve"> 二、项目服务内容及要求</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（一）计算机运维服务</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default"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为支队机关及四个下属大队的打印机、复印机、电脑等设备提供日常维护，协助操作人员解决因设备故障、操作系统、办公软件等在使用过程中遇到的问题。</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负责办公计算机操作系统的安装与调试、病毒检测及清除、操作系统故障检测及排除、正版软件的安装及调试、操作系统补丁升级等工作。</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3. 负责办公电脑日常应用软件的安装、卸载，处理用户在使用应用软件过程中遇到的问题。</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4. 负责打印机、复印机、高拍仪等计算机外设的安装和调试。</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5. 负责办公计算机政务网、局办公网、互联网等网络联网调试。</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6. 负责办公计算机桌面终端管理控制软件（行为准入、水印）的安装和调试。</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7. 定期开展办公计算机系统漏洞检查和修复，每月不少于1次。</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8. 定期开展办公打印机、复印机等外设的弱口令检查与修复，每季度不少于1次。</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9. 协助出具计算机及其外围设备类固定资产更换和报废的信息化维护意见。</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10. 维护支队食堂管理软件专用终端及网络线路。</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default"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11. 协助处理密保卫士的月扫描清单数据。</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（二）网络设施日常管理和维护</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default"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市规划和自然资源局至支队及四个下属大队之间主干网络和核心三层交换机的日常管理和维护。</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支队接入市规划和自然资源局电子政务内、外网主干网络的日常管理和维护。</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3. 视频会议系统的联网、设备调试以及软件的日常维护。</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4. 支队基础服务器（包括行为准入服务器、桌面终端水印服务器）的日常管理及维护。</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5. 客户各类网络设备的日常管理及维护工作。</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（三）政务网、规自局专用OA网日常管理和维护</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监测支队及下属四个大队政务网、规自局专用OA光纤运行情况，对网络不通等故障及时进行处理。</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处理政务网、规自局专用OA光纤光收发器故障，提供备用设备。</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（四）各类打印机、复印机等外围设备管理</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各类打印机、复印机等外围设备的网络接入管理、安装、调试等工作。</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各类打印机、复印机等外围设备驱动程序的安装、调试等工作。</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（五）OA专线网络中的会议设备日常管理和维护</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日常管理和维护采购人支队机关、四个大队办公场所的视频会议设备。</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协助各大队维护专用视频会议设备。</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（六）网络安全工作</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协助做好支队网络安全工作，配合完成市规划和自然资源局每年2次的网络安全检查迎检工作（具体事项看附件）。</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网络安全攻防演练期间做好支队政务信息化系统防护工作，按照相关要求值班值守。</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3. 定期开展办公计算机病毒库、补丁升级工作，每月不少于1次。</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4. 定期开展政务信息系统、政务邮箱、办公终端等弱口令排查工作，每季度不少于1次。</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5. 协助完成支队政务信息化系统等保备案，以及各项数据报送工作。</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default"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6. 协助完成支队各类信息化报表的上报工作。</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 xml:space="preserve"> 三、项目服务人员配置要求</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（一）驻场人员要求</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中标供应商须派遣1名专业人员在支队提供全职驻场维护服务。</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驻点人员受支队领导和管理，与支队人员的工作作息时间同步。</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3. 驻点人员未经采购人同意，不得私自撤离和随意更换。中标供应商须与采购人签订驻场工程师保密合同，合同期内未经采购人书面同意不得变更人员。</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default"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4. 驻点人员自行配备交通出行工具，保障维保工作的高效运转。</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（二）二线人员要求</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中标供应商须至少配置1名项目二线运维人员。</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在网络安全攻防演练、网络安全检查等特殊时期，二线运维人员须到现场协助开展相关工作。</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 xml:space="preserve"> 四、项目服务时间及响应要求</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驻点服务时间：星期一至星期五，每天9:00—18:00（北京时间），法定节假日除外。</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响应时间：支队机关办公终端、网络故障，中标供应商须在2小时内到场处置；四个下属大队办公终端、网络故障，须在4小时内到场处置。</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 xml:space="preserve"> 五、履约验收</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（一）验收主体</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由采购人组织验收，可邀请相关技术人员参与。</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（二）验收时间</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服务期满后15日内完成验收。</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（三）验收标准</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中标供应商按合同约定完成全部服务内容，驻场人员到岗率不低于95%。</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故障响应时间达标率不低于95%。</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3. 各项定期检查（漏洞检查、弱口令排查、病毒库升级等）记录完整。</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4. 采购人对驻场人员的服务态度、技术能力、工作纪律等方面进行综合考核，考核结果分为优秀、合格、不合格三个等次。考核为不合格的，中标供应商应在一个月内完成整改，整改后仍不合格的，采购人有权解除合同。</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（四）验收程序</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中标供应商提交服务总结报告及相关记录材料，采购人组织审查验收，出具验收意见。</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 xml:space="preserve"> 六、违约责任</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中标供应商派驻人员未按时到岗或到岗率不足（低于95%，到岗率按照服务期应到岗工作日计算）的，采购人有权向中标供应商发出书面整改通知。中标供应商未能在采购人提出的整改期限内安排人员到岗的，采购人有权解除合同。</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中标供应商派驻人员在工作时间玩忽职守或未按要求工作的，采购人有权向中标供应商发出书面整改通知，并要求中标供应商更换人员。中标供应商未在采购人提出的整改期限内整改完毕或更换人员的，采购人有权解除合同，并有权要求中标供应商支付合同价款总额10%的违约金。</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3. 因中标供应商原因导致采购人数据丢失或信息系统安全事件的，中标供应商应承担相应赔偿责任，采购人有权解除合同。</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 xml:space="preserve"> 七、不可抗力</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由于火灾、洪水、战争、暴力或其他类似不可抗力事件，致使双方不能及时履行各自责任的，双方均不对此承担责任。</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遭遇不可抗力的一方应在事件发生后5个工作日内书面通知对方，并提供相关证明材料。双方可因此延迟履行本合同。</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w:t>
      </w:r>
      <w:r>
        <w:rPr>
          <w:rFonts w:hint="eastAsia" w:ascii="黑体" w:hAnsi="黑体" w:eastAsia="黑体" w:cs="黑体"/>
          <w:color w:val="auto"/>
          <w:sz w:val="30"/>
          <w:szCs w:val="30"/>
          <w:highlight w:val="none"/>
          <w:lang w:val="en-US" w:eastAsia="zh-CN"/>
        </w:rPr>
        <w:t>八、付款方式</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本合同总金额为人民币156,600元，按照以下约定付款：</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本合同签订后，中标供应商向采购人申请合同第一期款并提供等额有效发票，采购人在收到发票后15个工作日内支付合同总金额的30%，即人民币46,980元。</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合同服务期完成30%后，中标供应商向采购人申请合同第二期款并提供等额有效发票，采购人在收到发票后15个工作日内支付合同总金额的30%，即人民币46,980元。</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3. 合同服务期完成50%后，中标供应商向采购人申请合同第三期款并提供等额有效发票，采购人在收到发票后15个工作日内支付合同总金额的20%，即人民币31,320元。</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4. 合同全部执行完毕并通过验收后，中标供应商向采购人申请合同第四期款并提供等额有效发票，采购人在收到发票后15个工作日内支付合同总金额的20%，即人民币31,320元。</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 xml:space="preserve"> 九、保密条款</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在事先未得到采购方书面许可的情况下，中标方不得单方面将注有“机密”或类似字样的文件资料，或无类似字样但具有保密性的文件资料内容透露给任何人。中标供应商应对其服务过程中获取的采购人信息进行保密。除履行本合同所需外，中标供应商不得将前述信息用于其他用途。</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本条款不适用于已为公众知晓的信息资料。</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3. 双方应保证其工作人员对有关信息资料具备保密意识。</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4. 保密期限不受本合同期限的限制。</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 xml:space="preserve"> 十、争议解决</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由本项目合同引起的或与本合同有关的，包括本合同的效力、无效、违约或终止的任何争议、争论或主张，应由双方协商解决。协商解决不成的，双方应将该争议、争论或主张提交采购人所在地有管辖权的人民法院，适用中华人民共和国法律。</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本项目合同任何一方未经另一方书面同意，不得转让或转移其在本合同项下的任何权益、权利或义务。</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 xml:space="preserve"> 十一、合同的终止</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本项目合同在下列任意一种情况下终止：</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项目合同有效期内，采购人未按合同规定向中标供应商付款且逾期超过30日的，中标供应商有权书面通知采购人后单方面提前终止合同。</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项目合同有效期内，中标供应商未能按采购人要求完成服务条款的，采购人有权单方面提前终止合同，并要求中标供应商支付合同总价款的10%作为违约金。合同终止后按照中标供应商实际工作量结算款项，如已付款项超过结算款项的，中标供应商应当在合同终止之日起10日内退还。</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 xml:space="preserve"> </w:t>
      </w:r>
      <w:r>
        <w:rPr>
          <w:rFonts w:hint="eastAsia" w:ascii="黑体" w:hAnsi="黑体" w:eastAsia="黑体" w:cs="黑体"/>
          <w:color w:val="auto"/>
          <w:sz w:val="30"/>
          <w:szCs w:val="30"/>
          <w:highlight w:val="none"/>
          <w:lang w:val="en-US" w:eastAsia="zh-CN"/>
        </w:rPr>
        <w:t>十二、合同的生效及其他</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本项目合同一式肆份，具有同等法律效力，双方各执两份，双方法定代表人或授权代表签字盖章后生效。</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本项目合同一经生效，任何一方不得随意变更，但双方就变更达成书面合同的除外。</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 xml:space="preserve"> 十三、供应商资格要求</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 满足《中华人民共和国政府采购法》第二十二条规定（由供应商在《政府采购投标及履约承诺函》中作出声明）。</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2. 具有独立法人资格或具有承担民事责任的能力（提供营业执照或事业单位法人证书等证明资料扫描件；分支机构参与投标的，须同时提供总公司授权文件且授权书载明其民事责任由总公司承担）。</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3. 参与本项目政府采购活动时不存在被有关部门禁止参与政府采购活动且在有效期内的情况（由供应商在《政府采购投标及履约承诺函》中作出声明）。</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4. 未被列入失信被执行人、重大税收违法案件当事人名单（重大税收违法失信主体）、政府采购严重违法失信行为记录名单（由供应商在《政府采购投标及履约承诺函》中作出声明）。</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5. 参与政府采购项目投标的供应商近三年内无行贿犯罪记录（由供应商在《政府采购投标及履约承诺函》中作出声明）。</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6. 单位负责人为同一人或存在直接控股、管理关系的供应商不得参与同一项目下的政府采购活动（由供应商在《政府采购投标及履约承诺函》中作出声明）。</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7. 为此项目提供整体设计、规范编制或者项目管理、监理、检测等服务的供应商，不得再参加此项目的其他招标采购活动（由供应商在《政府采购投标及履约承诺函》中作出声明）。</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8. 不存在《深圳市财政局政府采购供应商信用信息管理办法》（深财规〔2023〕3号）列明的严重违法失信行为（由供应商在《政府采购投标及履约承诺函》中作出声明）。</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9. 本项目不接受联合体投标，不允许转包、分包。</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仿宋" w:hAnsi="仿宋" w:eastAsia="仿宋" w:cs="Times New Roman"/>
          <w:color w:val="auto"/>
          <w:sz w:val="30"/>
          <w:szCs w:val="30"/>
          <w:highlight w:val="none"/>
          <w:lang w:val="en-US" w:eastAsia="zh-CN"/>
        </w:rPr>
      </w:pPr>
      <w:r>
        <w:rPr>
          <w:rFonts w:hint="eastAsia" w:ascii="仿宋" w:hAnsi="仿宋" w:eastAsia="仿宋" w:cs="Times New Roman"/>
          <w:color w:val="auto"/>
          <w:sz w:val="30"/>
          <w:szCs w:val="30"/>
          <w:highlight w:val="none"/>
          <w:lang w:val="en-US" w:eastAsia="zh-CN"/>
        </w:rPr>
        <w:t>10. 供应商须属于中小企业（提供《中小企业声明函》）。</w:t>
      </w: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 xml:space="preserve"> 十四、评标定标方法</w:t>
      </w:r>
    </w:p>
    <w:tbl>
      <w:tblPr>
        <w:tblStyle w:val="6"/>
        <w:tblW w:w="9113"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9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blCellSpacing w:w="0" w:type="dxa"/>
          <w:jc w:val="center"/>
        </w:trPr>
        <w:tc>
          <w:tcPr>
            <w:tcW w:w="9113" w:type="dxa"/>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firstLine="420"/>
              <w:textAlignment w:val="auto"/>
              <w:rPr>
                <w:rFonts w:hint="eastAsia" w:eastAsia="宋体"/>
                <w:sz w:val="21"/>
                <w:szCs w:val="21"/>
                <w:lang w:eastAsia="zh-CN"/>
              </w:rPr>
            </w:pPr>
            <w:r>
              <w:rPr>
                <w:rFonts w:ascii="Wingdings" w:hAnsi="Wingdings"/>
                <w:sz w:val="21"/>
                <w:szCs w:val="21"/>
              </w:rPr>
              <w:t>¨</w:t>
            </w:r>
            <w:r>
              <w:rPr>
                <w:sz w:val="21"/>
                <w:szCs w:val="21"/>
              </w:rPr>
              <w:t>综合评分法，是指</w:t>
            </w:r>
            <w:r>
              <w:rPr>
                <w:rFonts w:hint="eastAsia" w:ascii="Times New Roman" w:hAnsi="Times New Roman" w:eastAsia="宋体" w:cs="Times New Roman"/>
                <w:kern w:val="0"/>
                <w:sz w:val="21"/>
                <w:szCs w:val="21"/>
                <w:lang w:val="en-US" w:eastAsia="zh-CN" w:bidi="ar-SA"/>
              </w:rPr>
              <w:t>投标文件满足招标文件全部实质性要求</w:t>
            </w:r>
            <w:r>
              <w:rPr>
                <w:sz w:val="21"/>
                <w:szCs w:val="21"/>
              </w:rPr>
              <w:t>，且按照</w:t>
            </w:r>
            <w:r>
              <w:rPr>
                <w:rFonts w:hint="eastAsia" w:ascii="Times New Roman" w:eastAsia="宋体"/>
                <w:sz w:val="21"/>
                <w:szCs w:val="21"/>
                <w:lang w:val="en-US" w:eastAsia="zh-CN"/>
              </w:rPr>
              <w:t>招标文件规定的各项因素进行综合评审，评标总得分排名前列</w:t>
            </w:r>
            <w:r>
              <w:rPr>
                <w:sz w:val="21"/>
                <w:szCs w:val="21"/>
              </w:rPr>
              <w:t>的投标人为中标候选人的评标方法。</w:t>
            </w:r>
            <w:r>
              <w:rPr>
                <w:rFonts w:hint="eastAsia" w:eastAsia="宋体"/>
                <w:sz w:val="21"/>
                <w:szCs w:val="21"/>
                <w:lang w:eastAsia="zh-CN"/>
              </w:rPr>
              <w:t>（</w:t>
            </w:r>
            <w:r>
              <w:rPr>
                <w:rFonts w:hint="eastAsia" w:ascii="Times New Roman" w:eastAsia="宋体"/>
                <w:sz w:val="21"/>
                <w:szCs w:val="21"/>
                <w:lang w:val="en-US" w:eastAsia="zh-CN"/>
              </w:rPr>
              <w:t>适用于中标候选人为2家或以上的情形</w:t>
            </w:r>
            <w:r>
              <w:rPr>
                <w:rFonts w:hint="eastAsia" w:eastAsia="宋体"/>
                <w:sz w:val="21"/>
                <w:szCs w:val="21"/>
                <w:lang w:eastAsia="zh-CN"/>
              </w:rPr>
              <w:t>）</w:t>
            </w:r>
          </w:p>
          <w:p>
            <w:pPr>
              <w:keepNext w:val="0"/>
              <w:keepLines w:val="0"/>
              <w:pageBreakBefore w:val="0"/>
              <w:kinsoku/>
              <w:wordWrap/>
              <w:overflowPunct/>
              <w:topLinePunct w:val="0"/>
              <w:autoSpaceDE/>
              <w:autoSpaceDN/>
              <w:bidi w:val="0"/>
              <w:adjustRightInd/>
              <w:snapToGrid/>
              <w:spacing w:beforeAutospacing="0" w:afterAutospacing="0" w:line="240" w:lineRule="auto"/>
              <w:ind w:firstLine="420"/>
              <w:textAlignment w:val="auto"/>
              <w:rPr>
                <w:sz w:val="21"/>
                <w:szCs w:val="21"/>
              </w:rPr>
            </w:pPr>
          </w:p>
          <w:p>
            <w:pPr>
              <w:keepNext w:val="0"/>
              <w:keepLines w:val="0"/>
              <w:pageBreakBefore w:val="0"/>
              <w:kinsoku/>
              <w:wordWrap/>
              <w:overflowPunct/>
              <w:topLinePunct w:val="0"/>
              <w:autoSpaceDE/>
              <w:autoSpaceDN/>
              <w:bidi w:val="0"/>
              <w:adjustRightInd/>
              <w:snapToGrid/>
              <w:spacing w:beforeAutospacing="0" w:afterAutospacing="0" w:line="240" w:lineRule="auto"/>
              <w:ind w:firstLine="420"/>
              <w:textAlignment w:val="auto"/>
              <w:rPr>
                <w:sz w:val="21"/>
                <w:szCs w:val="21"/>
              </w:rPr>
            </w:pPr>
            <w:r>
              <w:rPr>
                <w:sz w:val="21"/>
                <w:szCs w:val="21"/>
              </w:rPr>
              <w:t>价格分计算方法：</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left="420"/>
              <w:jc w:val="left"/>
              <w:textAlignment w:val="auto"/>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t xml:space="preserve">采用低价优先法计算，即满足招标文件要求且投标价格最低的投标报价为评标基准价，其价格分为满分。其他投标人的价格分统一按照下列公式计算： </w:t>
            </w:r>
            <w:r>
              <w:rPr>
                <w:rFonts w:ascii="Times New Roman" w:hAnsi="Times New Roman" w:eastAsia="宋体" w:cs="Times New Roman"/>
                <w:kern w:val="2"/>
                <w:sz w:val="21"/>
                <w:szCs w:val="21"/>
                <w:lang w:val="en-US" w:eastAsia="zh-CN" w:bidi="ar-SA"/>
              </w:rPr>
              <w:br w:type="textWrapping"/>
            </w:r>
            <w:r>
              <w:rPr>
                <w:rFonts w:ascii="Times New Roman" w:hAnsi="Times New Roman" w:eastAsia="宋体" w:cs="Times New Roman"/>
                <w:kern w:val="2"/>
                <w:sz w:val="21"/>
                <w:szCs w:val="21"/>
                <w:lang w:val="en-US" w:eastAsia="zh-CN" w:bidi="ar-SA"/>
              </w:rPr>
              <w:t xml:space="preserve">投标报价得分=(评标基准价／投标报价)×100 </w:t>
            </w:r>
            <w:r>
              <w:rPr>
                <w:rFonts w:ascii="Times New Roman" w:hAnsi="Times New Roman" w:eastAsia="宋体" w:cs="Times New Roman"/>
                <w:kern w:val="2"/>
                <w:sz w:val="21"/>
                <w:szCs w:val="21"/>
                <w:lang w:val="en-US" w:eastAsia="zh-CN" w:bidi="ar-SA"/>
              </w:rPr>
              <w:br w:type="textWrapping"/>
            </w:r>
            <w:r>
              <w:rPr>
                <w:rFonts w:ascii="Times New Roman" w:hAnsi="Times New Roman" w:eastAsia="宋体" w:cs="Times New Roman"/>
                <w:kern w:val="2"/>
                <w:sz w:val="21"/>
                <w:szCs w:val="21"/>
                <w:lang w:val="en-US" w:eastAsia="zh-CN" w:bidi="ar-SA"/>
              </w:rPr>
              <w:t xml:space="preserve">评标总得分＝F1×A1＋F2×A2＋……＋Fn×An </w:t>
            </w:r>
            <w:r>
              <w:rPr>
                <w:rFonts w:ascii="Times New Roman" w:hAnsi="Times New Roman" w:eastAsia="宋体" w:cs="Times New Roman"/>
                <w:kern w:val="2"/>
                <w:sz w:val="21"/>
                <w:szCs w:val="21"/>
                <w:lang w:val="en-US" w:eastAsia="zh-CN" w:bidi="ar-SA"/>
              </w:rPr>
              <w:br w:type="textWrapping"/>
            </w:r>
            <w:r>
              <w:rPr>
                <w:rFonts w:ascii="Times New Roman" w:hAnsi="Times New Roman" w:eastAsia="宋体" w:cs="Times New Roman"/>
                <w:kern w:val="2"/>
                <w:sz w:val="21"/>
                <w:szCs w:val="21"/>
                <w:lang w:val="en-US" w:eastAsia="zh-CN" w:bidi="ar-SA"/>
              </w:rPr>
              <w:t xml:space="preserve">F1、F2……Fn分别为各项评审因素的得分； </w:t>
            </w:r>
            <w:r>
              <w:rPr>
                <w:rFonts w:ascii="Times New Roman" w:hAnsi="Times New Roman" w:eastAsia="宋体" w:cs="Times New Roman"/>
                <w:kern w:val="2"/>
                <w:sz w:val="21"/>
                <w:szCs w:val="21"/>
                <w:lang w:val="en-US" w:eastAsia="zh-CN" w:bidi="ar-SA"/>
              </w:rPr>
              <w:br w:type="textWrapping"/>
            </w:r>
            <w:r>
              <w:rPr>
                <w:rFonts w:ascii="Times New Roman" w:hAnsi="Times New Roman" w:eastAsia="宋体" w:cs="Times New Roman"/>
                <w:kern w:val="2"/>
                <w:sz w:val="21"/>
                <w:szCs w:val="21"/>
                <w:lang w:val="en-US" w:eastAsia="zh-CN" w:bidi="ar-SA"/>
              </w:rPr>
              <w:t xml:space="preserve">A1、A2、……An 分别为各项评审因素所占的权重(A1＋A2＋……＋An＝1)。 </w:t>
            </w:r>
            <w:r>
              <w:rPr>
                <w:rFonts w:ascii="Times New Roman" w:hAnsi="Times New Roman" w:eastAsia="宋体" w:cs="Times New Roman"/>
                <w:kern w:val="2"/>
                <w:sz w:val="21"/>
                <w:szCs w:val="21"/>
                <w:lang w:val="en-US" w:eastAsia="zh-CN" w:bidi="ar-SA"/>
              </w:rPr>
              <w:br w:type="textWrapping"/>
            </w:r>
            <w:r>
              <w:rPr>
                <w:rFonts w:ascii="Times New Roman" w:hAnsi="Times New Roman" w:eastAsia="宋体" w:cs="Times New Roman"/>
                <w:kern w:val="2"/>
                <w:sz w:val="21"/>
                <w:szCs w:val="21"/>
                <w:lang w:val="en-US" w:eastAsia="zh-CN" w:bidi="ar-SA"/>
              </w:rPr>
              <w:t>评标过程中，不得去掉报价中的最高报价和最低报价。</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left="420"/>
              <w:jc w:val="left"/>
              <w:textAlignment w:val="auto"/>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因落实政府采购政策进行价格调整的，以调整后的价格计算评标基准价和投标报价。</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left="420"/>
              <w:jc w:val="left"/>
              <w:textAlignment w:val="auto"/>
              <w:rPr>
                <w:rFonts w:ascii="Times New Roman" w:hAnsi="Times New Roman" w:eastAsia="宋体" w:cs="Times New Roman"/>
                <w:kern w:val="0"/>
                <w:sz w:val="24"/>
                <w:szCs w:val="24"/>
                <w:lang w:val="en-US" w:eastAsia="zh-CN" w:bidi="ar-SA"/>
              </w:rPr>
            </w:pPr>
          </w:p>
        </w:tc>
      </w:tr>
    </w:tbl>
    <w:p>
      <w:pPr>
        <w:rPr>
          <w:vanish/>
        </w:rPr>
      </w:pPr>
    </w:p>
    <w:tbl>
      <w:tblPr>
        <w:tblStyle w:val="6"/>
        <w:tblW w:w="907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672"/>
        <w:gridCol w:w="672"/>
        <w:gridCol w:w="1531"/>
        <w:gridCol w:w="795"/>
        <w:gridCol w:w="540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tcBorders>
              <w:top w:val="single" w:color="000000" w:sz="8" w:space="0"/>
              <w:left w:val="single" w:color="000000" w:sz="8" w:space="0"/>
              <w:bottom w:val="single" w:color="000000" w:sz="8" w:space="0"/>
              <w:right w:val="single" w:color="000000" w:sz="8" w:space="0"/>
            </w:tcBorders>
            <w:shd w:val="clear" w:color="auto" w:fill="E6EFFA"/>
            <w:noWrap w:val="0"/>
            <w:vAlign w:val="center"/>
          </w:tcPr>
          <w:p>
            <w:pPr>
              <w:widowControl/>
              <w:wordWrap w:val="0"/>
              <w:jc w:val="center"/>
              <w:rPr>
                <w:rFonts w:ascii="宋体" w:hAnsi="宋体" w:cs="宋体"/>
                <w:b/>
                <w:bCs/>
                <w:kern w:val="0"/>
                <w:szCs w:val="21"/>
                <w:highlight w:val="none"/>
              </w:rPr>
            </w:pPr>
            <w:r>
              <w:rPr>
                <w:rFonts w:hint="eastAsia" w:ascii="宋体" w:hAnsi="宋体" w:cs="宋体"/>
                <w:b/>
                <w:bCs/>
                <w:kern w:val="0"/>
                <w:szCs w:val="21"/>
                <w:highlight w:val="none"/>
              </w:rPr>
              <w:t>序号</w:t>
            </w:r>
          </w:p>
        </w:tc>
        <w:tc>
          <w:tcPr>
            <w:tcW w:w="2998" w:type="dxa"/>
            <w:gridSpan w:val="3"/>
            <w:tcBorders>
              <w:top w:val="single" w:color="000000" w:sz="8" w:space="0"/>
              <w:left w:val="single" w:color="000000" w:sz="8" w:space="0"/>
              <w:bottom w:val="single" w:color="000000" w:sz="8" w:space="0"/>
              <w:right w:val="single" w:color="000000" w:sz="8" w:space="0"/>
            </w:tcBorders>
            <w:shd w:val="clear" w:color="auto" w:fill="E6EFFA"/>
            <w:noWrap w:val="0"/>
            <w:vAlign w:val="center"/>
          </w:tcPr>
          <w:p>
            <w:pPr>
              <w:widowControl/>
              <w:wordWrap w:val="0"/>
              <w:jc w:val="center"/>
              <w:rPr>
                <w:rFonts w:ascii="宋体" w:hAnsi="宋体" w:cs="宋体"/>
                <w:b/>
                <w:bCs/>
                <w:kern w:val="0"/>
                <w:szCs w:val="21"/>
                <w:highlight w:val="none"/>
              </w:rPr>
            </w:pPr>
            <w:r>
              <w:rPr>
                <w:rFonts w:hint="eastAsia" w:ascii="宋体" w:hAnsi="宋体" w:cs="宋体"/>
                <w:b/>
                <w:bCs/>
                <w:kern w:val="0"/>
                <w:szCs w:val="21"/>
                <w:highlight w:val="none"/>
              </w:rPr>
              <w:t>评分项</w:t>
            </w:r>
          </w:p>
        </w:tc>
        <w:tc>
          <w:tcPr>
            <w:tcW w:w="5405" w:type="dxa"/>
            <w:tcBorders>
              <w:top w:val="single" w:color="000000" w:sz="8" w:space="0"/>
              <w:left w:val="single" w:color="000000" w:sz="8" w:space="0"/>
              <w:bottom w:val="single" w:color="000000" w:sz="8" w:space="0"/>
              <w:right w:val="single" w:color="000000" w:sz="8" w:space="0"/>
            </w:tcBorders>
            <w:shd w:val="clear" w:color="auto" w:fill="E6EFFA"/>
            <w:noWrap w:val="0"/>
            <w:vAlign w:val="center"/>
          </w:tcPr>
          <w:p>
            <w:pPr>
              <w:widowControl/>
              <w:wordWrap w:val="0"/>
              <w:jc w:val="center"/>
              <w:rPr>
                <w:rFonts w:ascii="宋体" w:hAnsi="宋体" w:cs="宋体"/>
                <w:b/>
                <w:bCs/>
                <w:kern w:val="0"/>
                <w:szCs w:val="21"/>
                <w:highlight w:val="none"/>
              </w:rPr>
            </w:pPr>
            <w:r>
              <w:rPr>
                <w:rFonts w:hint="eastAsia" w:ascii="宋体" w:hAnsi="宋体" w:cs="宋体"/>
                <w:b/>
                <w:bCs/>
                <w:kern w:val="0"/>
                <w:szCs w:val="21"/>
                <w:highlight w:val="none"/>
              </w:rPr>
              <w:t>权重（%）</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restart"/>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ascii="宋体" w:hAnsi="宋体" w:cs="宋体"/>
                <w:b/>
                <w:bCs/>
                <w:color w:val="0000FF"/>
                <w:kern w:val="0"/>
                <w:szCs w:val="21"/>
                <w:highlight w:val="none"/>
              </w:rPr>
            </w:pPr>
            <w:r>
              <w:rPr>
                <w:rFonts w:hint="eastAsia" w:ascii="宋体" w:hAnsi="宋体" w:cs="宋体"/>
                <w:b/>
                <w:bCs/>
                <w:color w:val="0000FF"/>
                <w:kern w:val="0"/>
                <w:szCs w:val="21"/>
                <w:highlight w:val="none"/>
              </w:rPr>
              <w:t>1</w:t>
            </w:r>
          </w:p>
        </w:tc>
        <w:tc>
          <w:tcPr>
            <w:tcW w:w="2998" w:type="dxa"/>
            <w:gridSpan w:val="3"/>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ascii="宋体" w:hAnsi="宋体" w:cs="宋体"/>
                <w:b/>
                <w:bCs/>
                <w:color w:val="0000FF"/>
                <w:kern w:val="0"/>
                <w:szCs w:val="21"/>
                <w:highlight w:val="none"/>
              </w:rPr>
            </w:pPr>
            <w:r>
              <w:rPr>
                <w:rFonts w:hint="eastAsia" w:ascii="宋体" w:hAnsi="宋体" w:cs="宋体"/>
                <w:b/>
                <w:bCs/>
                <w:color w:val="0000FF"/>
                <w:kern w:val="0"/>
                <w:szCs w:val="21"/>
                <w:highlight w:val="none"/>
              </w:rPr>
              <w:t>价格</w:t>
            </w:r>
          </w:p>
        </w:tc>
        <w:tc>
          <w:tcPr>
            <w:tcW w:w="5405"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ascii="宋体" w:hAnsi="宋体" w:cs="宋体"/>
                <w:b/>
                <w:bCs/>
                <w:color w:val="0000FF"/>
                <w:kern w:val="0"/>
                <w:szCs w:val="21"/>
                <w:highlight w:val="none"/>
              </w:rPr>
            </w:pPr>
            <w:r>
              <w:rPr>
                <w:rFonts w:hint="eastAsia" w:ascii="宋体" w:hAnsi="宋体" w:cs="宋体"/>
                <w:b/>
                <w:bCs/>
                <w:color w:val="0000FF"/>
                <w:kern w:val="0"/>
                <w:szCs w:val="21"/>
                <w:highlight w:val="none"/>
              </w:rPr>
              <w:t>10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jc w:val="left"/>
              <w:rPr>
                <w:rFonts w:ascii="宋体" w:hAnsi="宋体" w:cs="宋体"/>
                <w:b/>
                <w:bCs/>
                <w:color w:val="0000FF"/>
                <w:kern w:val="0"/>
                <w:szCs w:val="21"/>
                <w:highlight w:val="none"/>
              </w:rPr>
            </w:pPr>
          </w:p>
        </w:tc>
        <w:tc>
          <w:tcPr>
            <w:tcW w:w="8403" w:type="dxa"/>
            <w:gridSpan w:val="4"/>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left"/>
              <w:rPr>
                <w:rFonts w:ascii="宋体" w:hAnsi="宋体" w:cs="宋体"/>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restart"/>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ascii="宋体" w:hAnsi="宋体" w:cs="宋体"/>
                <w:b/>
                <w:bCs/>
                <w:color w:val="0000FF"/>
                <w:kern w:val="0"/>
                <w:szCs w:val="21"/>
                <w:highlight w:val="none"/>
              </w:rPr>
            </w:pPr>
            <w:r>
              <w:rPr>
                <w:rFonts w:hint="eastAsia" w:ascii="宋体" w:hAnsi="宋体" w:cs="宋体"/>
                <w:b/>
                <w:bCs/>
                <w:color w:val="0000FF"/>
                <w:kern w:val="0"/>
                <w:szCs w:val="21"/>
                <w:highlight w:val="none"/>
              </w:rPr>
              <w:t>2</w:t>
            </w:r>
          </w:p>
        </w:tc>
        <w:tc>
          <w:tcPr>
            <w:tcW w:w="2998" w:type="dxa"/>
            <w:gridSpan w:val="3"/>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ascii="宋体" w:hAnsi="宋体" w:cs="宋体"/>
                <w:b/>
                <w:bCs/>
                <w:color w:val="0000FF"/>
                <w:kern w:val="0"/>
                <w:szCs w:val="21"/>
                <w:highlight w:val="none"/>
              </w:rPr>
            </w:pPr>
            <w:r>
              <w:rPr>
                <w:rFonts w:hint="eastAsia" w:ascii="宋体" w:hAnsi="宋体" w:cs="宋体"/>
                <w:b/>
                <w:bCs/>
                <w:color w:val="0000FF"/>
                <w:kern w:val="0"/>
                <w:szCs w:val="21"/>
                <w:highlight w:val="none"/>
              </w:rPr>
              <w:t>技术部分</w:t>
            </w:r>
          </w:p>
        </w:tc>
        <w:tc>
          <w:tcPr>
            <w:tcW w:w="5405"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hint="eastAsia" w:ascii="宋体" w:hAnsi="宋体" w:cs="宋体" w:eastAsiaTheme="minorEastAsia"/>
                <w:b/>
                <w:bCs/>
                <w:color w:val="0000FF"/>
                <w:kern w:val="0"/>
                <w:szCs w:val="21"/>
                <w:highlight w:val="none"/>
                <w:lang w:eastAsia="zh-CN"/>
              </w:rPr>
            </w:pPr>
            <w:r>
              <w:rPr>
                <w:rFonts w:hint="eastAsia" w:ascii="宋体" w:hAnsi="宋体" w:cs="宋体"/>
                <w:b/>
                <w:bCs/>
                <w:color w:val="0000FF"/>
                <w:kern w:val="0"/>
                <w:szCs w:val="21"/>
                <w:highlight w:val="none"/>
              </w:rPr>
              <w:t>5</w:t>
            </w:r>
            <w:r>
              <w:rPr>
                <w:rFonts w:hint="eastAsia" w:ascii="宋体" w:hAnsi="宋体" w:cs="宋体"/>
                <w:b/>
                <w:bCs/>
                <w:color w:val="0000FF"/>
                <w:kern w:val="0"/>
                <w:szCs w:val="21"/>
                <w:highlight w:val="none"/>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jc w:val="left"/>
              <w:rPr>
                <w:rFonts w:ascii="宋体" w:hAnsi="宋体" w:cs="宋体"/>
                <w:b/>
                <w:bCs/>
                <w:color w:val="0000FF"/>
                <w:kern w:val="0"/>
                <w:szCs w:val="21"/>
                <w:highlight w:val="none"/>
              </w:rPr>
            </w:pPr>
          </w:p>
        </w:tc>
        <w:tc>
          <w:tcPr>
            <w:tcW w:w="8403" w:type="dxa"/>
            <w:gridSpan w:val="4"/>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left"/>
              <w:rPr>
                <w:rFonts w:ascii="宋体" w:hAnsi="宋体" w:cs="宋体"/>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continue"/>
            <w:tcBorders>
              <w:top w:val="single" w:color="000000" w:sz="8" w:space="0"/>
              <w:left w:val="single" w:color="000000" w:sz="8" w:space="0"/>
              <w:bottom w:val="single" w:color="000000" w:sz="8" w:space="0"/>
              <w:right w:val="single" w:color="000000" w:sz="8" w:space="0"/>
            </w:tcBorders>
            <w:shd w:val="clear" w:color="auto" w:fill="auto"/>
            <w:noWrap w:val="0"/>
            <w:vAlign w:val="center"/>
          </w:tcPr>
          <w:p>
            <w:pPr>
              <w:widowControl/>
              <w:jc w:val="left"/>
              <w:rPr>
                <w:rFonts w:ascii="宋体" w:hAnsi="宋体" w:cs="宋体"/>
                <w:b/>
                <w:bCs/>
                <w:color w:val="0000FF"/>
                <w:kern w:val="0"/>
                <w:szCs w:val="21"/>
                <w:highlight w:val="none"/>
              </w:rPr>
            </w:pPr>
          </w:p>
        </w:tc>
        <w:tc>
          <w:tcPr>
            <w:tcW w:w="672"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序号</w:t>
            </w:r>
          </w:p>
        </w:tc>
        <w:tc>
          <w:tcPr>
            <w:tcW w:w="1531"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评分因素</w:t>
            </w:r>
          </w:p>
        </w:tc>
        <w:tc>
          <w:tcPr>
            <w:tcW w:w="795"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权重（%）</w:t>
            </w:r>
          </w:p>
        </w:tc>
        <w:tc>
          <w:tcPr>
            <w:tcW w:w="5405"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评分准则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jc w:val="left"/>
              <w:rPr>
                <w:rFonts w:ascii="宋体" w:hAnsi="宋体" w:cs="宋体"/>
                <w:b/>
                <w:bCs/>
                <w:color w:val="0000FF"/>
                <w:kern w:val="0"/>
                <w:szCs w:val="21"/>
                <w:highlight w:val="none"/>
              </w:rPr>
            </w:pPr>
          </w:p>
        </w:tc>
        <w:tc>
          <w:tcPr>
            <w:tcW w:w="672"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1</w:t>
            </w:r>
          </w:p>
        </w:tc>
        <w:tc>
          <w:tcPr>
            <w:tcW w:w="1531" w:type="dxa"/>
            <w:tcBorders>
              <w:top w:val="single" w:color="000000" w:sz="8" w:space="0"/>
              <w:left w:val="single" w:color="000000" w:sz="8" w:space="0"/>
              <w:bottom w:val="single" w:color="000000" w:sz="8" w:space="0"/>
              <w:right w:val="single" w:color="000000" w:sz="8" w:space="0"/>
            </w:tcBorders>
            <w:noWrap w:val="0"/>
            <w:vAlign w:val="center"/>
          </w:tcPr>
          <w:p>
            <w:pPr>
              <w:wordWrap w:val="0"/>
              <w:rPr>
                <w:rFonts w:ascii="宋体" w:hAnsi="宋体" w:cs="宋体"/>
                <w:szCs w:val="21"/>
                <w:highlight w:val="none"/>
              </w:rPr>
            </w:pPr>
            <w:bookmarkStart w:id="0" w:name="OLE_LINK13"/>
            <w:r>
              <w:rPr>
                <w:rFonts w:hint="eastAsia" w:ascii="宋体" w:hAnsi="宋体" w:cs="宋体"/>
                <w:highlight w:val="none"/>
                <w:lang w:eastAsia="zh-CN"/>
              </w:rPr>
              <w:t>终端、</w:t>
            </w:r>
            <w:r>
              <w:rPr>
                <w:rFonts w:hint="eastAsia" w:ascii="宋体" w:hAnsi="宋体" w:cs="宋体"/>
                <w:highlight w:val="none"/>
                <w:lang w:val="en-US" w:eastAsia="zh-CN"/>
              </w:rPr>
              <w:t>网络</w:t>
            </w:r>
            <w:r>
              <w:rPr>
                <w:rFonts w:hint="eastAsia" w:ascii="宋体" w:hAnsi="宋体" w:cs="宋体"/>
                <w:highlight w:val="none"/>
                <w:lang w:eastAsia="zh-CN"/>
              </w:rPr>
              <w:t>运维</w:t>
            </w:r>
            <w:r>
              <w:rPr>
                <w:rFonts w:hint="eastAsia" w:ascii="宋体" w:hAnsi="宋体" w:cs="宋体"/>
                <w:highlight w:val="none"/>
              </w:rPr>
              <w:t>方案</w:t>
            </w:r>
            <w:bookmarkEnd w:id="0"/>
          </w:p>
        </w:tc>
        <w:tc>
          <w:tcPr>
            <w:tcW w:w="795" w:type="dxa"/>
            <w:tcBorders>
              <w:top w:val="single" w:color="000000" w:sz="8" w:space="0"/>
              <w:left w:val="single" w:color="000000" w:sz="8" w:space="0"/>
              <w:bottom w:val="single" w:color="000000" w:sz="8" w:space="0"/>
              <w:right w:val="single" w:color="000000" w:sz="8" w:space="0"/>
            </w:tcBorders>
            <w:noWrap w:val="0"/>
            <w:vAlign w:val="center"/>
          </w:tcPr>
          <w:p>
            <w:pPr>
              <w:wordWrap w:val="0"/>
              <w:jc w:val="center"/>
              <w:rPr>
                <w:rFonts w:hint="default" w:ascii="宋体" w:hAnsi="宋体" w:cs="宋体" w:eastAsiaTheme="minorEastAsia"/>
                <w:szCs w:val="21"/>
                <w:highlight w:val="none"/>
                <w:lang w:val="en-US" w:eastAsia="zh-CN"/>
              </w:rPr>
            </w:pPr>
            <w:r>
              <w:rPr>
                <w:rFonts w:hint="eastAsia" w:ascii="宋体" w:hAnsi="宋体" w:cs="宋体"/>
                <w:szCs w:val="21"/>
                <w:highlight w:val="none"/>
                <w:lang w:val="en-US" w:eastAsia="zh-CN"/>
              </w:rPr>
              <w:t>15</w:t>
            </w:r>
          </w:p>
        </w:tc>
        <w:tc>
          <w:tcPr>
            <w:tcW w:w="5405" w:type="dxa"/>
            <w:tcBorders>
              <w:top w:val="single" w:color="000000" w:sz="8" w:space="0"/>
              <w:left w:val="single" w:color="000000" w:sz="8" w:space="0"/>
              <w:bottom w:val="single" w:color="000000" w:sz="8" w:space="0"/>
              <w:right w:val="single" w:color="000000" w:sz="8" w:space="0"/>
            </w:tcBorders>
            <w:noWrap w:val="0"/>
            <w:vAlign w:val="center"/>
          </w:tcPr>
          <w:p>
            <w:pPr>
              <w:numPr>
                <w:ilvl w:val="0"/>
                <w:numId w:val="1"/>
              </w:numPr>
              <w:snapToGrid w:val="0"/>
              <w:jc w:val="left"/>
              <w:rPr>
                <w:rFonts w:hint="eastAsia" w:ascii="宋体" w:hAnsi="宋体" w:eastAsia="宋体" w:cs="宋体"/>
                <w:b/>
                <w:bCs/>
                <w:color w:val="auto"/>
                <w:sz w:val="21"/>
                <w:szCs w:val="21"/>
              </w:rPr>
            </w:pPr>
            <w:r>
              <w:rPr>
                <w:rFonts w:hint="eastAsia" w:ascii="宋体" w:hAnsi="宋体" w:eastAsia="宋体" w:cs="宋体"/>
                <w:b/>
                <w:bCs/>
                <w:color w:val="auto"/>
                <w:sz w:val="21"/>
                <w:szCs w:val="21"/>
              </w:rPr>
              <w:t>评分内容：</w:t>
            </w:r>
          </w:p>
          <w:p>
            <w:pPr>
              <w:numPr>
                <w:ilvl w:val="0"/>
                <w:numId w:val="0"/>
              </w:numPr>
              <w:snapToGrid w:val="0"/>
              <w:jc w:val="left"/>
              <w:rPr>
                <w:rFonts w:hint="eastAsia" w:ascii="宋体" w:hAnsi="宋体" w:eastAsia="宋体" w:cs="宋体"/>
                <w:color w:val="auto"/>
                <w:sz w:val="21"/>
                <w:szCs w:val="21"/>
              </w:rPr>
            </w:pPr>
            <w:r>
              <w:rPr>
                <w:rFonts w:hint="eastAsia" w:ascii="宋体" w:hAnsi="宋体" w:eastAsia="宋体" w:cs="宋体"/>
                <w:color w:val="auto"/>
                <w:sz w:val="21"/>
                <w:szCs w:val="21"/>
              </w:rPr>
              <w:t>（1）考察投标单位对本项目服务内容、范围及业务需求的理解。</w:t>
            </w:r>
          </w:p>
          <w:p>
            <w:pPr>
              <w:snapToGrid w:val="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（2）考察投标单位</w:t>
            </w:r>
            <w:r>
              <w:rPr>
                <w:rFonts w:hint="eastAsia" w:ascii="宋体" w:hAnsi="宋体" w:eastAsia="宋体" w:cs="宋体"/>
                <w:color w:val="auto"/>
                <w:sz w:val="21"/>
                <w:szCs w:val="21"/>
                <w:lang w:val="en-US" w:eastAsia="zh-CN"/>
              </w:rPr>
              <w:t>对采购方</w:t>
            </w:r>
            <w:r>
              <w:rPr>
                <w:rFonts w:ascii="Segoe UI" w:hAnsi="Segoe UI" w:eastAsia="Segoe UI" w:cs="Segoe UI"/>
                <w:i w:val="0"/>
                <w:iCs w:val="0"/>
                <w:caps w:val="0"/>
                <w:color w:val="0F1115"/>
                <w:spacing w:val="0"/>
                <w:sz w:val="22"/>
                <w:szCs w:val="22"/>
                <w:shd w:val="clear" w:fill="FFFFFF"/>
              </w:rPr>
              <w:t>终端运维、网络安全、政务网维护、应急预案</w:t>
            </w:r>
            <w:r>
              <w:rPr>
                <w:rFonts w:hint="eastAsia" w:ascii="Segoe UI" w:hAnsi="Segoe UI" w:eastAsia="宋体" w:cs="Segoe UI"/>
                <w:i w:val="0"/>
                <w:iCs w:val="0"/>
                <w:caps w:val="0"/>
                <w:color w:val="0F1115"/>
                <w:spacing w:val="0"/>
                <w:sz w:val="22"/>
                <w:szCs w:val="22"/>
                <w:shd w:val="clear" w:fill="FFFFFF"/>
                <w:lang w:val="en-US" w:eastAsia="zh-CN"/>
              </w:rPr>
              <w:t>等方面的设置。</w:t>
            </w:r>
          </w:p>
          <w:p>
            <w:pPr>
              <w:snapToGrid w:val="0"/>
              <w:rPr>
                <w:rFonts w:hint="eastAsia" w:ascii="宋体" w:hAnsi="宋体" w:eastAsia="宋体" w:cs="宋体"/>
                <w:b/>
                <w:bCs/>
                <w:color w:val="auto"/>
                <w:sz w:val="21"/>
                <w:szCs w:val="21"/>
              </w:rPr>
            </w:pPr>
            <w:r>
              <w:rPr>
                <w:rFonts w:hint="eastAsia" w:ascii="宋体" w:hAnsi="宋体" w:eastAsia="宋体" w:cs="宋体"/>
                <w:b/>
                <w:bCs/>
                <w:color w:val="auto"/>
                <w:sz w:val="21"/>
                <w:szCs w:val="21"/>
              </w:rPr>
              <w:t>（二）评分依据：</w:t>
            </w:r>
          </w:p>
          <w:p>
            <w:pPr>
              <w:pStyle w:val="2"/>
              <w:keepNext w:val="0"/>
              <w:keepLines w:val="0"/>
              <w:pageBreakBefore w:val="0"/>
              <w:tabs>
                <w:tab w:val="left" w:pos="562"/>
                <w:tab w:val="left" w:pos="3372"/>
                <w:tab w:val="left" w:pos="3653"/>
              </w:tabs>
              <w:kinsoku/>
              <w:overflowPunct/>
              <w:topLinePunct w:val="0"/>
              <w:bidi w:val="0"/>
              <w:snapToGrid/>
              <w:spacing w:line="240" w:lineRule="auto"/>
              <w:rPr>
                <w:rFonts w:hint="eastAsia" w:asciiTheme="minorEastAsia" w:hAnsiTheme="minorEastAsia" w:eastAsiaTheme="minorEastAsia" w:cstheme="minorEastAsia"/>
                <w:b w:val="0"/>
                <w:bCs w:val="0"/>
                <w:kern w:val="2"/>
                <w:sz w:val="21"/>
                <w:szCs w:val="21"/>
                <w:highlight w:val="none"/>
                <w:lang w:val="en-US" w:eastAsia="zh-CN" w:bidi="ar-SA"/>
              </w:rPr>
            </w:pPr>
            <w:r>
              <w:rPr>
                <w:rFonts w:hint="eastAsia" w:asciiTheme="minorEastAsia" w:hAnsiTheme="minorEastAsia" w:eastAsiaTheme="minorEastAsia" w:cstheme="minorEastAsia"/>
                <w:b w:val="0"/>
                <w:bCs w:val="0"/>
                <w:kern w:val="2"/>
                <w:sz w:val="21"/>
                <w:szCs w:val="21"/>
                <w:highlight w:val="none"/>
                <w:lang w:val="en-US" w:eastAsia="zh-CN" w:bidi="ar-SA"/>
              </w:rPr>
              <w:t>1、提供上述一项内容的得</w:t>
            </w:r>
            <w:r>
              <w:rPr>
                <w:rFonts w:hint="eastAsia" w:asciiTheme="minorEastAsia" w:hAnsiTheme="minorEastAsia" w:cstheme="minorEastAsia"/>
                <w:b w:val="0"/>
                <w:bCs w:val="0"/>
                <w:kern w:val="2"/>
                <w:sz w:val="21"/>
                <w:szCs w:val="21"/>
                <w:highlight w:val="none"/>
                <w:lang w:val="en-US" w:eastAsia="zh-CN" w:bidi="ar-SA"/>
              </w:rPr>
              <w:t>2</w:t>
            </w:r>
            <w:r>
              <w:rPr>
                <w:rFonts w:hint="eastAsia" w:asciiTheme="minorEastAsia" w:hAnsiTheme="minorEastAsia" w:eastAsiaTheme="minorEastAsia" w:cstheme="minorEastAsia"/>
                <w:b w:val="0"/>
                <w:bCs w:val="0"/>
                <w:kern w:val="2"/>
                <w:sz w:val="21"/>
                <w:szCs w:val="21"/>
                <w:highlight w:val="none"/>
                <w:lang w:val="en-US" w:eastAsia="zh-CN" w:bidi="ar-SA"/>
              </w:rPr>
              <w:t>0分，最高得</w:t>
            </w:r>
            <w:r>
              <w:rPr>
                <w:rFonts w:hint="eastAsia" w:asciiTheme="minorEastAsia" w:hAnsiTheme="minorEastAsia" w:cstheme="minorEastAsia"/>
                <w:b w:val="0"/>
                <w:bCs w:val="0"/>
                <w:kern w:val="2"/>
                <w:sz w:val="21"/>
                <w:szCs w:val="21"/>
                <w:highlight w:val="none"/>
                <w:lang w:val="en-US" w:eastAsia="zh-CN" w:bidi="ar-SA"/>
              </w:rPr>
              <w:t>4</w:t>
            </w:r>
            <w:r>
              <w:rPr>
                <w:rFonts w:hint="eastAsia" w:asciiTheme="minorEastAsia" w:hAnsiTheme="minorEastAsia" w:eastAsiaTheme="minorEastAsia" w:cstheme="minorEastAsia"/>
                <w:b w:val="0"/>
                <w:bCs w:val="0"/>
                <w:kern w:val="2"/>
                <w:sz w:val="21"/>
                <w:szCs w:val="21"/>
                <w:highlight w:val="none"/>
                <w:lang w:val="en-US" w:eastAsia="zh-CN" w:bidi="ar-SA"/>
              </w:rPr>
              <w:t>0分，其他情况不得分。</w:t>
            </w:r>
          </w:p>
          <w:p>
            <w:pPr>
              <w:pStyle w:val="2"/>
              <w:keepNext w:val="0"/>
              <w:keepLines w:val="0"/>
              <w:pageBreakBefore w:val="0"/>
              <w:tabs>
                <w:tab w:val="left" w:pos="562"/>
                <w:tab w:val="left" w:pos="3372"/>
                <w:tab w:val="left" w:pos="3653"/>
              </w:tabs>
              <w:kinsoku/>
              <w:overflowPunct/>
              <w:topLinePunct w:val="0"/>
              <w:bidi w:val="0"/>
              <w:snapToGrid/>
              <w:spacing w:line="240" w:lineRule="auto"/>
              <w:rPr>
                <w:rFonts w:hint="eastAsia" w:asciiTheme="minorEastAsia" w:hAnsiTheme="minorEastAsia" w:eastAsiaTheme="minorEastAsia" w:cstheme="minorEastAsia"/>
                <w:b w:val="0"/>
                <w:bCs w:val="0"/>
                <w:kern w:val="2"/>
                <w:sz w:val="21"/>
                <w:szCs w:val="21"/>
                <w:highlight w:val="none"/>
                <w:lang w:val="en-US" w:eastAsia="zh-CN" w:bidi="ar-SA"/>
              </w:rPr>
            </w:pPr>
            <w:r>
              <w:rPr>
                <w:rFonts w:hint="eastAsia" w:asciiTheme="minorEastAsia" w:hAnsiTheme="minorEastAsia" w:eastAsiaTheme="minorEastAsia" w:cstheme="minorEastAsia"/>
                <w:b w:val="0"/>
                <w:bCs w:val="0"/>
                <w:kern w:val="2"/>
                <w:sz w:val="21"/>
                <w:szCs w:val="21"/>
                <w:highlight w:val="none"/>
                <w:lang w:val="en-US" w:eastAsia="zh-CN" w:bidi="ar-SA"/>
              </w:rPr>
              <w:t>2、在此基础上，由评审委员进行评价：</w:t>
            </w:r>
          </w:p>
          <w:p>
            <w:pPr>
              <w:pStyle w:val="2"/>
              <w:keepNext w:val="0"/>
              <w:keepLines w:val="0"/>
              <w:pageBreakBefore w:val="0"/>
              <w:tabs>
                <w:tab w:val="left" w:pos="562"/>
                <w:tab w:val="left" w:pos="3372"/>
                <w:tab w:val="left" w:pos="3653"/>
              </w:tabs>
              <w:kinsoku/>
              <w:overflowPunct/>
              <w:topLinePunct w:val="0"/>
              <w:bidi w:val="0"/>
              <w:snapToGrid/>
              <w:spacing w:line="240" w:lineRule="auto"/>
              <w:rPr>
                <w:rFonts w:hint="eastAsia" w:asciiTheme="minorEastAsia" w:hAnsiTheme="minorEastAsia" w:eastAsiaTheme="minorEastAsia" w:cstheme="minorEastAsia"/>
                <w:b w:val="0"/>
                <w:bCs w:val="0"/>
                <w:kern w:val="2"/>
                <w:sz w:val="21"/>
                <w:szCs w:val="21"/>
                <w:highlight w:val="none"/>
                <w:lang w:val="en-US" w:eastAsia="zh-CN" w:bidi="ar-SA"/>
              </w:rPr>
            </w:pPr>
            <w:r>
              <w:rPr>
                <w:rFonts w:hint="eastAsia" w:asciiTheme="minorEastAsia" w:hAnsiTheme="minorEastAsia" w:eastAsiaTheme="minorEastAsia" w:cstheme="minorEastAsia"/>
                <w:b w:val="0"/>
                <w:bCs w:val="0"/>
                <w:kern w:val="2"/>
                <w:sz w:val="21"/>
                <w:szCs w:val="21"/>
                <w:highlight w:val="none"/>
                <w:lang w:val="en-US" w:eastAsia="zh-CN" w:bidi="ar-SA"/>
              </w:rPr>
              <w:t>(1)方案整体科学合理，针对性可操作性强，评审为优，加</w:t>
            </w:r>
            <w:r>
              <w:rPr>
                <w:rFonts w:hint="eastAsia" w:asciiTheme="minorEastAsia" w:hAnsiTheme="minorEastAsia" w:cstheme="minorEastAsia"/>
                <w:b w:val="0"/>
                <w:bCs w:val="0"/>
                <w:kern w:val="2"/>
                <w:sz w:val="21"/>
                <w:szCs w:val="21"/>
                <w:highlight w:val="none"/>
                <w:lang w:val="en-US" w:eastAsia="zh-CN" w:bidi="ar-SA"/>
              </w:rPr>
              <w:t>6</w:t>
            </w:r>
            <w:r>
              <w:rPr>
                <w:rFonts w:hint="eastAsia" w:asciiTheme="minorEastAsia" w:hAnsiTheme="minorEastAsia" w:eastAsiaTheme="minorEastAsia" w:cstheme="minorEastAsia"/>
                <w:b w:val="0"/>
                <w:bCs w:val="0"/>
                <w:kern w:val="2"/>
                <w:sz w:val="21"/>
                <w:szCs w:val="21"/>
                <w:highlight w:val="none"/>
                <w:lang w:val="en-US" w:eastAsia="zh-CN" w:bidi="ar-SA"/>
              </w:rPr>
              <w:t>0分。</w:t>
            </w:r>
          </w:p>
          <w:p>
            <w:pPr>
              <w:pStyle w:val="2"/>
              <w:keepNext w:val="0"/>
              <w:keepLines w:val="0"/>
              <w:pageBreakBefore w:val="0"/>
              <w:tabs>
                <w:tab w:val="left" w:pos="562"/>
                <w:tab w:val="left" w:pos="3372"/>
                <w:tab w:val="left" w:pos="3653"/>
              </w:tabs>
              <w:kinsoku/>
              <w:overflowPunct/>
              <w:topLinePunct w:val="0"/>
              <w:bidi w:val="0"/>
              <w:snapToGrid/>
              <w:spacing w:line="240" w:lineRule="auto"/>
              <w:rPr>
                <w:rFonts w:hint="eastAsia" w:asciiTheme="minorEastAsia" w:hAnsiTheme="minorEastAsia" w:eastAsiaTheme="minorEastAsia" w:cstheme="minorEastAsia"/>
                <w:b w:val="0"/>
                <w:bCs w:val="0"/>
                <w:kern w:val="2"/>
                <w:sz w:val="21"/>
                <w:szCs w:val="21"/>
                <w:highlight w:val="none"/>
                <w:lang w:val="en-US" w:eastAsia="zh-CN" w:bidi="ar-SA"/>
              </w:rPr>
            </w:pPr>
            <w:r>
              <w:rPr>
                <w:rFonts w:hint="eastAsia" w:asciiTheme="minorEastAsia" w:hAnsiTheme="minorEastAsia" w:eastAsiaTheme="minorEastAsia" w:cstheme="minorEastAsia"/>
                <w:b w:val="0"/>
                <w:bCs w:val="0"/>
                <w:kern w:val="2"/>
                <w:sz w:val="21"/>
                <w:szCs w:val="21"/>
                <w:highlight w:val="none"/>
                <w:lang w:val="en-US" w:eastAsia="zh-CN" w:bidi="ar-SA"/>
              </w:rPr>
              <w:t>(2)方案较合理，有一定针对性可操作性，评审为良，加</w:t>
            </w:r>
            <w:r>
              <w:rPr>
                <w:rFonts w:hint="eastAsia" w:asciiTheme="minorEastAsia" w:hAnsiTheme="minorEastAsia" w:cstheme="minorEastAsia"/>
                <w:b w:val="0"/>
                <w:bCs w:val="0"/>
                <w:kern w:val="2"/>
                <w:sz w:val="21"/>
                <w:szCs w:val="21"/>
                <w:highlight w:val="none"/>
                <w:lang w:val="en-US" w:eastAsia="zh-CN" w:bidi="ar-SA"/>
              </w:rPr>
              <w:t>3</w:t>
            </w:r>
            <w:r>
              <w:rPr>
                <w:rFonts w:hint="eastAsia" w:asciiTheme="minorEastAsia" w:hAnsiTheme="minorEastAsia" w:eastAsiaTheme="minorEastAsia" w:cstheme="minorEastAsia"/>
                <w:b w:val="0"/>
                <w:bCs w:val="0"/>
                <w:kern w:val="2"/>
                <w:sz w:val="21"/>
                <w:szCs w:val="21"/>
                <w:highlight w:val="none"/>
                <w:lang w:val="en-US" w:eastAsia="zh-CN" w:bidi="ar-SA"/>
              </w:rPr>
              <w:t>0分。</w:t>
            </w:r>
          </w:p>
          <w:p>
            <w:pPr>
              <w:pStyle w:val="2"/>
              <w:keepNext w:val="0"/>
              <w:keepLines w:val="0"/>
              <w:pageBreakBefore w:val="0"/>
              <w:tabs>
                <w:tab w:val="left" w:pos="562"/>
                <w:tab w:val="left" w:pos="3372"/>
                <w:tab w:val="left" w:pos="3653"/>
              </w:tabs>
              <w:kinsoku/>
              <w:overflowPunct/>
              <w:topLinePunct w:val="0"/>
              <w:bidi w:val="0"/>
              <w:snapToGrid/>
              <w:spacing w:line="240" w:lineRule="auto"/>
              <w:rPr>
                <w:rFonts w:hint="eastAsia" w:asciiTheme="minorEastAsia" w:hAnsiTheme="minorEastAsia" w:eastAsiaTheme="minorEastAsia" w:cstheme="minorEastAsia"/>
                <w:b w:val="0"/>
                <w:bCs w:val="0"/>
                <w:kern w:val="2"/>
                <w:sz w:val="21"/>
                <w:szCs w:val="21"/>
                <w:highlight w:val="none"/>
                <w:lang w:val="en-US" w:eastAsia="zh-CN" w:bidi="ar-SA"/>
              </w:rPr>
            </w:pPr>
            <w:r>
              <w:rPr>
                <w:rFonts w:hint="eastAsia" w:asciiTheme="minorEastAsia" w:hAnsiTheme="minorEastAsia" w:eastAsiaTheme="minorEastAsia" w:cstheme="minorEastAsia"/>
                <w:b w:val="0"/>
                <w:bCs w:val="0"/>
                <w:kern w:val="2"/>
                <w:sz w:val="21"/>
                <w:szCs w:val="21"/>
                <w:highlight w:val="none"/>
                <w:lang w:val="en-US" w:eastAsia="zh-CN" w:bidi="ar-SA"/>
              </w:rPr>
              <w:t>(3)方案不尽合理，针对性一般，可操作性一般，评审为中，加10分。</w:t>
            </w:r>
          </w:p>
          <w:p>
            <w:pPr>
              <w:rPr>
                <w:rFonts w:ascii="宋体" w:hAnsi="宋体" w:cs="宋体"/>
                <w:szCs w:val="21"/>
                <w:highlight w:val="none"/>
              </w:rPr>
            </w:pPr>
            <w:r>
              <w:rPr>
                <w:rFonts w:hint="eastAsia" w:asciiTheme="minorEastAsia" w:hAnsiTheme="minorEastAsia" w:eastAsiaTheme="minorEastAsia" w:cstheme="minorEastAsia"/>
                <w:b w:val="0"/>
                <w:bCs w:val="0"/>
                <w:kern w:val="2"/>
                <w:sz w:val="21"/>
                <w:szCs w:val="21"/>
                <w:highlight w:val="none"/>
                <w:lang w:val="en-US" w:eastAsia="zh-CN" w:bidi="ar-SA"/>
              </w:rPr>
              <w:t>(4)方案不合理，无针对性，可操作性，评审为差，不加分。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661" w:hRule="atLeast"/>
          <w:jc w:val="center"/>
        </w:trPr>
        <w:tc>
          <w:tcPr>
            <w:tcW w:w="672"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jc w:val="left"/>
              <w:rPr>
                <w:rFonts w:ascii="宋体" w:hAnsi="宋体" w:cs="宋体"/>
                <w:b/>
                <w:bCs/>
                <w:color w:val="0000FF"/>
                <w:kern w:val="0"/>
                <w:szCs w:val="21"/>
                <w:highlight w:val="none"/>
              </w:rPr>
            </w:pPr>
          </w:p>
        </w:tc>
        <w:tc>
          <w:tcPr>
            <w:tcW w:w="672"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2</w:t>
            </w:r>
          </w:p>
        </w:tc>
        <w:tc>
          <w:tcPr>
            <w:tcW w:w="1531" w:type="dxa"/>
            <w:tcBorders>
              <w:top w:val="single" w:color="000000" w:sz="8" w:space="0"/>
              <w:left w:val="single" w:color="000000" w:sz="8" w:space="0"/>
              <w:bottom w:val="single" w:color="000000" w:sz="8" w:space="0"/>
              <w:right w:val="single" w:color="000000" w:sz="8" w:space="0"/>
            </w:tcBorders>
            <w:noWrap w:val="0"/>
            <w:vAlign w:val="center"/>
          </w:tcPr>
          <w:p>
            <w:pPr>
              <w:wordWrap w:val="0"/>
              <w:rPr>
                <w:rFonts w:ascii="宋体" w:hAnsi="宋体" w:cs="宋体"/>
                <w:szCs w:val="21"/>
                <w:highlight w:val="none"/>
              </w:rPr>
            </w:pPr>
            <w:bookmarkStart w:id="1" w:name="OLE_LINK18"/>
            <w:r>
              <w:rPr>
                <w:rFonts w:hint="eastAsia" w:ascii="宋体" w:hAnsi="宋体" w:cs="宋体"/>
                <w:highlight w:val="none"/>
              </w:rPr>
              <w:t>项目管理方案</w:t>
            </w:r>
            <w:bookmarkEnd w:id="1"/>
          </w:p>
        </w:tc>
        <w:tc>
          <w:tcPr>
            <w:tcW w:w="795" w:type="dxa"/>
            <w:tcBorders>
              <w:top w:val="single" w:color="000000" w:sz="8" w:space="0"/>
              <w:left w:val="single" w:color="000000" w:sz="8" w:space="0"/>
              <w:bottom w:val="single" w:color="000000" w:sz="8" w:space="0"/>
              <w:right w:val="single" w:color="000000" w:sz="8" w:space="0"/>
            </w:tcBorders>
            <w:noWrap w:val="0"/>
            <w:vAlign w:val="center"/>
          </w:tcPr>
          <w:p>
            <w:pPr>
              <w:wordWrap w:val="0"/>
              <w:jc w:val="center"/>
              <w:rPr>
                <w:rFonts w:hint="default" w:ascii="宋体" w:hAnsi="宋体" w:cs="宋体" w:eastAsiaTheme="minorEastAsia"/>
                <w:szCs w:val="21"/>
                <w:highlight w:val="none"/>
                <w:lang w:val="en-US" w:eastAsia="zh-CN"/>
              </w:rPr>
            </w:pPr>
            <w:r>
              <w:rPr>
                <w:rFonts w:hint="eastAsia" w:ascii="宋体" w:hAnsi="宋体" w:cs="宋体"/>
                <w:szCs w:val="21"/>
                <w:highlight w:val="none"/>
                <w:lang w:val="en-US" w:eastAsia="zh-CN"/>
              </w:rPr>
              <w:t>10</w:t>
            </w:r>
          </w:p>
        </w:tc>
        <w:tc>
          <w:tcPr>
            <w:tcW w:w="5405" w:type="dxa"/>
            <w:tcBorders>
              <w:top w:val="single" w:color="000000" w:sz="8" w:space="0"/>
              <w:left w:val="single" w:color="000000" w:sz="8" w:space="0"/>
              <w:bottom w:val="single" w:color="000000" w:sz="8" w:space="0"/>
              <w:right w:val="single" w:color="000000" w:sz="8" w:space="0"/>
            </w:tcBorders>
            <w:noWrap w:val="0"/>
            <w:vAlign w:val="center"/>
          </w:tcPr>
          <w:p>
            <w:pPr>
              <w:wordWrap w:val="0"/>
              <w:snapToGrid w:val="0"/>
              <w:rPr>
                <w:rFonts w:ascii="宋体" w:hAnsi="宋体" w:cs="宋体"/>
                <w:b/>
                <w:highlight w:val="none"/>
              </w:rPr>
            </w:pPr>
            <w:r>
              <w:rPr>
                <w:rFonts w:hint="eastAsia" w:ascii="宋体" w:hAnsi="宋体" w:cs="宋体"/>
                <w:b/>
                <w:highlight w:val="none"/>
              </w:rPr>
              <w:t>（一）评分内容：</w:t>
            </w:r>
          </w:p>
          <w:p>
            <w:pPr>
              <w:wordWrap w:val="0"/>
              <w:snapToGrid w:val="0"/>
              <w:rPr>
                <w:rFonts w:hint="eastAsia" w:ascii="宋体" w:hAnsi="宋体" w:cs="宋体"/>
                <w:bCs/>
                <w:highlight w:val="none"/>
              </w:rPr>
            </w:pPr>
            <w:r>
              <w:rPr>
                <w:rFonts w:hint="eastAsia" w:ascii="宋体" w:hAnsi="宋体" w:cs="宋体"/>
                <w:bCs/>
                <w:highlight w:val="none"/>
              </w:rPr>
              <w:t>投标人</w:t>
            </w:r>
            <w:r>
              <w:rPr>
                <w:rFonts w:hint="eastAsia" w:ascii="宋体" w:hAnsi="宋体" w:cs="宋体"/>
                <w:bCs/>
                <w:highlight w:val="none"/>
                <w:lang w:eastAsia="zh-CN"/>
              </w:rPr>
              <w:t>在充分了解采购人需求上</w:t>
            </w:r>
            <w:r>
              <w:rPr>
                <w:rFonts w:hint="eastAsia" w:ascii="宋体" w:hAnsi="宋体" w:cs="宋体"/>
                <w:bCs/>
                <w:highlight w:val="none"/>
              </w:rPr>
              <w:t>针对本项目提供项目管理方案，内容应包括：</w:t>
            </w:r>
          </w:p>
          <w:p>
            <w:pPr>
              <w:wordWrap w:val="0"/>
              <w:snapToGrid w:val="0"/>
              <w:rPr>
                <w:rFonts w:hint="eastAsia" w:ascii="宋体" w:hAnsi="宋体" w:cs="宋体"/>
                <w:b w:val="0"/>
                <w:bCs/>
                <w:highlight w:val="none"/>
              </w:rPr>
            </w:pPr>
            <w:r>
              <w:rPr>
                <w:rFonts w:hint="eastAsia" w:ascii="宋体" w:hAnsi="宋体" w:cs="宋体"/>
                <w:b w:val="0"/>
                <w:bCs/>
                <w:highlight w:val="none"/>
              </w:rPr>
              <w:t>1、</w:t>
            </w:r>
            <w:r>
              <w:rPr>
                <w:rFonts w:hint="eastAsia" w:ascii="宋体" w:hAnsi="宋体" w:cs="宋体"/>
                <w:b w:val="0"/>
                <w:bCs/>
                <w:highlight w:val="none"/>
                <w:lang w:val="en-US" w:eastAsia="zh-CN"/>
              </w:rPr>
              <w:t>终端、网络运维</w:t>
            </w:r>
            <w:r>
              <w:rPr>
                <w:rFonts w:hint="eastAsia" w:ascii="宋体" w:hAnsi="宋体" w:cs="宋体"/>
                <w:b w:val="0"/>
                <w:bCs/>
                <w:highlight w:val="none"/>
              </w:rPr>
              <w:t xml:space="preserve">管理； </w:t>
            </w:r>
          </w:p>
          <w:p>
            <w:pPr>
              <w:wordWrap w:val="0"/>
              <w:snapToGrid w:val="0"/>
              <w:rPr>
                <w:rFonts w:hint="eastAsia" w:ascii="宋体" w:hAnsi="宋体" w:cs="宋体"/>
                <w:b w:val="0"/>
                <w:bCs/>
                <w:highlight w:val="none"/>
              </w:rPr>
            </w:pPr>
            <w:r>
              <w:rPr>
                <w:rFonts w:hint="eastAsia" w:ascii="宋体" w:hAnsi="宋体" w:cs="宋体"/>
                <w:b w:val="0"/>
                <w:bCs/>
                <w:highlight w:val="none"/>
              </w:rPr>
              <w:t xml:space="preserve">2、运维流程（包括不限于信息化设备维护维修、系统软件故障解决、病毒防范和网络安全保障）； </w:t>
            </w:r>
          </w:p>
          <w:p>
            <w:pPr>
              <w:wordWrap w:val="0"/>
              <w:snapToGrid w:val="0"/>
              <w:rPr>
                <w:rFonts w:hint="eastAsia" w:ascii="宋体" w:hAnsi="宋体" w:cs="宋体"/>
                <w:b w:val="0"/>
                <w:bCs/>
                <w:highlight w:val="none"/>
              </w:rPr>
            </w:pPr>
            <w:r>
              <w:rPr>
                <w:rFonts w:hint="eastAsia" w:ascii="宋体" w:hAnsi="宋体" w:cs="宋体"/>
                <w:b w:val="0"/>
                <w:bCs/>
                <w:highlight w:val="none"/>
              </w:rPr>
              <w:t>3、运维团队体系（含</w:t>
            </w:r>
            <w:r>
              <w:rPr>
                <w:rFonts w:hint="eastAsia" w:ascii="宋体" w:hAnsi="宋体" w:cs="宋体"/>
                <w:b w:val="0"/>
                <w:bCs/>
                <w:highlight w:val="none"/>
                <w:lang w:eastAsia="zh-CN"/>
              </w:rPr>
              <w:t>驻场</w:t>
            </w:r>
            <w:r>
              <w:rPr>
                <w:rFonts w:hint="eastAsia" w:ascii="宋体" w:hAnsi="宋体" w:cs="宋体"/>
                <w:b w:val="0"/>
                <w:bCs/>
                <w:highlight w:val="none"/>
              </w:rPr>
              <w:t>、二线运维工程师职责）和调度流程；</w:t>
            </w:r>
          </w:p>
          <w:p>
            <w:pPr>
              <w:wordWrap w:val="0"/>
              <w:snapToGrid w:val="0"/>
              <w:rPr>
                <w:rFonts w:hint="eastAsia" w:ascii="宋体" w:hAnsi="宋体" w:cs="宋体"/>
                <w:b w:val="0"/>
                <w:bCs/>
                <w:highlight w:val="none"/>
              </w:rPr>
            </w:pPr>
            <w:r>
              <w:rPr>
                <w:rFonts w:hint="eastAsia" w:ascii="宋体" w:hAnsi="宋体" w:cs="宋体"/>
                <w:b w:val="0"/>
                <w:bCs/>
                <w:highlight w:val="none"/>
              </w:rPr>
              <w:t xml:space="preserve">4、运维记录文档准备及交付方案。 </w:t>
            </w:r>
          </w:p>
          <w:p>
            <w:pPr>
              <w:wordWrap w:val="0"/>
              <w:snapToGrid w:val="0"/>
              <w:rPr>
                <w:rFonts w:hint="eastAsia" w:ascii="宋体" w:hAnsi="宋体" w:cs="宋体"/>
                <w:b/>
                <w:bCs w:val="0"/>
                <w:highlight w:val="none"/>
              </w:rPr>
            </w:pPr>
            <w:r>
              <w:rPr>
                <w:rFonts w:hint="eastAsia" w:ascii="宋体" w:hAnsi="宋体" w:cs="宋体"/>
                <w:b/>
                <w:bCs w:val="0"/>
                <w:highlight w:val="none"/>
              </w:rPr>
              <w:t>（二）评分依据：</w:t>
            </w:r>
          </w:p>
          <w:p>
            <w:pPr>
              <w:wordWrap w:val="0"/>
              <w:snapToGrid w:val="0"/>
              <w:rPr>
                <w:rFonts w:hint="eastAsia" w:ascii="宋体" w:hAnsi="宋体" w:cs="宋体"/>
                <w:bCs/>
                <w:highlight w:val="none"/>
              </w:rPr>
            </w:pPr>
            <w:r>
              <w:rPr>
                <w:rFonts w:hint="eastAsia" w:ascii="宋体" w:hAnsi="宋体" w:eastAsia="宋体" w:cs="宋体"/>
                <w:szCs w:val="21"/>
                <w:highlight w:val="none"/>
              </w:rPr>
              <w:t>提供以上</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项内容的得60分，提供以上任</w:t>
            </w:r>
            <w:r>
              <w:rPr>
                <w:rFonts w:hint="eastAsia" w:ascii="宋体" w:hAnsi="宋体" w:eastAsia="宋体" w:cs="宋体"/>
                <w:szCs w:val="21"/>
                <w:highlight w:val="none"/>
                <w:lang w:val="en-US" w:eastAsia="zh-CN"/>
              </w:rPr>
              <w:t>意</w:t>
            </w:r>
            <w:r>
              <w:rPr>
                <w:rFonts w:hint="eastAsia" w:ascii="宋体" w:hAnsi="宋体" w:eastAsia="宋体" w:cs="宋体"/>
                <w:szCs w:val="21"/>
                <w:highlight w:val="none"/>
              </w:rPr>
              <w:t>一项得</w:t>
            </w: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5分</w:t>
            </w:r>
            <w:r>
              <w:rPr>
                <w:rFonts w:hint="eastAsia" w:ascii="宋体" w:hAnsi="宋体" w:cs="宋体"/>
                <w:bCs/>
                <w:highlight w:val="none"/>
              </w:rPr>
              <w:t>。在此基础上，专家根据内容的合理性进行评分：</w:t>
            </w:r>
          </w:p>
          <w:p>
            <w:pPr>
              <w:wordWrap w:val="0"/>
              <w:snapToGrid w:val="0"/>
              <w:rPr>
                <w:rFonts w:hint="eastAsia" w:ascii="宋体" w:hAnsi="宋体" w:cs="宋体"/>
                <w:bCs/>
                <w:highlight w:val="none"/>
              </w:rPr>
            </w:pPr>
            <w:r>
              <w:rPr>
                <w:rFonts w:hint="eastAsia" w:ascii="宋体" w:hAnsi="宋体" w:cs="宋体"/>
                <w:bCs/>
                <w:highlight w:val="none"/>
              </w:rPr>
              <w:t>优评分标准：耗材管理配送及运维流程完整全面，工程师界面清晰明确，运维记录文档详细规范，运维及调度流程科学合理，得40分。</w:t>
            </w:r>
          </w:p>
          <w:p>
            <w:pPr>
              <w:wordWrap w:val="0"/>
              <w:snapToGrid w:val="0"/>
              <w:rPr>
                <w:rFonts w:hint="eastAsia" w:ascii="宋体" w:hAnsi="宋体" w:cs="宋体"/>
                <w:bCs/>
                <w:highlight w:val="none"/>
              </w:rPr>
            </w:pPr>
            <w:r>
              <w:rPr>
                <w:rFonts w:hint="eastAsia" w:ascii="宋体" w:hAnsi="宋体" w:cs="宋体"/>
                <w:bCs/>
                <w:highlight w:val="none"/>
              </w:rPr>
              <w:t>良评分标准：耗材管理配送及运维流程较完整全面，工程师界面较清晰明确，运维记录文档较为详细规范，运维及调度流程较合理，得25分。</w:t>
            </w:r>
          </w:p>
          <w:p>
            <w:pPr>
              <w:wordWrap w:val="0"/>
              <w:snapToGrid w:val="0"/>
              <w:rPr>
                <w:rFonts w:hint="eastAsia" w:ascii="宋体" w:hAnsi="宋体" w:cs="宋体"/>
                <w:bCs/>
                <w:highlight w:val="none"/>
              </w:rPr>
            </w:pPr>
            <w:r>
              <w:rPr>
                <w:rFonts w:hint="eastAsia" w:ascii="宋体" w:hAnsi="宋体" w:cs="宋体"/>
                <w:bCs/>
                <w:highlight w:val="none"/>
              </w:rPr>
              <w:t>中评分标准：耗材管理配送及运维流程完整性全面性一般，工程师界面基本清晰明确，运维记录文档详细性规范性一般，运维及调度流程合理性一般，得15分。</w:t>
            </w:r>
          </w:p>
          <w:p>
            <w:pPr>
              <w:wordWrap w:val="0"/>
              <w:snapToGrid w:val="0"/>
              <w:rPr>
                <w:rFonts w:hint="eastAsia" w:ascii="宋体" w:hAnsi="宋体" w:cs="宋体"/>
                <w:bCs/>
                <w:highlight w:val="none"/>
              </w:rPr>
            </w:pPr>
            <w:r>
              <w:rPr>
                <w:rFonts w:hint="eastAsia" w:ascii="宋体" w:hAnsi="宋体" w:cs="宋体"/>
                <w:bCs/>
                <w:highlight w:val="none"/>
              </w:rPr>
              <w:t>差评分标准：耗材管理配送及运维流程不清晰不明确，运维记录文档不详细不规范，运维及调度流程不合理，不得分。未提供项目管理方案的不得分。</w:t>
            </w:r>
          </w:p>
          <w:p>
            <w:pPr>
              <w:wordWrap w:val="0"/>
              <w:rPr>
                <w:rFonts w:ascii="宋体" w:hAnsi="宋体" w:cs="宋体"/>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jc w:val="left"/>
              <w:rPr>
                <w:rFonts w:ascii="宋体" w:hAnsi="宋体" w:cs="宋体"/>
                <w:b/>
                <w:bCs/>
                <w:color w:val="0000FF"/>
                <w:kern w:val="0"/>
                <w:szCs w:val="21"/>
                <w:highlight w:val="none"/>
              </w:rPr>
            </w:pPr>
          </w:p>
        </w:tc>
        <w:tc>
          <w:tcPr>
            <w:tcW w:w="672"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3</w:t>
            </w:r>
          </w:p>
        </w:tc>
        <w:tc>
          <w:tcPr>
            <w:tcW w:w="1531" w:type="dxa"/>
            <w:tcBorders>
              <w:top w:val="single" w:color="000000" w:sz="8" w:space="0"/>
              <w:left w:val="single" w:color="000000" w:sz="8" w:space="0"/>
              <w:bottom w:val="single" w:color="000000" w:sz="8" w:space="0"/>
              <w:right w:val="single" w:color="000000" w:sz="8" w:space="0"/>
            </w:tcBorders>
            <w:noWrap w:val="0"/>
            <w:vAlign w:val="center"/>
          </w:tcPr>
          <w:p>
            <w:pPr>
              <w:wordWrap w:val="0"/>
              <w:rPr>
                <w:rFonts w:ascii="宋体" w:hAnsi="宋体" w:cs="宋体"/>
                <w:szCs w:val="21"/>
                <w:highlight w:val="none"/>
              </w:rPr>
            </w:pPr>
            <w:bookmarkStart w:id="2" w:name="OLE_LINK20"/>
            <w:bookmarkStart w:id="3" w:name="OLE_LINK19"/>
            <w:r>
              <w:rPr>
                <w:rFonts w:hint="eastAsia" w:ascii="宋体" w:hAnsi="宋体" w:cs="宋体"/>
                <w:highlight w:val="none"/>
              </w:rPr>
              <w:t>质量保障措施及方案</w:t>
            </w:r>
            <w:bookmarkEnd w:id="2"/>
            <w:bookmarkEnd w:id="3"/>
          </w:p>
        </w:tc>
        <w:tc>
          <w:tcPr>
            <w:tcW w:w="795" w:type="dxa"/>
            <w:tcBorders>
              <w:top w:val="single" w:color="000000" w:sz="8" w:space="0"/>
              <w:left w:val="single" w:color="000000" w:sz="8" w:space="0"/>
              <w:bottom w:val="single" w:color="000000" w:sz="8" w:space="0"/>
              <w:right w:val="single" w:color="000000" w:sz="8" w:space="0"/>
            </w:tcBorders>
            <w:noWrap w:val="0"/>
            <w:vAlign w:val="center"/>
          </w:tcPr>
          <w:p>
            <w:pPr>
              <w:wordWrap w:val="0"/>
              <w:jc w:val="center"/>
              <w:rPr>
                <w:rFonts w:hint="eastAsia" w:ascii="宋体" w:hAnsi="宋体" w:cs="宋体" w:eastAsiaTheme="minorEastAsia"/>
                <w:szCs w:val="21"/>
                <w:highlight w:val="none"/>
                <w:lang w:eastAsia="zh-CN"/>
              </w:rPr>
            </w:pPr>
            <w:r>
              <w:rPr>
                <w:rFonts w:hint="eastAsia" w:ascii="宋体" w:hAnsi="宋体" w:cs="宋体"/>
                <w:szCs w:val="21"/>
                <w:highlight w:val="none"/>
                <w:lang w:val="en-US" w:eastAsia="zh-CN"/>
              </w:rPr>
              <w:t>5</w:t>
            </w:r>
          </w:p>
        </w:tc>
        <w:tc>
          <w:tcPr>
            <w:tcW w:w="5405" w:type="dxa"/>
            <w:tcBorders>
              <w:top w:val="single" w:color="000000" w:sz="8" w:space="0"/>
              <w:left w:val="single" w:color="000000" w:sz="8" w:space="0"/>
              <w:bottom w:val="single" w:color="000000" w:sz="8" w:space="0"/>
              <w:right w:val="single" w:color="000000" w:sz="8" w:space="0"/>
            </w:tcBorders>
            <w:noWrap w:val="0"/>
            <w:vAlign w:val="center"/>
          </w:tcPr>
          <w:p>
            <w:pPr>
              <w:wordWrap w:val="0"/>
              <w:snapToGrid w:val="0"/>
              <w:rPr>
                <w:rFonts w:ascii="宋体" w:hAnsi="宋体" w:cs="宋体"/>
                <w:b/>
                <w:highlight w:val="none"/>
              </w:rPr>
            </w:pPr>
            <w:r>
              <w:rPr>
                <w:rFonts w:hint="eastAsia" w:ascii="宋体" w:hAnsi="宋体" w:cs="宋体"/>
                <w:b/>
                <w:highlight w:val="none"/>
              </w:rPr>
              <w:t>（一）评分内容：</w:t>
            </w:r>
          </w:p>
          <w:p>
            <w:pPr>
              <w:wordWrap w:val="0"/>
              <w:snapToGrid w:val="0"/>
              <w:rPr>
                <w:rFonts w:hint="eastAsia" w:ascii="宋体" w:hAnsi="宋体" w:cs="宋体"/>
                <w:bCs/>
                <w:highlight w:val="none"/>
              </w:rPr>
            </w:pPr>
            <w:r>
              <w:rPr>
                <w:rFonts w:hint="eastAsia" w:ascii="宋体" w:hAnsi="宋体" w:cs="宋体"/>
                <w:bCs/>
                <w:highlight w:val="none"/>
              </w:rPr>
              <w:t>投标人</w:t>
            </w:r>
            <w:r>
              <w:rPr>
                <w:rFonts w:hint="eastAsia" w:ascii="宋体" w:hAnsi="宋体" w:cs="宋体"/>
                <w:bCs/>
                <w:highlight w:val="none"/>
                <w:lang w:eastAsia="zh-CN"/>
              </w:rPr>
              <w:t>在充分了解采购人需求上</w:t>
            </w:r>
            <w:r>
              <w:rPr>
                <w:rFonts w:hint="eastAsia" w:ascii="宋体" w:hAnsi="宋体" w:cs="宋体"/>
                <w:bCs/>
                <w:highlight w:val="none"/>
              </w:rPr>
              <w:t>针对本项目提供质量保障措施及方案，内容应包括：</w:t>
            </w:r>
          </w:p>
          <w:p>
            <w:pPr>
              <w:wordWrap w:val="0"/>
              <w:snapToGrid w:val="0"/>
              <w:rPr>
                <w:rFonts w:hint="eastAsia" w:ascii="宋体" w:hAnsi="宋体" w:cs="宋体"/>
                <w:b w:val="0"/>
                <w:bCs/>
                <w:highlight w:val="none"/>
              </w:rPr>
            </w:pPr>
            <w:r>
              <w:rPr>
                <w:rFonts w:hint="eastAsia" w:ascii="宋体" w:hAnsi="宋体" w:cs="宋体"/>
                <w:b w:val="0"/>
                <w:bCs/>
                <w:highlight w:val="none"/>
              </w:rPr>
              <w:t>1、服务质量管理体系；</w:t>
            </w:r>
          </w:p>
          <w:p>
            <w:pPr>
              <w:wordWrap w:val="0"/>
              <w:snapToGrid w:val="0"/>
              <w:rPr>
                <w:rFonts w:hint="eastAsia" w:ascii="宋体" w:hAnsi="宋体" w:cs="宋体"/>
                <w:b w:val="0"/>
                <w:bCs/>
                <w:highlight w:val="none"/>
              </w:rPr>
            </w:pPr>
            <w:r>
              <w:rPr>
                <w:rFonts w:hint="eastAsia" w:ascii="宋体" w:hAnsi="宋体" w:cs="宋体"/>
                <w:b w:val="0"/>
                <w:bCs/>
                <w:highlight w:val="none"/>
              </w:rPr>
              <w:t>2、</w:t>
            </w:r>
            <w:r>
              <w:rPr>
                <w:rFonts w:hint="eastAsia" w:ascii="宋体" w:hAnsi="宋体" w:cs="宋体"/>
                <w:b w:val="0"/>
                <w:bCs/>
                <w:highlight w:val="none"/>
                <w:lang w:eastAsia="zh-CN"/>
              </w:rPr>
              <w:t>应急</w:t>
            </w:r>
            <w:r>
              <w:rPr>
                <w:rFonts w:hint="eastAsia" w:ascii="宋体" w:hAnsi="宋体" w:cs="宋体"/>
                <w:b w:val="0"/>
                <w:bCs/>
                <w:highlight w:val="none"/>
              </w:rPr>
              <w:t>保障支持团队情况（含派驻人员和非派驻人员）；</w:t>
            </w:r>
          </w:p>
          <w:p>
            <w:pPr>
              <w:wordWrap w:val="0"/>
              <w:snapToGrid w:val="0"/>
              <w:rPr>
                <w:rFonts w:hint="eastAsia" w:ascii="宋体" w:hAnsi="宋体" w:cs="宋体"/>
                <w:b w:val="0"/>
                <w:bCs/>
                <w:highlight w:val="none"/>
              </w:rPr>
            </w:pPr>
            <w:r>
              <w:rPr>
                <w:rFonts w:hint="eastAsia" w:ascii="宋体" w:hAnsi="宋体" w:cs="宋体"/>
                <w:b w:val="0"/>
                <w:bCs/>
                <w:highlight w:val="none"/>
              </w:rPr>
              <w:t xml:space="preserve">3、紧急突发事件应急处理预案；       </w:t>
            </w:r>
          </w:p>
          <w:p>
            <w:pPr>
              <w:wordWrap w:val="0"/>
              <w:snapToGrid w:val="0"/>
              <w:rPr>
                <w:rFonts w:hint="eastAsia" w:ascii="宋体" w:hAnsi="宋体" w:cs="宋体"/>
                <w:b w:val="0"/>
                <w:bCs/>
                <w:highlight w:val="none"/>
              </w:rPr>
            </w:pPr>
            <w:r>
              <w:rPr>
                <w:rFonts w:hint="eastAsia" w:ascii="宋体" w:hAnsi="宋体" w:cs="宋体"/>
                <w:b w:val="0"/>
                <w:bCs/>
                <w:highlight w:val="none"/>
              </w:rPr>
              <w:t>4、应急故障排除方案；</w:t>
            </w:r>
          </w:p>
          <w:p>
            <w:pPr>
              <w:wordWrap w:val="0"/>
              <w:snapToGrid w:val="0"/>
              <w:rPr>
                <w:rFonts w:hint="eastAsia" w:ascii="宋体" w:hAnsi="宋体" w:cs="宋体"/>
                <w:b w:val="0"/>
                <w:bCs/>
                <w:highlight w:val="none"/>
              </w:rPr>
            </w:pPr>
            <w:r>
              <w:rPr>
                <w:rFonts w:hint="eastAsia" w:ascii="宋体" w:hAnsi="宋体" w:cs="宋体"/>
                <w:b w:val="0"/>
                <w:bCs/>
                <w:highlight w:val="none"/>
              </w:rPr>
              <w:t>5、服务满意度管理及改进措施。</w:t>
            </w:r>
          </w:p>
          <w:p>
            <w:pPr>
              <w:wordWrap w:val="0"/>
              <w:snapToGrid w:val="0"/>
              <w:rPr>
                <w:rFonts w:hint="eastAsia" w:ascii="宋体" w:hAnsi="宋体" w:cs="宋体"/>
                <w:b/>
                <w:bCs w:val="0"/>
                <w:highlight w:val="none"/>
              </w:rPr>
            </w:pPr>
            <w:r>
              <w:rPr>
                <w:rFonts w:hint="eastAsia" w:ascii="宋体" w:hAnsi="宋体" w:cs="宋体"/>
                <w:b/>
                <w:bCs w:val="0"/>
                <w:highlight w:val="none"/>
              </w:rPr>
              <w:t>（二）评分依据：</w:t>
            </w:r>
          </w:p>
          <w:p>
            <w:pPr>
              <w:wordWrap w:val="0"/>
              <w:snapToGrid w:val="0"/>
              <w:rPr>
                <w:rFonts w:hint="eastAsia" w:ascii="宋体" w:hAnsi="宋体" w:cs="宋体"/>
                <w:b w:val="0"/>
                <w:bCs/>
                <w:highlight w:val="none"/>
              </w:rPr>
            </w:pPr>
            <w:r>
              <w:rPr>
                <w:rFonts w:hint="eastAsia" w:ascii="宋体" w:hAnsi="宋体" w:eastAsia="宋体" w:cs="宋体"/>
                <w:b w:val="0"/>
                <w:bCs/>
                <w:szCs w:val="21"/>
                <w:highlight w:val="none"/>
              </w:rPr>
              <w:t>提供以上</w:t>
            </w:r>
            <w:r>
              <w:rPr>
                <w:rFonts w:hint="eastAsia" w:ascii="宋体" w:hAnsi="宋体" w:eastAsia="宋体" w:cs="宋体"/>
                <w:b w:val="0"/>
                <w:bCs/>
                <w:szCs w:val="21"/>
                <w:highlight w:val="none"/>
                <w:lang w:val="en-US" w:eastAsia="zh-CN"/>
              </w:rPr>
              <w:t>5</w:t>
            </w:r>
            <w:r>
              <w:rPr>
                <w:rFonts w:hint="eastAsia" w:ascii="宋体" w:hAnsi="宋体" w:eastAsia="宋体" w:cs="宋体"/>
                <w:b w:val="0"/>
                <w:bCs/>
                <w:szCs w:val="21"/>
                <w:highlight w:val="none"/>
              </w:rPr>
              <w:t>项内容的得60分，提供以上任</w:t>
            </w:r>
            <w:r>
              <w:rPr>
                <w:rFonts w:hint="eastAsia" w:ascii="宋体" w:hAnsi="宋体" w:eastAsia="宋体" w:cs="宋体"/>
                <w:b w:val="0"/>
                <w:bCs/>
                <w:szCs w:val="21"/>
                <w:highlight w:val="none"/>
                <w:lang w:val="en-US" w:eastAsia="zh-CN"/>
              </w:rPr>
              <w:t>意</w:t>
            </w:r>
            <w:r>
              <w:rPr>
                <w:rFonts w:hint="eastAsia" w:ascii="宋体" w:hAnsi="宋体" w:eastAsia="宋体" w:cs="宋体"/>
                <w:b w:val="0"/>
                <w:bCs/>
                <w:szCs w:val="21"/>
                <w:highlight w:val="none"/>
              </w:rPr>
              <w:t>一项得</w:t>
            </w:r>
            <w:r>
              <w:rPr>
                <w:rFonts w:hint="eastAsia" w:ascii="宋体" w:hAnsi="宋体" w:eastAsia="宋体" w:cs="宋体"/>
                <w:b w:val="0"/>
                <w:bCs/>
                <w:szCs w:val="21"/>
                <w:highlight w:val="none"/>
                <w:lang w:val="en-US" w:eastAsia="zh-CN"/>
              </w:rPr>
              <w:t>12</w:t>
            </w:r>
            <w:r>
              <w:rPr>
                <w:rFonts w:hint="eastAsia" w:ascii="宋体" w:hAnsi="宋体" w:eastAsia="宋体" w:cs="宋体"/>
                <w:b w:val="0"/>
                <w:bCs/>
                <w:szCs w:val="21"/>
                <w:highlight w:val="none"/>
              </w:rPr>
              <w:t>分</w:t>
            </w:r>
            <w:r>
              <w:rPr>
                <w:rFonts w:hint="eastAsia" w:ascii="宋体" w:hAnsi="宋体" w:cs="宋体"/>
                <w:b w:val="0"/>
                <w:bCs/>
                <w:highlight w:val="none"/>
              </w:rPr>
              <w:t>。专家根据内容的合理性进行评分：</w:t>
            </w:r>
          </w:p>
          <w:p>
            <w:pPr>
              <w:wordWrap w:val="0"/>
              <w:snapToGrid w:val="0"/>
              <w:rPr>
                <w:rFonts w:hint="eastAsia" w:ascii="宋体" w:hAnsi="宋体" w:cs="宋体"/>
                <w:b w:val="0"/>
                <w:bCs/>
                <w:highlight w:val="none"/>
              </w:rPr>
            </w:pPr>
            <w:r>
              <w:rPr>
                <w:rFonts w:hint="eastAsia" w:ascii="宋体" w:hAnsi="宋体" w:cs="宋体"/>
                <w:b w:val="0"/>
                <w:bCs/>
                <w:highlight w:val="none"/>
              </w:rPr>
              <w:t>优评分标准：质量管理体系针对性强，</w:t>
            </w:r>
            <w:r>
              <w:rPr>
                <w:rFonts w:hint="eastAsia" w:ascii="宋体" w:hAnsi="宋体" w:cs="宋体"/>
                <w:b w:val="0"/>
                <w:bCs/>
                <w:highlight w:val="none"/>
                <w:lang w:eastAsia="zh-CN"/>
              </w:rPr>
              <w:t>应急</w:t>
            </w:r>
            <w:r>
              <w:rPr>
                <w:rFonts w:hint="eastAsia" w:ascii="宋体" w:hAnsi="宋体" w:cs="宋体"/>
                <w:b w:val="0"/>
                <w:bCs/>
                <w:highlight w:val="none"/>
              </w:rPr>
              <w:t>保障支持团队配置符合实际，紧急突发事件预案及服务满意度管理措施科学合理，应急故障排除方案及服务满意度改进措施可操作性强，得40分。</w:t>
            </w:r>
          </w:p>
          <w:p>
            <w:pPr>
              <w:wordWrap w:val="0"/>
              <w:snapToGrid w:val="0"/>
              <w:rPr>
                <w:rFonts w:hint="eastAsia" w:ascii="宋体" w:hAnsi="宋体" w:cs="宋体"/>
                <w:b w:val="0"/>
                <w:bCs/>
                <w:highlight w:val="none"/>
              </w:rPr>
            </w:pPr>
            <w:r>
              <w:rPr>
                <w:rFonts w:hint="eastAsia" w:ascii="宋体" w:hAnsi="宋体" w:cs="宋体"/>
                <w:b w:val="0"/>
                <w:bCs/>
                <w:highlight w:val="none"/>
              </w:rPr>
              <w:t>良评分标准：质量管理体系针对性较强，</w:t>
            </w:r>
            <w:r>
              <w:rPr>
                <w:rFonts w:hint="eastAsia" w:ascii="宋体" w:hAnsi="宋体" w:cs="宋体"/>
                <w:b w:val="0"/>
                <w:bCs/>
                <w:highlight w:val="none"/>
                <w:lang w:eastAsia="zh-CN"/>
              </w:rPr>
              <w:t>应急</w:t>
            </w:r>
            <w:r>
              <w:rPr>
                <w:rFonts w:hint="eastAsia" w:ascii="宋体" w:hAnsi="宋体" w:cs="宋体"/>
                <w:b w:val="0"/>
                <w:bCs/>
                <w:highlight w:val="none"/>
              </w:rPr>
              <w:t>保障支持团队配置较符合实际，紧急突发事件预案及服务满意度管理措施较为合理，应急故障排除方案及服务满意度改进措施可操作性较强，得25分。</w:t>
            </w:r>
          </w:p>
          <w:p>
            <w:pPr>
              <w:wordWrap w:val="0"/>
              <w:snapToGrid w:val="0"/>
              <w:rPr>
                <w:rFonts w:hint="eastAsia" w:ascii="宋体" w:hAnsi="宋体" w:cs="宋体"/>
                <w:b w:val="0"/>
                <w:bCs/>
                <w:highlight w:val="none"/>
              </w:rPr>
            </w:pPr>
            <w:r>
              <w:rPr>
                <w:rFonts w:hint="eastAsia" w:ascii="宋体" w:hAnsi="宋体" w:cs="宋体"/>
                <w:b w:val="0"/>
                <w:bCs/>
                <w:highlight w:val="none"/>
              </w:rPr>
              <w:t>中评分标准：质量管理体系针对性一般，</w:t>
            </w:r>
            <w:r>
              <w:rPr>
                <w:rFonts w:hint="eastAsia" w:ascii="宋体" w:hAnsi="宋体" w:cs="宋体"/>
                <w:b w:val="0"/>
                <w:bCs/>
                <w:highlight w:val="none"/>
                <w:lang w:eastAsia="zh-CN"/>
              </w:rPr>
              <w:t>应急</w:t>
            </w:r>
            <w:r>
              <w:rPr>
                <w:rFonts w:hint="eastAsia" w:ascii="宋体" w:hAnsi="宋体" w:cs="宋体"/>
                <w:b w:val="0"/>
                <w:bCs/>
                <w:highlight w:val="none"/>
              </w:rPr>
              <w:t>保障支持团队配置基本符合实际，紧急突发事件预案及服务满意度管理措施基本合理，应急故障排除方案及服务满意度改进措施可操作性一般，得15分。</w:t>
            </w:r>
          </w:p>
          <w:p>
            <w:pPr>
              <w:wordWrap w:val="0"/>
              <w:snapToGrid w:val="0"/>
              <w:rPr>
                <w:rFonts w:hint="eastAsia" w:ascii="宋体" w:hAnsi="宋体" w:cs="宋体"/>
                <w:bCs/>
                <w:highlight w:val="none"/>
              </w:rPr>
            </w:pPr>
            <w:r>
              <w:rPr>
                <w:rFonts w:hint="eastAsia" w:ascii="宋体" w:hAnsi="宋体" w:cs="宋体"/>
                <w:b w:val="0"/>
                <w:bCs/>
                <w:highlight w:val="none"/>
              </w:rPr>
              <w:t>差评分标准：质量管理体系针对性差，</w:t>
            </w:r>
            <w:r>
              <w:rPr>
                <w:rFonts w:hint="eastAsia" w:ascii="宋体" w:hAnsi="宋体" w:cs="宋体"/>
                <w:b w:val="0"/>
                <w:bCs/>
                <w:highlight w:val="none"/>
                <w:lang w:eastAsia="zh-CN"/>
              </w:rPr>
              <w:t>应急</w:t>
            </w:r>
            <w:r>
              <w:rPr>
                <w:rFonts w:hint="eastAsia" w:ascii="宋体" w:hAnsi="宋体" w:cs="宋体"/>
                <w:b w:val="0"/>
                <w:bCs/>
                <w:highlight w:val="none"/>
              </w:rPr>
              <w:t>保</w:t>
            </w:r>
            <w:r>
              <w:rPr>
                <w:rFonts w:hint="eastAsia" w:ascii="宋体" w:hAnsi="宋体" w:cs="宋体"/>
                <w:bCs/>
                <w:highlight w:val="none"/>
              </w:rPr>
              <w:t>障支持团队配置不符合实际，紧急突发事件预案及服务满意度管理措施不合理，应急故障排除方案及服务满意度改进措施可操作性差，不得分。</w:t>
            </w:r>
          </w:p>
          <w:p>
            <w:pPr>
              <w:wordWrap w:val="0"/>
              <w:snapToGrid w:val="0"/>
              <w:rPr>
                <w:rFonts w:hint="eastAsia" w:ascii="宋体" w:hAnsi="宋体" w:cs="宋体"/>
                <w:bCs/>
                <w:highlight w:val="none"/>
              </w:rPr>
            </w:pPr>
            <w:r>
              <w:rPr>
                <w:rFonts w:hint="eastAsia" w:ascii="宋体" w:hAnsi="宋体" w:cs="宋体"/>
                <w:bCs/>
                <w:highlight w:val="none"/>
              </w:rPr>
              <w:t>未提供</w:t>
            </w:r>
            <w:r>
              <w:rPr>
                <w:rFonts w:hint="eastAsia" w:ascii="宋体" w:hAnsi="宋体" w:cs="宋体"/>
                <w:highlight w:val="none"/>
              </w:rPr>
              <w:t>质量保障措施及方案</w:t>
            </w:r>
            <w:r>
              <w:rPr>
                <w:rFonts w:hint="eastAsia" w:ascii="宋体" w:hAnsi="宋体" w:cs="宋体"/>
                <w:bCs/>
                <w:highlight w:val="none"/>
              </w:rPr>
              <w:t>的不得分。</w:t>
            </w:r>
          </w:p>
          <w:p>
            <w:pPr>
              <w:rPr>
                <w:rFonts w:ascii="宋体" w:hAnsi="宋体" w:cs="宋体"/>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jc w:val="left"/>
              <w:rPr>
                <w:rFonts w:ascii="宋体" w:hAnsi="宋体" w:cs="宋体"/>
                <w:b/>
                <w:bCs/>
                <w:color w:val="0000FF"/>
                <w:kern w:val="0"/>
                <w:szCs w:val="21"/>
                <w:highlight w:val="none"/>
              </w:rPr>
            </w:pPr>
          </w:p>
        </w:tc>
        <w:tc>
          <w:tcPr>
            <w:tcW w:w="672"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hint="eastAsia" w:ascii="宋体" w:hAnsi="宋体" w:cs="宋体" w:eastAsiaTheme="minorEastAsia"/>
                <w:kern w:val="0"/>
                <w:szCs w:val="21"/>
                <w:highlight w:val="none"/>
                <w:lang w:eastAsia="zh-CN"/>
              </w:rPr>
            </w:pPr>
            <w:r>
              <w:rPr>
                <w:rFonts w:hint="eastAsia" w:ascii="宋体" w:hAnsi="宋体" w:cs="宋体"/>
                <w:kern w:val="0"/>
                <w:szCs w:val="21"/>
                <w:highlight w:val="none"/>
                <w:lang w:val="en-US" w:eastAsia="zh-CN"/>
              </w:rPr>
              <w:t>4</w:t>
            </w:r>
          </w:p>
        </w:tc>
        <w:tc>
          <w:tcPr>
            <w:tcW w:w="1531" w:type="dxa"/>
            <w:tcBorders>
              <w:top w:val="single" w:color="000000" w:sz="8" w:space="0"/>
              <w:left w:val="single" w:color="000000" w:sz="8" w:space="0"/>
              <w:bottom w:val="single" w:color="000000" w:sz="8" w:space="0"/>
              <w:right w:val="single" w:color="000000" w:sz="8" w:space="0"/>
            </w:tcBorders>
            <w:noWrap w:val="0"/>
            <w:vAlign w:val="center"/>
          </w:tcPr>
          <w:p>
            <w:pPr>
              <w:wordWrap w:val="0"/>
              <w:rPr>
                <w:rFonts w:ascii="宋体" w:hAnsi="宋体" w:cs="宋体"/>
                <w:szCs w:val="21"/>
                <w:highlight w:val="none"/>
              </w:rPr>
            </w:pPr>
            <w:r>
              <w:rPr>
                <w:rFonts w:hint="eastAsia" w:ascii="宋体" w:hAnsi="宋体" w:cs="宋体"/>
                <w:szCs w:val="21"/>
                <w:highlight w:val="none"/>
                <w:lang w:val="en-US" w:eastAsia="zh-CN"/>
              </w:rPr>
              <w:t>驻点人员</w:t>
            </w:r>
          </w:p>
        </w:tc>
        <w:tc>
          <w:tcPr>
            <w:tcW w:w="795" w:type="dxa"/>
            <w:tcBorders>
              <w:top w:val="single" w:color="000000" w:sz="8" w:space="0"/>
              <w:left w:val="single" w:color="000000" w:sz="8" w:space="0"/>
              <w:bottom w:val="single" w:color="000000" w:sz="8" w:space="0"/>
              <w:right w:val="single" w:color="000000" w:sz="8" w:space="0"/>
            </w:tcBorders>
            <w:noWrap w:val="0"/>
            <w:vAlign w:val="center"/>
          </w:tcPr>
          <w:p>
            <w:pPr>
              <w:wordWrap w:val="0"/>
              <w:jc w:val="center"/>
              <w:rPr>
                <w:rFonts w:ascii="宋体" w:hAnsi="宋体" w:cs="宋体"/>
                <w:szCs w:val="21"/>
                <w:highlight w:val="none"/>
              </w:rPr>
            </w:pPr>
            <w:r>
              <w:rPr>
                <w:rFonts w:hint="eastAsia" w:ascii="宋体" w:hAnsi="宋体" w:cs="宋体"/>
                <w:szCs w:val="21"/>
                <w:highlight w:val="none"/>
              </w:rPr>
              <w:t>10</w:t>
            </w:r>
          </w:p>
        </w:tc>
        <w:tc>
          <w:tcPr>
            <w:tcW w:w="5405" w:type="dxa"/>
            <w:tcBorders>
              <w:top w:val="single" w:color="000000" w:sz="8" w:space="0"/>
              <w:left w:val="single" w:color="000000" w:sz="8" w:space="0"/>
              <w:bottom w:val="single" w:color="000000" w:sz="8" w:space="0"/>
              <w:right w:val="single" w:color="000000" w:sz="8" w:space="0"/>
            </w:tcBorders>
            <w:noWrap w:val="0"/>
            <w:vAlign w:val="center"/>
          </w:tcPr>
          <w:p>
            <w:pPr>
              <w:rPr>
                <w:rFonts w:ascii="宋体" w:hAnsi="宋体" w:cs="宋体"/>
                <w:b/>
                <w:szCs w:val="21"/>
                <w:highlight w:val="none"/>
              </w:rPr>
            </w:pPr>
            <w:r>
              <w:rPr>
                <w:rFonts w:hint="eastAsia" w:ascii="宋体" w:hAnsi="宋体" w:cs="宋体"/>
                <w:b/>
                <w:szCs w:val="21"/>
                <w:highlight w:val="none"/>
              </w:rPr>
              <w:t>（一）评审内容</w:t>
            </w:r>
          </w:p>
          <w:p>
            <w:pPr>
              <w:rPr>
                <w:highlight w:val="none"/>
              </w:rPr>
            </w:pPr>
            <w:r>
              <w:rPr>
                <w:rFonts w:hint="eastAsia"/>
                <w:highlight w:val="none"/>
              </w:rPr>
              <w:t>拟投入本项目的</w:t>
            </w:r>
            <w:r>
              <w:rPr>
                <w:rFonts w:hint="eastAsia" w:ascii="宋体" w:hAnsi="宋体" w:cs="宋体"/>
                <w:szCs w:val="21"/>
                <w:highlight w:val="none"/>
                <w:lang w:val="en-US" w:eastAsia="zh-CN"/>
              </w:rPr>
              <w:t>驻点人员</w:t>
            </w:r>
            <w:r>
              <w:rPr>
                <w:rFonts w:hint="eastAsia"/>
                <w:highlight w:val="none"/>
              </w:rPr>
              <w:t>须为投标人自有员工，不满足此项要求，本项不得分，在此基础上：</w:t>
            </w:r>
          </w:p>
          <w:p>
            <w:pPr>
              <w:rPr>
                <w:rFonts w:hint="eastAsia" w:ascii="宋体" w:hAnsi="宋体" w:cs="宋体"/>
                <w:szCs w:val="21"/>
                <w:highlight w:val="none"/>
              </w:rPr>
            </w:pPr>
            <w:r>
              <w:rPr>
                <w:rFonts w:hint="eastAsia" w:ascii="宋体" w:hAnsi="宋体" w:cs="宋体"/>
                <w:szCs w:val="21"/>
                <w:highlight w:val="none"/>
              </w:rPr>
              <w:t xml:space="preserve">1. </w:t>
            </w:r>
            <w:bookmarkStart w:id="4" w:name="OLE_LINK6"/>
            <w:r>
              <w:rPr>
                <w:rFonts w:hint="eastAsia" w:ascii="宋体" w:hAnsi="宋体" w:cs="宋体"/>
                <w:szCs w:val="21"/>
                <w:highlight w:val="none"/>
              </w:rPr>
              <w:t>具有</w:t>
            </w:r>
            <w:bookmarkStart w:id="5" w:name="OLE_LINK1"/>
            <w:bookmarkStart w:id="6" w:name="OLE_LINK14"/>
            <w:bookmarkStart w:id="7" w:name="OLE_LINK15"/>
            <w:bookmarkStart w:id="8" w:name="OLE_LINK16"/>
            <w:r>
              <w:rPr>
                <w:rFonts w:hint="eastAsia" w:ascii="宋体" w:hAnsi="宋体" w:cs="宋体"/>
                <w:szCs w:val="21"/>
                <w:highlight w:val="none"/>
              </w:rPr>
              <w:t>工业和信息化部颁发的</w:t>
            </w:r>
            <w:bookmarkEnd w:id="5"/>
            <w:r>
              <w:rPr>
                <w:rFonts w:hint="eastAsia" w:ascii="宋体" w:hAnsi="宋体" w:cs="宋体"/>
                <w:szCs w:val="21"/>
                <w:highlight w:val="none"/>
              </w:rPr>
              <w:t>计算机技术与软件专业技术资格证书</w:t>
            </w:r>
            <w:bookmarkEnd w:id="6"/>
            <w:bookmarkEnd w:id="7"/>
            <w:bookmarkEnd w:id="8"/>
            <w:r>
              <w:rPr>
                <w:rFonts w:hint="eastAsia" w:ascii="宋体" w:hAnsi="宋体" w:eastAsia="宋体" w:cs="宋体"/>
                <w:color w:val="auto"/>
                <w:sz w:val="21"/>
                <w:szCs w:val="21"/>
                <w:highlight w:val="none"/>
                <w:lang w:val="en-US" w:eastAsia="zh-CN"/>
              </w:rPr>
              <w:t>（级别：</w:t>
            </w:r>
            <w:r>
              <w:rPr>
                <w:rFonts w:hint="eastAsia" w:ascii="宋体" w:hAnsi="宋体" w:eastAsia="宋体" w:cs="宋体"/>
                <w:color w:val="auto"/>
                <w:sz w:val="21"/>
                <w:szCs w:val="21"/>
                <w:highlight w:val="none"/>
              </w:rPr>
              <w:t>中级或以上</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专业：</w:t>
            </w:r>
            <w:r>
              <w:rPr>
                <w:rFonts w:hint="eastAsia" w:ascii="宋体" w:hAnsi="宋体" w:eastAsia="宋体" w:cs="宋体"/>
                <w:color w:val="auto"/>
                <w:sz w:val="21"/>
                <w:szCs w:val="21"/>
                <w:highlight w:val="none"/>
              </w:rPr>
              <w:t>网络工程师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计算机工程师等</w:t>
            </w:r>
            <w:r>
              <w:rPr>
                <w:rFonts w:hint="eastAsia" w:ascii="宋体" w:hAnsi="宋体" w:eastAsia="宋体" w:cs="宋体"/>
                <w:color w:val="auto"/>
                <w:sz w:val="21"/>
                <w:szCs w:val="21"/>
                <w:highlight w:val="none"/>
                <w:lang w:eastAsia="zh-CN"/>
              </w:rPr>
              <w:t>）</w:t>
            </w:r>
            <w:r>
              <w:rPr>
                <w:rFonts w:hint="eastAsia" w:ascii="宋体" w:hAnsi="宋体" w:cs="宋体"/>
                <w:szCs w:val="21"/>
                <w:highlight w:val="none"/>
              </w:rPr>
              <w:t>得</w:t>
            </w:r>
            <w:r>
              <w:rPr>
                <w:rFonts w:hint="eastAsia" w:ascii="宋体" w:hAnsi="宋体" w:cs="宋体"/>
                <w:szCs w:val="21"/>
                <w:highlight w:val="none"/>
                <w:lang w:val="en-US" w:eastAsia="zh-CN"/>
              </w:rPr>
              <w:t>1</w:t>
            </w:r>
            <w:r>
              <w:rPr>
                <w:rFonts w:hint="default" w:ascii="宋体" w:hAnsi="宋体" w:cs="宋体"/>
                <w:szCs w:val="21"/>
                <w:highlight w:val="none"/>
                <w:lang w:val="en-US"/>
              </w:rPr>
              <w:t>0</w:t>
            </w:r>
            <w:r>
              <w:rPr>
                <w:rFonts w:hint="eastAsia" w:ascii="宋体" w:hAnsi="宋体" w:cs="宋体"/>
                <w:szCs w:val="21"/>
                <w:highlight w:val="none"/>
              </w:rPr>
              <w:t>分；</w:t>
            </w:r>
          </w:p>
          <w:p>
            <w:pPr>
              <w:widowControl/>
              <w:jc w:val="left"/>
              <w:textAlignment w:val="center"/>
              <w:rPr>
                <w:rFonts w:ascii="宋体" w:hAnsi="宋体" w:cs="宋体"/>
                <w:szCs w:val="21"/>
              </w:rPr>
            </w:pPr>
            <w:r>
              <w:rPr>
                <w:rFonts w:hint="eastAsia" w:ascii="宋体" w:hAnsi="宋体" w:cs="宋体"/>
                <w:szCs w:val="21"/>
                <w:lang w:val="en-US" w:eastAsia="zh-CN"/>
              </w:rPr>
              <w:t>2</w:t>
            </w:r>
            <w:r>
              <w:rPr>
                <w:rFonts w:hint="eastAsia" w:ascii="宋体" w:hAnsi="宋体" w:cs="宋体"/>
                <w:szCs w:val="21"/>
              </w:rPr>
              <w:t>.具有中国信息安全测评中心颁发的注册信息安全专业人员（CISP）证书得</w:t>
            </w:r>
            <w:r>
              <w:rPr>
                <w:rFonts w:hint="eastAsia" w:ascii="宋体" w:hAnsi="宋体" w:cs="宋体"/>
                <w:szCs w:val="21"/>
                <w:lang w:val="en-US" w:eastAsia="zh-CN"/>
              </w:rPr>
              <w:t>1</w:t>
            </w:r>
            <w:r>
              <w:rPr>
                <w:rFonts w:hint="eastAsia" w:ascii="宋体" w:hAnsi="宋体" w:cs="宋体"/>
                <w:szCs w:val="21"/>
              </w:rPr>
              <w:t>0分；</w:t>
            </w:r>
          </w:p>
          <w:p>
            <w:pPr>
              <w:widowControl/>
              <w:jc w:val="left"/>
              <w:textAlignment w:val="center"/>
              <w:rPr>
                <w:rFonts w:ascii="宋体" w:hAnsi="宋体" w:cs="宋体"/>
                <w:szCs w:val="21"/>
              </w:rPr>
            </w:pPr>
            <w:r>
              <w:rPr>
                <w:rFonts w:hint="eastAsia" w:ascii="宋体" w:hAnsi="宋体" w:cs="宋体"/>
                <w:szCs w:val="21"/>
                <w:lang w:val="en-US" w:eastAsia="zh-CN"/>
              </w:rPr>
              <w:t>3</w:t>
            </w:r>
            <w:r>
              <w:rPr>
                <w:rFonts w:hint="eastAsia" w:ascii="宋体" w:hAnsi="宋体" w:cs="宋体"/>
                <w:szCs w:val="21"/>
              </w:rPr>
              <w:t>.具有工业和信息化部人事教育司颁发的信息通信网络运行管理员证书得</w:t>
            </w:r>
            <w:r>
              <w:rPr>
                <w:rFonts w:hint="eastAsia" w:ascii="宋体" w:hAnsi="宋体" w:cs="宋体"/>
                <w:szCs w:val="21"/>
                <w:lang w:val="en-US" w:eastAsia="zh-CN"/>
              </w:rPr>
              <w:t>1</w:t>
            </w:r>
            <w:r>
              <w:rPr>
                <w:rFonts w:hint="eastAsia" w:ascii="宋体" w:hAnsi="宋体" w:cs="宋体"/>
                <w:szCs w:val="21"/>
              </w:rPr>
              <w:t>0分；</w:t>
            </w:r>
          </w:p>
          <w:bookmarkEnd w:id="4"/>
          <w:p>
            <w:pPr>
              <w:rPr>
                <w:rFonts w:hint="eastAsia" w:ascii="宋体" w:hAnsi="宋体" w:cs="宋体"/>
                <w:szCs w:val="21"/>
                <w:highlight w:val="none"/>
                <w:lang w:eastAsia="zh-CN"/>
              </w:rPr>
            </w:pPr>
            <w:r>
              <w:rPr>
                <w:rFonts w:hint="eastAsia" w:ascii="宋体" w:hAnsi="宋体" w:cs="宋体"/>
                <w:szCs w:val="21"/>
                <w:highlight w:val="none"/>
                <w:lang w:val="en-US" w:eastAsia="zh-CN"/>
              </w:rPr>
              <w:t>4</w:t>
            </w:r>
            <w:r>
              <w:rPr>
                <w:rFonts w:hint="eastAsia" w:ascii="宋体" w:hAnsi="宋体" w:cs="宋体"/>
                <w:szCs w:val="21"/>
                <w:highlight w:val="none"/>
              </w:rPr>
              <w:t>. 具有</w:t>
            </w:r>
            <w:r>
              <w:rPr>
                <w:rFonts w:hint="eastAsia" w:ascii="宋体" w:hAnsi="宋体" w:cs="宋体"/>
                <w:szCs w:val="21"/>
                <w:highlight w:val="none"/>
                <w:lang w:val="en-US" w:eastAsia="zh-CN"/>
              </w:rPr>
              <w:t>终端、网络运维经验5年以上，得70分</w:t>
            </w:r>
            <w:r>
              <w:rPr>
                <w:rFonts w:hint="eastAsia" w:ascii="宋体" w:hAnsi="宋体" w:cs="宋体"/>
                <w:szCs w:val="21"/>
                <w:highlight w:val="none"/>
                <w:lang w:eastAsia="zh-CN"/>
              </w:rPr>
              <w:t>；</w:t>
            </w:r>
          </w:p>
          <w:p>
            <w:pPr>
              <w:rPr>
                <w:rFonts w:hint="eastAsia" w:ascii="宋体" w:hAnsi="宋体" w:cs="宋体"/>
                <w:szCs w:val="21"/>
                <w:highlight w:val="none"/>
                <w:lang w:eastAsia="zh-CN"/>
              </w:rPr>
            </w:pPr>
            <w:r>
              <w:rPr>
                <w:rFonts w:hint="eastAsia" w:ascii="宋体" w:hAnsi="宋体" w:cs="宋体"/>
                <w:szCs w:val="21"/>
                <w:highlight w:val="none"/>
              </w:rPr>
              <w:t>具有</w:t>
            </w:r>
            <w:r>
              <w:rPr>
                <w:rFonts w:hint="eastAsia" w:ascii="宋体" w:hAnsi="宋体" w:cs="宋体"/>
                <w:szCs w:val="21"/>
                <w:highlight w:val="none"/>
                <w:lang w:val="en-US" w:eastAsia="zh-CN"/>
              </w:rPr>
              <w:t>终端、网络运维经验3年以上，得50分</w:t>
            </w:r>
            <w:r>
              <w:rPr>
                <w:rFonts w:hint="eastAsia" w:ascii="宋体" w:hAnsi="宋体" w:cs="宋体"/>
                <w:szCs w:val="21"/>
                <w:highlight w:val="none"/>
                <w:lang w:eastAsia="zh-CN"/>
              </w:rPr>
              <w:t>；</w:t>
            </w:r>
          </w:p>
          <w:p>
            <w:pPr>
              <w:rPr>
                <w:rFonts w:hint="eastAsia" w:ascii="宋体" w:hAnsi="宋体" w:cs="宋体"/>
                <w:szCs w:val="21"/>
                <w:highlight w:val="none"/>
                <w:lang w:eastAsia="zh-CN"/>
              </w:rPr>
            </w:pPr>
            <w:r>
              <w:rPr>
                <w:rFonts w:hint="eastAsia" w:ascii="宋体" w:hAnsi="宋体" w:cs="宋体"/>
                <w:szCs w:val="21"/>
                <w:highlight w:val="none"/>
              </w:rPr>
              <w:t>具有</w:t>
            </w:r>
            <w:r>
              <w:rPr>
                <w:rFonts w:hint="eastAsia" w:ascii="宋体" w:hAnsi="宋体" w:cs="宋体"/>
                <w:szCs w:val="21"/>
                <w:highlight w:val="none"/>
                <w:lang w:val="en-US" w:eastAsia="zh-CN"/>
              </w:rPr>
              <w:t>终端、网络运维经验1年以上，得20分</w:t>
            </w:r>
            <w:r>
              <w:rPr>
                <w:rFonts w:hint="eastAsia" w:ascii="宋体" w:hAnsi="宋体" w:cs="宋体"/>
                <w:szCs w:val="21"/>
                <w:highlight w:val="none"/>
                <w:lang w:eastAsia="zh-CN"/>
              </w:rPr>
              <w:t>；</w:t>
            </w:r>
          </w:p>
          <w:p>
            <w:pPr>
              <w:rPr>
                <w:rFonts w:hint="eastAsia" w:ascii="宋体" w:hAnsi="宋体" w:cs="宋体"/>
                <w:szCs w:val="21"/>
                <w:highlight w:val="none"/>
                <w:lang w:eastAsia="zh-CN"/>
              </w:rPr>
            </w:pPr>
            <w:r>
              <w:rPr>
                <w:rFonts w:hint="eastAsia" w:ascii="宋体" w:hAnsi="宋体" w:cs="宋体"/>
                <w:szCs w:val="21"/>
                <w:highlight w:val="none"/>
                <w:lang w:val="en-US" w:eastAsia="zh-CN"/>
              </w:rPr>
              <w:t>无终端、网络运维经验该项不得分</w:t>
            </w:r>
            <w:r>
              <w:rPr>
                <w:rFonts w:hint="eastAsia" w:ascii="宋体" w:hAnsi="宋体" w:cs="宋体"/>
                <w:szCs w:val="21"/>
                <w:highlight w:val="none"/>
                <w:lang w:eastAsia="zh-CN"/>
              </w:rPr>
              <w:t>；</w:t>
            </w:r>
          </w:p>
          <w:p>
            <w:pPr>
              <w:pStyle w:val="9"/>
              <w:rPr>
                <w:highlight w:val="none"/>
              </w:rPr>
            </w:pPr>
            <w:r>
              <w:rPr>
                <w:rFonts w:hint="eastAsia" w:ascii="宋体" w:hAnsi="宋体"/>
                <w:highlight w:val="none"/>
              </w:rPr>
              <w:t>以上得分累计，最高100分。</w:t>
            </w:r>
          </w:p>
          <w:p>
            <w:pPr>
              <w:rPr>
                <w:rFonts w:ascii="宋体" w:hAnsi="宋体"/>
                <w:b/>
                <w:highlight w:val="none"/>
              </w:rPr>
            </w:pPr>
            <w:r>
              <w:rPr>
                <w:rFonts w:hint="eastAsia" w:ascii="宋体" w:hAnsi="宋体"/>
                <w:b/>
                <w:highlight w:val="none"/>
              </w:rPr>
              <w:t>（二）评分依据：</w:t>
            </w:r>
          </w:p>
          <w:p>
            <w:pPr>
              <w:rPr>
                <w:rFonts w:ascii="宋体" w:hAnsi="宋体"/>
                <w:highlight w:val="none"/>
              </w:rPr>
            </w:pPr>
            <w:r>
              <w:rPr>
                <w:rFonts w:hint="eastAsia" w:ascii="宋体" w:hAnsi="宋体"/>
                <w:highlight w:val="none"/>
              </w:rPr>
              <w:t>1.</w:t>
            </w:r>
            <w:r>
              <w:rPr>
                <w:rFonts w:hint="eastAsia" w:ascii="宋体" w:hAnsi="宋体" w:cs="宋体"/>
                <w:szCs w:val="21"/>
                <w:highlight w:val="none"/>
              </w:rPr>
              <w:t xml:space="preserve"> </w:t>
            </w:r>
            <w:r>
              <w:rPr>
                <w:rFonts w:hint="eastAsia"/>
                <w:b/>
                <w:bCs/>
                <w:highlight w:val="none"/>
              </w:rPr>
              <w:t>自有员工：</w:t>
            </w:r>
            <w:r>
              <w:rPr>
                <w:rFonts w:hint="eastAsia"/>
                <w:highlight w:val="none"/>
              </w:rPr>
              <w:t>提供通过投标人缴纳的投标截止日近</w:t>
            </w:r>
            <w:r>
              <w:rPr>
                <w:highlight w:val="none"/>
              </w:rPr>
              <w:t>1</w:t>
            </w:r>
            <w:r>
              <w:rPr>
                <w:rFonts w:hint="eastAsia"/>
                <w:highlight w:val="none"/>
              </w:rPr>
              <w:t>个月的社保证明。近</w:t>
            </w:r>
            <w:r>
              <w:rPr>
                <w:highlight w:val="none"/>
              </w:rPr>
              <w:t>1</w:t>
            </w:r>
            <w:r>
              <w:rPr>
                <w:rFonts w:hint="eastAsia"/>
                <w:highlight w:val="none"/>
              </w:rPr>
              <w:t>个月的社保证明无法提供的，则可以往前顺延一个月；如供应商为新成立企业且成立时间不足</w:t>
            </w:r>
            <w:r>
              <w:rPr>
                <w:highlight w:val="none"/>
              </w:rPr>
              <w:t>1</w:t>
            </w:r>
            <w:r>
              <w:rPr>
                <w:rFonts w:hint="eastAsia"/>
                <w:highlight w:val="none"/>
              </w:rPr>
              <w:t>个月，提供情况说明或者证明材料亦视为符合，无需提供相关人员社保，亦可得分</w:t>
            </w:r>
            <w:r>
              <w:rPr>
                <w:rFonts w:hint="eastAsia" w:ascii="宋体" w:hAnsi="宋体"/>
                <w:highlight w:val="none"/>
              </w:rPr>
              <w:t>；</w:t>
            </w:r>
          </w:p>
          <w:p>
            <w:pPr>
              <w:rPr>
                <w:rFonts w:ascii="宋体" w:hAnsi="宋体"/>
                <w:highlight w:val="none"/>
              </w:rPr>
            </w:pPr>
            <w:bookmarkStart w:id="9" w:name="OLE_LINK7"/>
            <w:r>
              <w:rPr>
                <w:rFonts w:hint="eastAsia" w:ascii="宋体" w:hAnsi="宋体"/>
                <w:highlight w:val="none"/>
              </w:rPr>
              <w:t>2.涉及证书：</w:t>
            </w:r>
            <w:r>
              <w:rPr>
                <w:rFonts w:hint="eastAsia" w:ascii="宋体" w:hAnsi="宋体"/>
                <w:highlight w:val="none"/>
                <w:lang w:eastAsia="zh-CN"/>
              </w:rPr>
              <w:t>提供</w:t>
            </w:r>
            <w:r>
              <w:rPr>
                <w:rFonts w:hint="eastAsia" w:ascii="宋体" w:hAnsi="宋体"/>
                <w:highlight w:val="none"/>
              </w:rPr>
              <w:t>相关证书扫描件</w:t>
            </w:r>
            <w:r>
              <w:rPr>
                <w:rFonts w:hint="eastAsia" w:ascii="宋体" w:hAnsi="宋体" w:cs="宋体"/>
                <w:szCs w:val="21"/>
                <w:highlight w:val="none"/>
              </w:rPr>
              <w:t>（</w:t>
            </w:r>
            <w:r>
              <w:rPr>
                <w:rFonts w:hint="eastAsia" w:ascii="宋体" w:hAnsi="宋体" w:cs="宋体"/>
                <w:szCs w:val="21"/>
                <w:highlight w:val="none"/>
                <w:lang w:eastAsia="zh-CN"/>
              </w:rPr>
              <w:t>若</w:t>
            </w:r>
            <w:r>
              <w:rPr>
                <w:rFonts w:hint="eastAsia" w:ascii="宋体" w:hAnsi="宋体" w:cs="宋体"/>
                <w:szCs w:val="21"/>
                <w:highlight w:val="none"/>
              </w:rPr>
              <w:t>由工业和信息化部颁发的</w:t>
            </w:r>
            <w:r>
              <w:rPr>
                <w:rFonts w:hint="eastAsia" w:ascii="宋体" w:hAnsi="宋体"/>
                <w:highlight w:val="none"/>
              </w:rPr>
              <w:t>计算机技术与软件专业技术资格</w:t>
            </w:r>
            <w:r>
              <w:rPr>
                <w:rFonts w:hint="eastAsia" w:ascii="宋体" w:hAnsi="宋体" w:cs="宋体"/>
                <w:szCs w:val="21"/>
                <w:highlight w:val="none"/>
              </w:rPr>
              <w:t>证书须同时提供中国计算机技术职业资格网www.ruankao.org.cn证书查询有效的查询截图作为评分依据，未提供的对应项不得分）</w:t>
            </w:r>
            <w:r>
              <w:rPr>
                <w:rFonts w:hint="eastAsia" w:ascii="宋体" w:hAnsi="宋体"/>
                <w:highlight w:val="none"/>
              </w:rPr>
              <w:t>；</w:t>
            </w:r>
          </w:p>
          <w:bookmarkEnd w:id="9"/>
          <w:p>
            <w:pPr>
              <w:pStyle w:val="2"/>
              <w:rPr>
                <w:rFonts w:hint="eastAsia" w:ascii="宋体" w:hAnsi="宋体" w:cs="宋体" w:eastAsiaTheme="minorEastAsia"/>
                <w:b w:val="0"/>
                <w:bCs w:val="0"/>
                <w:kern w:val="2"/>
                <w:sz w:val="21"/>
                <w:szCs w:val="21"/>
                <w:highlight w:val="none"/>
                <w:lang w:val="en-US" w:eastAsia="zh-CN" w:bidi="ar-SA"/>
              </w:rPr>
            </w:pPr>
            <w:r>
              <w:rPr>
                <w:rFonts w:hint="eastAsia" w:ascii="宋体" w:hAnsi="宋体" w:cs="宋体" w:eastAsiaTheme="minorEastAsia"/>
                <w:b w:val="0"/>
                <w:bCs w:val="0"/>
                <w:kern w:val="2"/>
                <w:sz w:val="21"/>
                <w:szCs w:val="21"/>
                <w:highlight w:val="none"/>
                <w:lang w:val="en-US" w:eastAsia="zh-CN" w:bidi="ar-SA"/>
              </w:rPr>
              <w:t>3.运维经验需提供合同、协议或相关服务单位提供的证明，未提供的对应项不得分；</w:t>
            </w:r>
          </w:p>
          <w:p>
            <w:pPr>
              <w:rPr>
                <w:rFonts w:hint="eastAsia" w:ascii="宋体" w:hAnsi="宋体"/>
                <w:highlight w:val="none"/>
              </w:rPr>
            </w:pPr>
            <w:r>
              <w:rPr>
                <w:rFonts w:hint="eastAsia" w:ascii="宋体" w:hAnsi="宋体"/>
                <w:highlight w:val="none"/>
                <w:lang w:val="en-US" w:eastAsia="zh-CN"/>
              </w:rPr>
              <w:t>4</w:t>
            </w:r>
            <w:r>
              <w:rPr>
                <w:rFonts w:hint="eastAsia" w:ascii="宋体" w:hAnsi="宋体"/>
                <w:highlight w:val="none"/>
              </w:rPr>
              <w:t>.评分中出现无证明资料或专家无法凭所提供资料判断是否得分的情况，一律作不得分处理。</w:t>
            </w:r>
          </w:p>
          <w:p>
            <w:pPr>
              <w:rPr>
                <w:rFonts w:hint="default"/>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90" w:hRule="atLeast"/>
          <w:jc w:val="center"/>
        </w:trPr>
        <w:tc>
          <w:tcPr>
            <w:tcW w:w="672"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jc w:val="left"/>
              <w:rPr>
                <w:rFonts w:ascii="宋体" w:hAnsi="宋体" w:cs="宋体"/>
                <w:b/>
                <w:bCs/>
                <w:color w:val="0000FF"/>
                <w:kern w:val="0"/>
                <w:szCs w:val="21"/>
                <w:highlight w:val="none"/>
              </w:rPr>
            </w:pPr>
          </w:p>
        </w:tc>
        <w:tc>
          <w:tcPr>
            <w:tcW w:w="672"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hint="eastAsia" w:ascii="宋体" w:hAnsi="宋体" w:cs="宋体" w:eastAsiaTheme="minorEastAsia"/>
                <w:kern w:val="0"/>
                <w:szCs w:val="21"/>
                <w:highlight w:val="none"/>
                <w:lang w:eastAsia="zh-CN"/>
              </w:rPr>
            </w:pPr>
            <w:r>
              <w:rPr>
                <w:rFonts w:hint="eastAsia" w:ascii="宋体" w:hAnsi="宋体" w:cs="宋体"/>
                <w:kern w:val="0"/>
                <w:szCs w:val="21"/>
                <w:highlight w:val="none"/>
                <w:lang w:val="en-US" w:eastAsia="zh-CN"/>
              </w:rPr>
              <w:t>5</w:t>
            </w:r>
          </w:p>
        </w:tc>
        <w:tc>
          <w:tcPr>
            <w:tcW w:w="1531" w:type="dxa"/>
            <w:tcBorders>
              <w:top w:val="single" w:color="000000" w:sz="8" w:space="0"/>
              <w:left w:val="single" w:color="000000" w:sz="8" w:space="0"/>
              <w:bottom w:val="single" w:color="000000" w:sz="8" w:space="0"/>
              <w:right w:val="single" w:color="000000" w:sz="8" w:space="0"/>
            </w:tcBorders>
            <w:noWrap w:val="0"/>
            <w:vAlign w:val="center"/>
          </w:tcPr>
          <w:p>
            <w:pPr>
              <w:wordWrap w:val="0"/>
              <w:rPr>
                <w:rFonts w:hint="default" w:ascii="宋体" w:hAnsi="宋体" w:cs="宋体" w:eastAsiaTheme="minorEastAsia"/>
                <w:szCs w:val="21"/>
                <w:highlight w:val="none"/>
                <w:lang w:val="en-US" w:eastAsia="zh-CN"/>
              </w:rPr>
            </w:pPr>
            <w:r>
              <w:rPr>
                <w:rFonts w:hint="eastAsia" w:ascii="宋体" w:hAnsi="宋体" w:cs="宋体"/>
                <w:szCs w:val="21"/>
                <w:highlight w:val="none"/>
              </w:rPr>
              <w:t>二线</w:t>
            </w:r>
            <w:r>
              <w:rPr>
                <w:rFonts w:hint="eastAsia" w:ascii="宋体" w:hAnsi="宋体" w:cs="宋体"/>
                <w:szCs w:val="21"/>
                <w:highlight w:val="none"/>
                <w:lang w:val="en-US" w:eastAsia="zh-CN"/>
              </w:rPr>
              <w:t>运维人员</w:t>
            </w:r>
          </w:p>
        </w:tc>
        <w:tc>
          <w:tcPr>
            <w:tcW w:w="795" w:type="dxa"/>
            <w:tcBorders>
              <w:top w:val="single" w:color="000000" w:sz="8" w:space="0"/>
              <w:left w:val="single" w:color="000000" w:sz="8" w:space="0"/>
              <w:bottom w:val="single" w:color="000000" w:sz="8" w:space="0"/>
              <w:right w:val="single" w:color="000000" w:sz="8" w:space="0"/>
            </w:tcBorders>
            <w:noWrap w:val="0"/>
            <w:vAlign w:val="center"/>
          </w:tcPr>
          <w:p>
            <w:pPr>
              <w:wordWrap w:val="0"/>
              <w:jc w:val="center"/>
              <w:rPr>
                <w:rFonts w:hint="eastAsia" w:ascii="宋体" w:hAnsi="宋体" w:cs="宋体" w:eastAsiaTheme="minorEastAsia"/>
                <w:szCs w:val="21"/>
                <w:highlight w:val="none"/>
                <w:lang w:eastAsia="zh-CN"/>
              </w:rPr>
            </w:pPr>
            <w:r>
              <w:rPr>
                <w:rFonts w:hint="eastAsia" w:ascii="宋体" w:hAnsi="宋体" w:cs="宋体"/>
                <w:szCs w:val="21"/>
                <w:highlight w:val="none"/>
              </w:rPr>
              <w:t>1</w:t>
            </w:r>
            <w:r>
              <w:rPr>
                <w:rFonts w:hint="eastAsia" w:ascii="宋体" w:hAnsi="宋体" w:cs="宋体"/>
                <w:szCs w:val="21"/>
                <w:highlight w:val="none"/>
                <w:lang w:val="en-US" w:eastAsia="zh-CN"/>
              </w:rPr>
              <w:t>0</w:t>
            </w:r>
          </w:p>
        </w:tc>
        <w:tc>
          <w:tcPr>
            <w:tcW w:w="5405" w:type="dxa"/>
            <w:tcBorders>
              <w:top w:val="single" w:color="000000" w:sz="8" w:space="0"/>
              <w:left w:val="single" w:color="000000" w:sz="8" w:space="0"/>
              <w:bottom w:val="single" w:color="000000" w:sz="8" w:space="0"/>
              <w:right w:val="single" w:color="000000" w:sz="8" w:space="0"/>
            </w:tcBorders>
            <w:noWrap w:val="0"/>
            <w:vAlign w:val="center"/>
          </w:tcPr>
          <w:p>
            <w:pPr>
              <w:rPr>
                <w:rFonts w:ascii="宋体" w:hAnsi="宋体" w:cs="宋体"/>
                <w:b/>
                <w:szCs w:val="21"/>
                <w:highlight w:val="none"/>
              </w:rPr>
            </w:pPr>
            <w:r>
              <w:rPr>
                <w:rFonts w:hint="eastAsia" w:ascii="宋体" w:hAnsi="宋体" w:cs="宋体"/>
                <w:b/>
                <w:szCs w:val="21"/>
                <w:highlight w:val="none"/>
              </w:rPr>
              <w:t>（一）评审内容</w:t>
            </w:r>
          </w:p>
          <w:p>
            <w:pPr>
              <w:rPr>
                <w:highlight w:val="none"/>
              </w:rPr>
            </w:pPr>
            <w:r>
              <w:rPr>
                <w:rFonts w:hint="eastAsia"/>
                <w:highlight w:val="none"/>
              </w:rPr>
              <w:t>拟投入本项目的</w:t>
            </w:r>
            <w:r>
              <w:rPr>
                <w:rFonts w:hint="eastAsia" w:ascii="宋体" w:hAnsi="宋体" w:cs="宋体"/>
                <w:szCs w:val="21"/>
                <w:highlight w:val="none"/>
              </w:rPr>
              <w:t>二线</w:t>
            </w:r>
            <w:r>
              <w:rPr>
                <w:rFonts w:hint="eastAsia" w:ascii="宋体" w:hAnsi="宋体" w:cs="宋体"/>
                <w:szCs w:val="21"/>
                <w:highlight w:val="none"/>
                <w:lang w:val="en-US" w:eastAsia="zh-CN"/>
              </w:rPr>
              <w:t>运维人员</w:t>
            </w:r>
            <w:r>
              <w:rPr>
                <w:rFonts w:hint="eastAsia"/>
                <w:highlight w:val="none"/>
              </w:rPr>
              <w:t>须为投标人自有员工，不满足此项要求，本项不得分，在此基础上：</w:t>
            </w:r>
          </w:p>
          <w:p>
            <w:pPr>
              <w:rPr>
                <w:rFonts w:hint="eastAsia" w:ascii="宋体" w:hAnsi="宋体" w:cs="宋体"/>
                <w:szCs w:val="21"/>
                <w:highlight w:val="none"/>
              </w:rPr>
            </w:pPr>
            <w:r>
              <w:rPr>
                <w:rFonts w:hint="eastAsia" w:ascii="宋体" w:hAnsi="宋体" w:cs="宋体"/>
                <w:szCs w:val="21"/>
                <w:highlight w:val="none"/>
              </w:rPr>
              <w:t>1. 具有工业和信息化部颁发的计算机技术与软件专业技术资格证书</w:t>
            </w:r>
            <w:r>
              <w:rPr>
                <w:rFonts w:hint="eastAsia" w:ascii="宋体" w:hAnsi="宋体" w:eastAsia="宋体" w:cs="宋体"/>
                <w:color w:val="auto"/>
                <w:sz w:val="21"/>
                <w:szCs w:val="21"/>
                <w:highlight w:val="none"/>
                <w:lang w:val="en-US" w:eastAsia="zh-CN"/>
              </w:rPr>
              <w:t>（级别：</w:t>
            </w:r>
            <w:r>
              <w:rPr>
                <w:rFonts w:hint="eastAsia" w:ascii="宋体" w:hAnsi="宋体" w:eastAsia="宋体" w:cs="宋体"/>
                <w:color w:val="auto"/>
                <w:sz w:val="21"/>
                <w:szCs w:val="21"/>
                <w:highlight w:val="none"/>
              </w:rPr>
              <w:t>中级或以上</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专业：</w:t>
            </w:r>
            <w:r>
              <w:rPr>
                <w:rFonts w:hint="eastAsia" w:ascii="宋体" w:hAnsi="宋体" w:eastAsia="宋体" w:cs="宋体"/>
                <w:color w:val="auto"/>
                <w:sz w:val="21"/>
                <w:szCs w:val="21"/>
                <w:highlight w:val="none"/>
              </w:rPr>
              <w:t>网络工程师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计算机工程师等</w:t>
            </w:r>
            <w:r>
              <w:rPr>
                <w:rFonts w:hint="eastAsia" w:ascii="宋体" w:hAnsi="宋体" w:eastAsia="宋体" w:cs="宋体"/>
                <w:color w:val="auto"/>
                <w:sz w:val="21"/>
                <w:szCs w:val="21"/>
                <w:highlight w:val="none"/>
                <w:lang w:eastAsia="zh-CN"/>
              </w:rPr>
              <w:t>）</w:t>
            </w:r>
            <w:r>
              <w:rPr>
                <w:rFonts w:hint="eastAsia" w:ascii="宋体" w:hAnsi="宋体" w:cs="宋体"/>
                <w:szCs w:val="21"/>
                <w:highlight w:val="none"/>
              </w:rPr>
              <w:t>得</w:t>
            </w:r>
            <w:r>
              <w:rPr>
                <w:rFonts w:hint="eastAsia" w:ascii="宋体" w:hAnsi="宋体" w:cs="宋体"/>
                <w:szCs w:val="21"/>
                <w:highlight w:val="none"/>
                <w:lang w:val="en-US" w:eastAsia="zh-CN"/>
              </w:rPr>
              <w:t>1</w:t>
            </w:r>
            <w:r>
              <w:rPr>
                <w:rFonts w:hint="default" w:ascii="宋体" w:hAnsi="宋体" w:cs="宋体"/>
                <w:szCs w:val="21"/>
                <w:highlight w:val="none"/>
                <w:lang w:val="en-US"/>
              </w:rPr>
              <w:t>0</w:t>
            </w:r>
            <w:r>
              <w:rPr>
                <w:rFonts w:hint="eastAsia" w:ascii="宋体" w:hAnsi="宋体" w:cs="宋体"/>
                <w:szCs w:val="21"/>
                <w:highlight w:val="none"/>
              </w:rPr>
              <w:t>分；</w:t>
            </w:r>
          </w:p>
          <w:p>
            <w:pPr>
              <w:widowControl/>
              <w:jc w:val="left"/>
              <w:textAlignment w:val="center"/>
              <w:rPr>
                <w:rFonts w:ascii="宋体" w:hAnsi="宋体" w:cs="宋体"/>
                <w:szCs w:val="21"/>
              </w:rPr>
            </w:pPr>
            <w:r>
              <w:rPr>
                <w:rFonts w:hint="eastAsia" w:ascii="宋体" w:hAnsi="宋体" w:cs="宋体"/>
                <w:szCs w:val="21"/>
                <w:lang w:val="en-US" w:eastAsia="zh-CN"/>
              </w:rPr>
              <w:t>2</w:t>
            </w:r>
            <w:r>
              <w:rPr>
                <w:rFonts w:hint="eastAsia" w:ascii="宋体" w:hAnsi="宋体" w:cs="宋体"/>
                <w:szCs w:val="21"/>
              </w:rPr>
              <w:t>.具有中国信息安全测评中心颁发的注册信息安全专业人员（CISP）证书得</w:t>
            </w:r>
            <w:r>
              <w:rPr>
                <w:rFonts w:hint="eastAsia" w:ascii="宋体" w:hAnsi="宋体" w:cs="宋体"/>
                <w:szCs w:val="21"/>
                <w:lang w:val="en-US" w:eastAsia="zh-CN"/>
              </w:rPr>
              <w:t>1</w:t>
            </w:r>
            <w:r>
              <w:rPr>
                <w:rFonts w:hint="eastAsia" w:ascii="宋体" w:hAnsi="宋体" w:cs="宋体"/>
                <w:szCs w:val="21"/>
              </w:rPr>
              <w:t>0分；</w:t>
            </w:r>
          </w:p>
          <w:p>
            <w:pPr>
              <w:rPr>
                <w:rFonts w:hint="eastAsia" w:ascii="宋体" w:hAnsi="宋体" w:cs="宋体"/>
                <w:szCs w:val="21"/>
                <w:highlight w:val="none"/>
                <w:lang w:eastAsia="zh-CN"/>
              </w:rPr>
            </w:pPr>
            <w:r>
              <w:rPr>
                <w:rFonts w:hint="eastAsia" w:ascii="宋体" w:hAnsi="宋体" w:cs="宋体"/>
                <w:szCs w:val="21"/>
                <w:highlight w:val="none"/>
                <w:lang w:val="en-US" w:eastAsia="zh-CN"/>
              </w:rPr>
              <w:t>3.</w:t>
            </w:r>
            <w:r>
              <w:rPr>
                <w:rFonts w:hint="eastAsia" w:ascii="宋体" w:hAnsi="宋体" w:cs="宋体"/>
                <w:szCs w:val="21"/>
                <w:highlight w:val="none"/>
              </w:rPr>
              <w:t xml:space="preserve"> 具有</w:t>
            </w:r>
            <w:r>
              <w:rPr>
                <w:rFonts w:hint="eastAsia" w:ascii="宋体" w:hAnsi="宋体" w:cs="宋体"/>
                <w:szCs w:val="21"/>
                <w:highlight w:val="none"/>
                <w:lang w:val="en-US" w:eastAsia="zh-CN"/>
              </w:rPr>
              <w:t>终端、网络运维经验5年以上，得</w:t>
            </w:r>
            <w:r>
              <w:rPr>
                <w:rFonts w:hint="default" w:ascii="宋体" w:hAnsi="宋体" w:cs="宋体"/>
                <w:szCs w:val="21"/>
                <w:highlight w:val="none"/>
                <w:lang w:val="en-US" w:eastAsia="zh-CN"/>
              </w:rPr>
              <w:t>8</w:t>
            </w:r>
            <w:r>
              <w:rPr>
                <w:rFonts w:hint="eastAsia" w:ascii="宋体" w:hAnsi="宋体" w:cs="宋体"/>
                <w:szCs w:val="21"/>
                <w:highlight w:val="none"/>
                <w:lang w:val="en-US" w:eastAsia="zh-CN"/>
              </w:rPr>
              <w:t>0分</w:t>
            </w:r>
            <w:r>
              <w:rPr>
                <w:rFonts w:hint="eastAsia" w:ascii="宋体" w:hAnsi="宋体" w:cs="宋体"/>
                <w:szCs w:val="21"/>
                <w:highlight w:val="none"/>
                <w:lang w:eastAsia="zh-CN"/>
              </w:rPr>
              <w:t>；</w:t>
            </w:r>
          </w:p>
          <w:p>
            <w:pPr>
              <w:rPr>
                <w:rFonts w:hint="eastAsia" w:ascii="宋体" w:hAnsi="宋体" w:cs="宋体"/>
                <w:szCs w:val="21"/>
                <w:highlight w:val="none"/>
                <w:lang w:eastAsia="zh-CN"/>
              </w:rPr>
            </w:pPr>
            <w:r>
              <w:rPr>
                <w:rFonts w:hint="eastAsia" w:ascii="宋体" w:hAnsi="宋体" w:cs="宋体"/>
                <w:szCs w:val="21"/>
                <w:highlight w:val="none"/>
              </w:rPr>
              <w:t>具有</w:t>
            </w:r>
            <w:r>
              <w:rPr>
                <w:rFonts w:hint="eastAsia" w:ascii="宋体" w:hAnsi="宋体" w:cs="宋体"/>
                <w:szCs w:val="21"/>
                <w:highlight w:val="none"/>
                <w:lang w:val="en-US" w:eastAsia="zh-CN"/>
              </w:rPr>
              <w:t>终端、网络运维经验3年以上，得50分</w:t>
            </w:r>
            <w:r>
              <w:rPr>
                <w:rFonts w:hint="eastAsia" w:ascii="宋体" w:hAnsi="宋体" w:cs="宋体"/>
                <w:szCs w:val="21"/>
                <w:highlight w:val="none"/>
                <w:lang w:eastAsia="zh-CN"/>
              </w:rPr>
              <w:t>；</w:t>
            </w:r>
          </w:p>
          <w:p>
            <w:pPr>
              <w:rPr>
                <w:rFonts w:hint="eastAsia" w:ascii="宋体" w:hAnsi="宋体" w:cs="宋体"/>
                <w:szCs w:val="21"/>
                <w:highlight w:val="none"/>
                <w:lang w:eastAsia="zh-CN"/>
              </w:rPr>
            </w:pPr>
            <w:r>
              <w:rPr>
                <w:rFonts w:hint="eastAsia" w:ascii="宋体" w:hAnsi="宋体" w:cs="宋体"/>
                <w:szCs w:val="21"/>
                <w:highlight w:val="none"/>
              </w:rPr>
              <w:t>具有</w:t>
            </w:r>
            <w:r>
              <w:rPr>
                <w:rFonts w:hint="eastAsia" w:ascii="宋体" w:hAnsi="宋体" w:cs="宋体"/>
                <w:szCs w:val="21"/>
                <w:highlight w:val="none"/>
                <w:lang w:val="en-US" w:eastAsia="zh-CN"/>
              </w:rPr>
              <w:t>终端、网络运维经验1年以上，得20分</w:t>
            </w:r>
            <w:r>
              <w:rPr>
                <w:rFonts w:hint="eastAsia" w:ascii="宋体" w:hAnsi="宋体" w:cs="宋体"/>
                <w:szCs w:val="21"/>
                <w:highlight w:val="none"/>
                <w:lang w:eastAsia="zh-CN"/>
              </w:rPr>
              <w:t>；</w:t>
            </w:r>
          </w:p>
          <w:p>
            <w:pPr>
              <w:rPr>
                <w:rFonts w:hint="eastAsia" w:ascii="宋体" w:hAnsi="宋体" w:cs="宋体"/>
                <w:szCs w:val="21"/>
                <w:highlight w:val="none"/>
                <w:lang w:eastAsia="zh-CN"/>
              </w:rPr>
            </w:pPr>
            <w:r>
              <w:rPr>
                <w:rFonts w:hint="eastAsia" w:ascii="宋体" w:hAnsi="宋体" w:cs="宋体"/>
                <w:szCs w:val="21"/>
                <w:highlight w:val="none"/>
                <w:lang w:val="en-US" w:eastAsia="zh-CN"/>
              </w:rPr>
              <w:t>无终端、网络运维经验该项不得分</w:t>
            </w:r>
            <w:r>
              <w:rPr>
                <w:rFonts w:hint="eastAsia" w:ascii="宋体" w:hAnsi="宋体" w:cs="宋体"/>
                <w:szCs w:val="21"/>
                <w:highlight w:val="none"/>
                <w:lang w:eastAsia="zh-CN"/>
              </w:rPr>
              <w:t>；</w:t>
            </w:r>
          </w:p>
          <w:p>
            <w:pPr>
              <w:pStyle w:val="9"/>
              <w:rPr>
                <w:highlight w:val="none"/>
              </w:rPr>
            </w:pPr>
            <w:r>
              <w:rPr>
                <w:rFonts w:hint="eastAsia" w:ascii="宋体" w:hAnsi="宋体"/>
                <w:highlight w:val="none"/>
              </w:rPr>
              <w:t>以上得分累计，最高100分。</w:t>
            </w:r>
          </w:p>
          <w:p>
            <w:pPr>
              <w:rPr>
                <w:rFonts w:ascii="宋体" w:hAnsi="宋体"/>
                <w:b/>
                <w:highlight w:val="none"/>
              </w:rPr>
            </w:pPr>
            <w:r>
              <w:rPr>
                <w:rFonts w:hint="eastAsia" w:ascii="宋体" w:hAnsi="宋体"/>
                <w:b/>
                <w:highlight w:val="none"/>
              </w:rPr>
              <w:t>（二）评分依据：</w:t>
            </w:r>
          </w:p>
          <w:p>
            <w:pPr>
              <w:rPr>
                <w:rFonts w:ascii="宋体" w:hAnsi="宋体"/>
                <w:highlight w:val="none"/>
              </w:rPr>
            </w:pPr>
            <w:r>
              <w:rPr>
                <w:rFonts w:hint="eastAsia" w:ascii="宋体" w:hAnsi="宋体"/>
                <w:highlight w:val="none"/>
              </w:rPr>
              <w:t>1</w:t>
            </w:r>
            <w:r>
              <w:rPr>
                <w:rFonts w:hint="eastAsia" w:ascii="宋体" w:hAnsi="宋体"/>
                <w:b w:val="0"/>
                <w:bCs w:val="0"/>
                <w:highlight w:val="none"/>
              </w:rPr>
              <w:t>.</w:t>
            </w:r>
            <w:r>
              <w:rPr>
                <w:rFonts w:hint="eastAsia" w:ascii="宋体" w:hAnsi="宋体" w:cs="宋体"/>
                <w:b w:val="0"/>
                <w:bCs w:val="0"/>
                <w:szCs w:val="21"/>
                <w:highlight w:val="none"/>
              </w:rPr>
              <w:t xml:space="preserve"> </w:t>
            </w:r>
            <w:r>
              <w:rPr>
                <w:rFonts w:hint="eastAsia"/>
                <w:b w:val="0"/>
                <w:bCs w:val="0"/>
                <w:highlight w:val="none"/>
              </w:rPr>
              <w:t>社保证明：</w:t>
            </w:r>
            <w:r>
              <w:rPr>
                <w:rFonts w:hint="eastAsia"/>
                <w:highlight w:val="none"/>
              </w:rPr>
              <w:t>提供通过投标人缴纳的投标截止日近</w:t>
            </w:r>
            <w:r>
              <w:rPr>
                <w:highlight w:val="none"/>
              </w:rPr>
              <w:t>1</w:t>
            </w:r>
            <w:r>
              <w:rPr>
                <w:rFonts w:hint="eastAsia"/>
                <w:highlight w:val="none"/>
              </w:rPr>
              <w:t>个月的社保证明。近</w:t>
            </w:r>
            <w:r>
              <w:rPr>
                <w:highlight w:val="none"/>
              </w:rPr>
              <w:t>1</w:t>
            </w:r>
            <w:r>
              <w:rPr>
                <w:rFonts w:hint="eastAsia"/>
                <w:highlight w:val="none"/>
              </w:rPr>
              <w:t>个月的社保证明无法提供的，则可以往前顺延一个月；如供应商为新成立企业且成立时间不足</w:t>
            </w:r>
            <w:r>
              <w:rPr>
                <w:highlight w:val="none"/>
              </w:rPr>
              <w:t>1</w:t>
            </w:r>
            <w:r>
              <w:rPr>
                <w:rFonts w:hint="eastAsia"/>
                <w:highlight w:val="none"/>
              </w:rPr>
              <w:t>个月，提供情况说明或者证明材料亦视为符合，无需提供相关人员社保，亦可得分</w:t>
            </w:r>
            <w:r>
              <w:rPr>
                <w:rFonts w:hint="eastAsia" w:ascii="宋体" w:hAnsi="宋体"/>
                <w:highlight w:val="none"/>
              </w:rPr>
              <w:t>；</w:t>
            </w:r>
          </w:p>
          <w:p>
            <w:pPr>
              <w:rPr>
                <w:rFonts w:ascii="宋体" w:hAnsi="宋体"/>
                <w:highlight w:val="none"/>
              </w:rPr>
            </w:pPr>
            <w:r>
              <w:rPr>
                <w:rFonts w:hint="eastAsia" w:ascii="宋体" w:hAnsi="宋体"/>
                <w:highlight w:val="none"/>
              </w:rPr>
              <w:t>2.涉及证书：</w:t>
            </w:r>
            <w:r>
              <w:rPr>
                <w:rFonts w:hint="eastAsia" w:ascii="宋体" w:hAnsi="宋体"/>
                <w:highlight w:val="none"/>
                <w:lang w:val="en-US" w:eastAsia="zh-CN"/>
              </w:rPr>
              <w:t>提供相关证书，若</w:t>
            </w:r>
            <w:r>
              <w:rPr>
                <w:rFonts w:hint="eastAsia" w:ascii="宋体" w:hAnsi="宋体"/>
                <w:highlight w:val="none"/>
              </w:rPr>
              <w:t xml:space="preserve">要求提供工业和信息化部颁发的计算机技术与软件专业技术资格证书需同时提供中国计算机技术职业资格网www.ruankao.org.cn 证书查询有效的查询截图作为评分依据，未提供的对应项不得分。 </w:t>
            </w:r>
          </w:p>
          <w:p>
            <w:pPr>
              <w:widowControl/>
              <w:jc w:val="left"/>
              <w:rPr>
                <w:rFonts w:ascii="宋体" w:hAnsi="宋体" w:cs="宋体"/>
                <w:kern w:val="0"/>
                <w:sz w:val="24"/>
                <w:highlight w:val="none"/>
              </w:rPr>
            </w:pPr>
            <w:r>
              <w:rPr>
                <w:rFonts w:hint="eastAsia" w:ascii="宋体" w:hAnsi="宋体"/>
                <w:highlight w:val="none"/>
              </w:rPr>
              <w:t>3.评分中出现无证明资料或专家无法凭所提供资料判断是否得分的情况，一律作不得分处理。</w:t>
            </w:r>
            <w:r>
              <w:rPr>
                <w:rFonts w:hint="eastAsia" w:ascii="宋体" w:hAnsi="宋体" w:cs="宋体"/>
                <w:kern w:val="0"/>
                <w:sz w:val="24"/>
                <w:highlight w:val="none"/>
              </w:rPr>
              <w:t xml:space="preserve"> </w:t>
            </w:r>
          </w:p>
          <w:p>
            <w:pPr>
              <w:rPr>
                <w:rFonts w:ascii="宋体" w:hAnsi="宋体" w:cs="宋体"/>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restart"/>
            <w:tcBorders>
              <w:top w:val="single" w:color="000000" w:sz="8" w:space="0"/>
              <w:left w:val="single" w:color="000000" w:sz="8" w:space="0"/>
              <w:bottom w:val="single" w:color="auto" w:sz="8" w:space="0"/>
              <w:right w:val="single" w:color="000000" w:sz="8" w:space="0"/>
            </w:tcBorders>
            <w:noWrap w:val="0"/>
            <w:vAlign w:val="center"/>
          </w:tcPr>
          <w:p>
            <w:pPr>
              <w:widowControl/>
              <w:wordWrap w:val="0"/>
              <w:jc w:val="center"/>
              <w:rPr>
                <w:rFonts w:ascii="宋体" w:hAnsi="宋体" w:cs="宋体"/>
                <w:b/>
                <w:bCs/>
                <w:color w:val="0000FF"/>
                <w:kern w:val="0"/>
                <w:szCs w:val="21"/>
                <w:highlight w:val="none"/>
              </w:rPr>
            </w:pPr>
            <w:r>
              <w:rPr>
                <w:rFonts w:hint="eastAsia" w:ascii="宋体" w:hAnsi="宋体" w:cs="宋体"/>
                <w:b/>
                <w:bCs/>
                <w:color w:val="0000FF"/>
                <w:kern w:val="0"/>
                <w:szCs w:val="21"/>
                <w:highlight w:val="none"/>
              </w:rPr>
              <w:t>3</w:t>
            </w:r>
          </w:p>
        </w:tc>
        <w:tc>
          <w:tcPr>
            <w:tcW w:w="2998" w:type="dxa"/>
            <w:gridSpan w:val="3"/>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ascii="宋体" w:hAnsi="宋体" w:cs="宋体"/>
                <w:b/>
                <w:bCs/>
                <w:color w:val="0000FF"/>
                <w:kern w:val="0"/>
                <w:szCs w:val="21"/>
                <w:highlight w:val="none"/>
              </w:rPr>
            </w:pPr>
            <w:r>
              <w:rPr>
                <w:rFonts w:hint="eastAsia" w:ascii="宋体" w:hAnsi="宋体" w:cs="宋体"/>
                <w:b/>
                <w:bCs/>
                <w:color w:val="0000FF"/>
                <w:kern w:val="0"/>
                <w:szCs w:val="21"/>
                <w:highlight w:val="none"/>
              </w:rPr>
              <w:t>综合实力部分</w:t>
            </w:r>
          </w:p>
        </w:tc>
        <w:tc>
          <w:tcPr>
            <w:tcW w:w="5405"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hint="default" w:ascii="宋体" w:hAnsi="宋体" w:cs="宋体" w:eastAsiaTheme="minorEastAsia"/>
                <w:b/>
                <w:bCs/>
                <w:color w:val="0000FF"/>
                <w:kern w:val="0"/>
                <w:szCs w:val="21"/>
                <w:highlight w:val="none"/>
                <w:lang w:val="en-US" w:eastAsia="zh-CN"/>
              </w:rPr>
            </w:pPr>
            <w:r>
              <w:rPr>
                <w:rFonts w:hint="eastAsia" w:ascii="宋体" w:hAnsi="宋体" w:cs="宋体"/>
                <w:b/>
                <w:bCs/>
                <w:color w:val="0000FF"/>
                <w:kern w:val="0"/>
                <w:szCs w:val="21"/>
                <w:highlight w:val="none"/>
                <w:lang w:val="en-US" w:eastAsia="zh-CN"/>
              </w:rPr>
              <w:t>30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continue"/>
            <w:tcBorders>
              <w:top w:val="single" w:color="000000" w:sz="8" w:space="0"/>
              <w:left w:val="single" w:color="000000" w:sz="8" w:space="0"/>
              <w:bottom w:val="single" w:color="auto" w:sz="8" w:space="0"/>
              <w:right w:val="single" w:color="000000" w:sz="8" w:space="0"/>
            </w:tcBorders>
            <w:noWrap w:val="0"/>
            <w:vAlign w:val="center"/>
          </w:tcPr>
          <w:p>
            <w:pPr>
              <w:widowControl/>
              <w:jc w:val="left"/>
              <w:rPr>
                <w:rFonts w:ascii="宋体" w:hAnsi="宋体" w:cs="宋体"/>
                <w:b/>
                <w:bCs/>
                <w:color w:val="0000FF"/>
                <w:kern w:val="0"/>
                <w:szCs w:val="21"/>
                <w:highlight w:val="none"/>
              </w:rPr>
            </w:pPr>
          </w:p>
        </w:tc>
        <w:tc>
          <w:tcPr>
            <w:tcW w:w="8403" w:type="dxa"/>
            <w:gridSpan w:val="4"/>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left"/>
              <w:rPr>
                <w:rFonts w:ascii="宋体" w:hAnsi="宋体" w:cs="宋体"/>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continue"/>
            <w:tcBorders>
              <w:top w:val="single" w:color="000000" w:sz="8" w:space="0"/>
              <w:left w:val="single" w:color="000000" w:sz="8" w:space="0"/>
              <w:bottom w:val="single" w:color="auto" w:sz="8" w:space="0"/>
              <w:right w:val="single" w:color="000000" w:sz="8" w:space="0"/>
            </w:tcBorders>
            <w:shd w:val="clear" w:color="auto" w:fill="auto"/>
            <w:noWrap w:val="0"/>
            <w:vAlign w:val="center"/>
          </w:tcPr>
          <w:p>
            <w:pPr>
              <w:widowControl/>
              <w:jc w:val="left"/>
              <w:rPr>
                <w:rFonts w:ascii="宋体" w:hAnsi="宋体" w:cs="宋体"/>
                <w:b/>
                <w:bCs/>
                <w:color w:val="0000FF"/>
                <w:kern w:val="0"/>
                <w:szCs w:val="21"/>
                <w:highlight w:val="none"/>
              </w:rPr>
            </w:pPr>
          </w:p>
        </w:tc>
        <w:tc>
          <w:tcPr>
            <w:tcW w:w="672"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序号</w:t>
            </w:r>
          </w:p>
        </w:tc>
        <w:tc>
          <w:tcPr>
            <w:tcW w:w="1531"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评分因素</w:t>
            </w:r>
          </w:p>
        </w:tc>
        <w:tc>
          <w:tcPr>
            <w:tcW w:w="795"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权重（%）</w:t>
            </w:r>
          </w:p>
        </w:tc>
        <w:tc>
          <w:tcPr>
            <w:tcW w:w="5405"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评分准则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continue"/>
            <w:tcBorders>
              <w:top w:val="single" w:color="000000" w:sz="8" w:space="0"/>
              <w:left w:val="single" w:color="000000" w:sz="8" w:space="0"/>
              <w:bottom w:val="single" w:color="auto" w:sz="8" w:space="0"/>
              <w:right w:val="single" w:color="000000" w:sz="8" w:space="0"/>
            </w:tcBorders>
            <w:noWrap w:val="0"/>
            <w:vAlign w:val="center"/>
          </w:tcPr>
          <w:p>
            <w:pPr>
              <w:widowControl/>
              <w:jc w:val="left"/>
              <w:rPr>
                <w:rFonts w:ascii="宋体" w:hAnsi="宋体" w:cs="宋体"/>
                <w:b/>
                <w:bCs/>
                <w:color w:val="0000FF"/>
                <w:kern w:val="0"/>
                <w:szCs w:val="21"/>
                <w:highlight w:val="none"/>
              </w:rPr>
            </w:pPr>
          </w:p>
        </w:tc>
        <w:tc>
          <w:tcPr>
            <w:tcW w:w="672"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1</w:t>
            </w:r>
          </w:p>
        </w:tc>
        <w:tc>
          <w:tcPr>
            <w:tcW w:w="1531" w:type="dxa"/>
            <w:tcBorders>
              <w:top w:val="single" w:color="000000" w:sz="8" w:space="0"/>
              <w:left w:val="single" w:color="000000" w:sz="8" w:space="0"/>
              <w:bottom w:val="single" w:color="000000" w:sz="8" w:space="0"/>
              <w:right w:val="single" w:color="000000" w:sz="8" w:space="0"/>
            </w:tcBorders>
            <w:noWrap w:val="0"/>
            <w:vAlign w:val="center"/>
          </w:tcPr>
          <w:p>
            <w:pPr>
              <w:wordWrap w:val="0"/>
              <w:rPr>
                <w:rFonts w:ascii="宋体" w:hAnsi="宋体" w:cs="宋体"/>
                <w:szCs w:val="21"/>
                <w:highlight w:val="none"/>
              </w:rPr>
            </w:pPr>
            <w:r>
              <w:rPr>
                <w:rFonts w:hint="eastAsia" w:ascii="宋体" w:hAnsi="宋体" w:cs="宋体"/>
                <w:szCs w:val="21"/>
                <w:highlight w:val="none"/>
                <w:lang w:eastAsia="zh-CN"/>
              </w:rPr>
              <w:t>同类</w:t>
            </w:r>
            <w:r>
              <w:rPr>
                <w:rFonts w:hint="eastAsia" w:ascii="宋体" w:hAnsi="宋体" w:cs="宋体"/>
                <w:szCs w:val="21"/>
                <w:highlight w:val="none"/>
              </w:rPr>
              <w:t>项目业绩</w:t>
            </w:r>
          </w:p>
        </w:tc>
        <w:tc>
          <w:tcPr>
            <w:tcW w:w="795" w:type="dxa"/>
            <w:tcBorders>
              <w:top w:val="single" w:color="000000" w:sz="8" w:space="0"/>
              <w:left w:val="single" w:color="000000" w:sz="8" w:space="0"/>
              <w:bottom w:val="single" w:color="000000" w:sz="8" w:space="0"/>
              <w:right w:val="single" w:color="000000" w:sz="8" w:space="0"/>
            </w:tcBorders>
            <w:noWrap w:val="0"/>
            <w:vAlign w:val="center"/>
          </w:tcPr>
          <w:p>
            <w:pPr>
              <w:wordWrap w:val="0"/>
              <w:jc w:val="center"/>
              <w:rPr>
                <w:rFonts w:hint="default" w:ascii="宋体" w:hAnsi="宋体" w:cs="宋体" w:eastAsiaTheme="minorEastAsia"/>
                <w:szCs w:val="21"/>
                <w:highlight w:val="none"/>
                <w:lang w:val="en-US" w:eastAsia="zh-CN"/>
              </w:rPr>
            </w:pPr>
            <w:r>
              <w:rPr>
                <w:rFonts w:hint="eastAsia" w:ascii="宋体" w:hAnsi="宋体" w:cs="宋体"/>
                <w:szCs w:val="21"/>
                <w:highlight w:val="none"/>
                <w:lang w:val="en-US" w:eastAsia="zh-CN"/>
              </w:rPr>
              <w:t>20</w:t>
            </w:r>
          </w:p>
        </w:tc>
        <w:tc>
          <w:tcPr>
            <w:tcW w:w="5405" w:type="dxa"/>
            <w:tcBorders>
              <w:top w:val="single" w:color="000000" w:sz="8" w:space="0"/>
              <w:left w:val="single" w:color="000000" w:sz="8" w:space="0"/>
              <w:bottom w:val="single" w:color="000000" w:sz="8" w:space="0"/>
              <w:right w:val="single" w:color="000000" w:sz="8" w:space="0"/>
            </w:tcBorders>
            <w:noWrap w:val="0"/>
            <w:vAlign w:val="center"/>
          </w:tcPr>
          <w:p>
            <w:pPr>
              <w:wordWrap w:val="0"/>
              <w:rPr>
                <w:rFonts w:ascii="宋体" w:hAnsi="宋体" w:cs="宋体"/>
                <w:b/>
                <w:szCs w:val="21"/>
                <w:highlight w:val="none"/>
              </w:rPr>
            </w:pPr>
            <w:bookmarkStart w:id="10" w:name="OLE_LINK29"/>
            <w:bookmarkStart w:id="11" w:name="OLE_LINK28"/>
            <w:r>
              <w:rPr>
                <w:rFonts w:hint="eastAsia" w:ascii="宋体" w:hAnsi="宋体" w:cs="宋体"/>
                <w:b/>
                <w:szCs w:val="21"/>
                <w:highlight w:val="none"/>
              </w:rPr>
              <w:t>（一）评审内容</w:t>
            </w:r>
          </w:p>
          <w:bookmarkEnd w:id="10"/>
          <w:bookmarkEnd w:id="11"/>
          <w:p>
            <w:pPr>
              <w:rPr>
                <w:rFonts w:ascii="宋体" w:hAnsi="宋体"/>
                <w:highlight w:val="none"/>
              </w:rPr>
            </w:pPr>
            <w:r>
              <w:rPr>
                <w:rFonts w:hint="eastAsia" w:ascii="宋体" w:hAnsi="宋体"/>
                <w:highlight w:val="none"/>
              </w:rPr>
              <w:t>投标人自2021年1月1日至投标截止日，具有的同类</w:t>
            </w:r>
            <w:r>
              <w:rPr>
                <w:rFonts w:hint="eastAsia" w:ascii="宋体" w:hAnsi="宋体"/>
                <w:highlight w:val="none"/>
                <w:lang w:val="en-US" w:eastAsia="zh-CN"/>
              </w:rPr>
              <w:t>终端、网络</w:t>
            </w:r>
            <w:r>
              <w:rPr>
                <w:rFonts w:hint="eastAsia" w:ascii="宋体" w:hAnsi="宋体"/>
                <w:highlight w:val="none"/>
              </w:rPr>
              <w:t>运维服务业绩（服务内容包含但不限于</w:t>
            </w:r>
            <w:r>
              <w:rPr>
                <w:rFonts w:hint="eastAsia" w:ascii="宋体" w:hAnsi="宋体"/>
                <w:b/>
                <w:highlight w:val="none"/>
              </w:rPr>
              <w:t>打印机和电脑</w:t>
            </w:r>
            <w:r>
              <w:rPr>
                <w:rFonts w:hint="eastAsia" w:ascii="宋体" w:hAnsi="宋体"/>
                <w:highlight w:val="none"/>
              </w:rPr>
              <w:t>或</w:t>
            </w:r>
            <w:r>
              <w:rPr>
                <w:rFonts w:hint="eastAsia" w:ascii="宋体" w:hAnsi="宋体"/>
                <w:b/>
                <w:highlight w:val="none"/>
              </w:rPr>
              <w:t>网络设备</w:t>
            </w:r>
            <w:r>
              <w:rPr>
                <w:rFonts w:hint="eastAsia" w:ascii="宋体" w:hAnsi="宋体"/>
                <w:highlight w:val="none"/>
              </w:rPr>
              <w:t>的维护）</w:t>
            </w:r>
          </w:p>
          <w:p>
            <w:pPr>
              <w:rPr>
                <w:rFonts w:ascii="宋体" w:hAnsi="宋体"/>
                <w:highlight w:val="none"/>
              </w:rPr>
            </w:pPr>
            <w:r>
              <w:rPr>
                <w:rFonts w:hint="eastAsia" w:ascii="宋体" w:hAnsi="宋体"/>
                <w:highlight w:val="none"/>
              </w:rPr>
              <w:t>1、每提供1个业绩，得10分，本项最高得</w:t>
            </w:r>
            <w:r>
              <w:rPr>
                <w:rFonts w:hint="eastAsia" w:ascii="宋体" w:hAnsi="宋体"/>
                <w:highlight w:val="none"/>
                <w:lang w:val="en-US" w:eastAsia="zh-CN"/>
              </w:rPr>
              <w:t>6</w:t>
            </w:r>
            <w:r>
              <w:rPr>
                <w:rFonts w:hint="eastAsia" w:ascii="宋体" w:hAnsi="宋体"/>
                <w:highlight w:val="none"/>
              </w:rPr>
              <w:t>0分。</w:t>
            </w:r>
          </w:p>
          <w:p>
            <w:pPr>
              <w:rPr>
                <w:rFonts w:ascii="宋体" w:hAnsi="宋体"/>
                <w:highlight w:val="none"/>
              </w:rPr>
            </w:pPr>
            <w:r>
              <w:rPr>
                <w:rFonts w:hint="eastAsia" w:ascii="宋体" w:hAnsi="宋体"/>
                <w:highlight w:val="none"/>
              </w:rPr>
              <w:t>2、所提供的有效业绩中，</w:t>
            </w:r>
            <w:r>
              <w:rPr>
                <w:rFonts w:hint="eastAsia" w:ascii="宋体" w:hAnsi="宋体"/>
                <w:highlight w:val="none"/>
                <w:lang w:val="en-US" w:eastAsia="zh-CN"/>
              </w:rPr>
              <w:t>由</w:t>
            </w:r>
            <w:r>
              <w:rPr>
                <w:rFonts w:hint="eastAsia" w:ascii="宋体" w:hAnsi="宋体" w:cs="宋体"/>
                <w:color w:val="000000"/>
                <w:szCs w:val="21"/>
                <w:highlight w:val="none"/>
              </w:rPr>
              <w:t>采购单位或被服务单位出具的总体履约评价为“优”或“满意”或评价表中其他最高等级评价</w:t>
            </w:r>
            <w:r>
              <w:rPr>
                <w:rFonts w:hint="eastAsia" w:ascii="宋体" w:hAnsi="宋体" w:cs="宋体"/>
                <w:color w:val="000000"/>
                <w:szCs w:val="21"/>
                <w:highlight w:val="none"/>
                <w:lang w:val="en-US" w:eastAsia="zh-CN"/>
              </w:rPr>
              <w:t>的</w:t>
            </w:r>
            <w:r>
              <w:rPr>
                <w:rFonts w:hint="eastAsia" w:ascii="宋体" w:hAnsi="宋体"/>
                <w:highlight w:val="none"/>
              </w:rPr>
              <w:t>，每提供一份有效证明得10分，本项最高得</w:t>
            </w:r>
            <w:r>
              <w:rPr>
                <w:rFonts w:hint="eastAsia" w:ascii="宋体" w:hAnsi="宋体"/>
                <w:highlight w:val="none"/>
                <w:lang w:val="en-US" w:eastAsia="zh-CN"/>
              </w:rPr>
              <w:t>4</w:t>
            </w:r>
            <w:r>
              <w:rPr>
                <w:rFonts w:hint="eastAsia" w:ascii="宋体" w:hAnsi="宋体"/>
                <w:highlight w:val="none"/>
              </w:rPr>
              <w:t>0分，不提供不得分；</w:t>
            </w:r>
          </w:p>
          <w:p>
            <w:pPr>
              <w:rPr>
                <w:rFonts w:hint="eastAsia" w:ascii="宋体" w:hAnsi="宋体"/>
                <w:b/>
                <w:highlight w:val="none"/>
              </w:rPr>
            </w:pPr>
            <w:bookmarkStart w:id="12" w:name="OLE_LINK30"/>
          </w:p>
          <w:p>
            <w:pPr>
              <w:rPr>
                <w:rFonts w:ascii="宋体" w:hAnsi="宋体"/>
                <w:b/>
                <w:highlight w:val="none"/>
              </w:rPr>
            </w:pPr>
            <w:r>
              <w:rPr>
                <w:rFonts w:hint="eastAsia" w:ascii="宋体" w:hAnsi="宋体"/>
                <w:b/>
                <w:highlight w:val="none"/>
              </w:rPr>
              <w:t>（二）评分依据：</w:t>
            </w:r>
          </w:p>
          <w:bookmarkEnd w:id="12"/>
          <w:p>
            <w:pPr>
              <w:rPr>
                <w:rFonts w:ascii="宋体" w:hAnsi="宋体" w:cs="宋体"/>
                <w:color w:val="000000"/>
                <w:szCs w:val="21"/>
                <w:highlight w:val="none"/>
              </w:rPr>
            </w:pPr>
            <w:r>
              <w:rPr>
                <w:rFonts w:hint="eastAsia" w:ascii="宋体" w:hAnsi="宋体" w:cs="宋体"/>
                <w:color w:val="000000"/>
                <w:szCs w:val="21"/>
                <w:highlight w:val="none"/>
                <w:lang w:val="en-US" w:eastAsia="zh-CN"/>
              </w:rPr>
              <w:t>评分内容1提供：</w:t>
            </w:r>
            <w:r>
              <w:rPr>
                <w:rFonts w:hint="eastAsia" w:ascii="宋体" w:hAnsi="宋体" w:cs="宋体"/>
                <w:color w:val="000000"/>
                <w:szCs w:val="21"/>
                <w:highlight w:val="none"/>
              </w:rPr>
              <w:t>合同关键页（关键信息包括但不仅限于合同的项目名称、服务内容、合同服务的起止时间、签订日期、合同双方盖章页）；</w:t>
            </w:r>
          </w:p>
          <w:p>
            <w:pPr>
              <w:rPr>
                <w:rFonts w:ascii="宋体" w:hAnsi="宋体" w:cs="宋体"/>
                <w:color w:val="000000"/>
                <w:szCs w:val="21"/>
                <w:highlight w:val="none"/>
              </w:rPr>
            </w:pPr>
            <w:r>
              <w:rPr>
                <w:rFonts w:hint="eastAsia" w:ascii="宋体" w:hAnsi="宋体" w:cs="宋体"/>
                <w:color w:val="000000"/>
                <w:szCs w:val="21"/>
                <w:highlight w:val="none"/>
                <w:lang w:val="en-US" w:eastAsia="zh-CN"/>
              </w:rPr>
              <w:t>评分内容2提供：</w:t>
            </w:r>
            <w:r>
              <w:rPr>
                <w:rFonts w:hint="eastAsia" w:ascii="宋体" w:hAnsi="宋体" w:cs="宋体"/>
                <w:color w:val="000000"/>
                <w:szCs w:val="21"/>
                <w:highlight w:val="none"/>
              </w:rPr>
              <w:t>采购单位或被服务单位出具的总体履约评价（出具证明的签署日期需在项目合同服务结束时间之后</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即履约评价的出具日期至少为服务期的最后一天）为“优”或“满意”或评价表中其他最高等级评价的相关证明文件加盖采购单位或被服务单位公章（业务章）。证明文件的内容包括但不仅限于合同的项目名称、</w:t>
            </w:r>
            <w:bookmarkStart w:id="15" w:name="_GoBack"/>
            <w:bookmarkEnd w:id="15"/>
            <w:r>
              <w:rPr>
                <w:rFonts w:hint="eastAsia" w:ascii="宋体" w:hAnsi="宋体" w:cs="宋体"/>
                <w:color w:val="000000"/>
                <w:szCs w:val="21"/>
                <w:highlight w:val="none"/>
              </w:rPr>
              <w:t>总体履约评价结果等相关内容,如提交的证明文件其评价结果没有结论而仅是打分的（比如打100分、98分、95分、85分等的）不计分。</w:t>
            </w:r>
          </w:p>
          <w:p>
            <w:pPr>
              <w:wordWrap w:val="0"/>
              <w:rPr>
                <w:rFonts w:ascii="宋体" w:hAnsi="宋体" w:cs="宋体"/>
                <w:szCs w:val="21"/>
                <w:highlight w:val="none"/>
              </w:rPr>
            </w:pPr>
            <w:r>
              <w:rPr>
                <w:rFonts w:hint="eastAsia" w:ascii="宋体" w:hAnsi="宋体" w:cs="宋体"/>
                <w:color w:val="000000"/>
                <w:szCs w:val="21"/>
                <w:highlight w:val="none"/>
              </w:rPr>
              <w:t>3、未按要求提供或评委无法凭所提供资料判断是否得分的情况，一律作不得分处理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continue"/>
            <w:tcBorders>
              <w:top w:val="single" w:color="000000" w:sz="8" w:space="0"/>
              <w:left w:val="single" w:color="000000" w:sz="8" w:space="0"/>
              <w:bottom w:val="single" w:color="auto" w:sz="8" w:space="0"/>
              <w:right w:val="single" w:color="000000" w:sz="8" w:space="0"/>
            </w:tcBorders>
            <w:noWrap w:val="0"/>
            <w:vAlign w:val="center"/>
          </w:tcPr>
          <w:p>
            <w:pPr>
              <w:widowControl/>
              <w:jc w:val="left"/>
              <w:rPr>
                <w:rFonts w:ascii="宋体" w:hAnsi="宋体" w:cs="宋体"/>
                <w:b/>
                <w:bCs/>
                <w:color w:val="0000FF"/>
                <w:kern w:val="0"/>
                <w:szCs w:val="21"/>
                <w:highlight w:val="none"/>
              </w:rPr>
            </w:pPr>
          </w:p>
        </w:tc>
        <w:tc>
          <w:tcPr>
            <w:tcW w:w="672"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hint="eastAsia" w:ascii="宋体" w:hAnsi="宋体" w:cs="宋体" w:eastAsiaTheme="minorEastAsia"/>
                <w:kern w:val="0"/>
                <w:szCs w:val="21"/>
                <w:highlight w:val="none"/>
                <w:lang w:eastAsia="zh-CN"/>
              </w:rPr>
            </w:pPr>
            <w:r>
              <w:rPr>
                <w:rFonts w:hint="eastAsia" w:ascii="宋体" w:hAnsi="宋体" w:cs="宋体"/>
                <w:kern w:val="0"/>
                <w:szCs w:val="21"/>
                <w:highlight w:val="none"/>
                <w:lang w:val="en-US" w:eastAsia="zh-CN"/>
              </w:rPr>
              <w:t>2</w:t>
            </w:r>
          </w:p>
        </w:tc>
        <w:tc>
          <w:tcPr>
            <w:tcW w:w="1531" w:type="dxa"/>
            <w:tcBorders>
              <w:top w:val="single" w:color="000000" w:sz="8" w:space="0"/>
              <w:left w:val="single" w:color="000000" w:sz="8" w:space="0"/>
              <w:bottom w:val="single" w:color="000000" w:sz="8" w:space="0"/>
              <w:right w:val="single" w:color="000000" w:sz="8" w:space="0"/>
            </w:tcBorders>
            <w:noWrap w:val="0"/>
            <w:vAlign w:val="center"/>
          </w:tcPr>
          <w:p>
            <w:pPr>
              <w:wordWrap w:val="0"/>
              <w:rPr>
                <w:rFonts w:ascii="宋体" w:hAnsi="宋体" w:cs="宋体"/>
                <w:szCs w:val="21"/>
                <w:highlight w:val="none"/>
              </w:rPr>
            </w:pPr>
            <w:r>
              <w:rPr>
                <w:rFonts w:hint="eastAsia" w:ascii="宋体" w:hAnsi="宋体" w:cs="宋体"/>
                <w:szCs w:val="21"/>
                <w:highlight w:val="none"/>
              </w:rPr>
              <w:t>企业认证情况</w:t>
            </w:r>
          </w:p>
        </w:tc>
        <w:tc>
          <w:tcPr>
            <w:tcW w:w="795" w:type="dxa"/>
            <w:tcBorders>
              <w:top w:val="single" w:color="000000" w:sz="8" w:space="0"/>
              <w:left w:val="single" w:color="000000" w:sz="8" w:space="0"/>
              <w:bottom w:val="single" w:color="000000" w:sz="8" w:space="0"/>
              <w:right w:val="single" w:color="000000" w:sz="8" w:space="0"/>
            </w:tcBorders>
            <w:noWrap w:val="0"/>
            <w:vAlign w:val="center"/>
          </w:tcPr>
          <w:p>
            <w:pPr>
              <w:wordWrap w:val="0"/>
              <w:jc w:val="center"/>
              <w:rPr>
                <w:rFonts w:hint="default" w:ascii="宋体" w:hAnsi="宋体" w:cs="宋体" w:eastAsiaTheme="minorEastAsia"/>
                <w:szCs w:val="21"/>
                <w:highlight w:val="none"/>
                <w:lang w:val="en-US" w:eastAsia="zh-CN"/>
              </w:rPr>
            </w:pPr>
            <w:r>
              <w:rPr>
                <w:rFonts w:hint="eastAsia" w:ascii="宋体" w:hAnsi="宋体" w:cs="宋体"/>
                <w:szCs w:val="21"/>
                <w:highlight w:val="none"/>
                <w:lang w:val="en-US" w:eastAsia="zh-CN"/>
              </w:rPr>
              <w:t>10</w:t>
            </w:r>
          </w:p>
        </w:tc>
        <w:tc>
          <w:tcPr>
            <w:tcW w:w="5405" w:type="dxa"/>
            <w:tcBorders>
              <w:top w:val="single" w:color="000000" w:sz="8" w:space="0"/>
              <w:left w:val="single" w:color="000000" w:sz="8" w:space="0"/>
              <w:bottom w:val="single" w:color="000000" w:sz="8" w:space="0"/>
              <w:right w:val="single" w:color="000000" w:sz="8" w:space="0"/>
            </w:tcBorders>
            <w:noWrap w:val="0"/>
            <w:vAlign w:val="center"/>
          </w:tcPr>
          <w:p>
            <w:pPr>
              <w:jc w:val="left"/>
              <w:rPr>
                <w:rFonts w:ascii="宋体" w:hAnsi="宋体" w:cs="宋体"/>
                <w:b/>
                <w:bCs/>
                <w:szCs w:val="21"/>
              </w:rPr>
            </w:pPr>
            <w:r>
              <w:rPr>
                <w:rFonts w:hint="eastAsia" w:ascii="宋体" w:hAnsi="宋体" w:cs="宋体"/>
                <w:b/>
                <w:bCs/>
                <w:szCs w:val="21"/>
              </w:rPr>
              <w:t>（一）评审内容：</w:t>
            </w:r>
          </w:p>
          <w:p>
            <w:pPr>
              <w:widowControl/>
              <w:jc w:val="left"/>
              <w:textAlignment w:val="center"/>
              <w:rPr>
                <w:rFonts w:ascii="宋体" w:hAnsi="宋体" w:cs="宋体"/>
                <w:szCs w:val="21"/>
              </w:rPr>
            </w:pPr>
            <w:r>
              <w:rPr>
                <w:rFonts w:ascii="宋体" w:hAnsi="宋体" w:cs="宋体"/>
                <w:szCs w:val="21"/>
              </w:rPr>
              <w:t>投标人通过相关认证情况：</w:t>
            </w:r>
          </w:p>
          <w:p>
            <w:pPr>
              <w:widowControl/>
              <w:jc w:val="left"/>
              <w:textAlignment w:val="center"/>
              <w:rPr>
                <w:rFonts w:ascii="宋体" w:hAnsi="宋体" w:cs="宋体"/>
                <w:szCs w:val="21"/>
              </w:rPr>
            </w:pPr>
            <w:r>
              <w:rPr>
                <w:rFonts w:hint="eastAsia" w:ascii="宋体" w:hAnsi="宋体" w:cs="宋体"/>
                <w:szCs w:val="21"/>
              </w:rPr>
              <w:t>1.具有质量管理体系认证证书，得</w:t>
            </w:r>
            <w:r>
              <w:rPr>
                <w:rFonts w:hint="eastAsia" w:ascii="宋体" w:hAnsi="宋体" w:cs="宋体"/>
                <w:szCs w:val="21"/>
                <w:lang w:val="en-US" w:eastAsia="zh-CN"/>
              </w:rPr>
              <w:t>30</w:t>
            </w:r>
            <w:r>
              <w:rPr>
                <w:rFonts w:hint="eastAsia" w:ascii="宋体" w:hAnsi="宋体" w:cs="宋体"/>
                <w:szCs w:val="21"/>
              </w:rPr>
              <w:t>分；</w:t>
            </w:r>
          </w:p>
          <w:p>
            <w:pPr>
              <w:widowControl/>
              <w:jc w:val="left"/>
              <w:textAlignment w:val="center"/>
              <w:rPr>
                <w:rFonts w:ascii="宋体" w:hAnsi="宋体" w:cs="宋体"/>
                <w:szCs w:val="21"/>
              </w:rPr>
            </w:pPr>
            <w:r>
              <w:rPr>
                <w:rFonts w:hint="eastAsia" w:ascii="宋体" w:hAnsi="宋体" w:cs="宋体"/>
                <w:szCs w:val="21"/>
              </w:rPr>
              <w:t>2.具有有效的ISO/IEC 20000信息技术服务管理体系认证证书的，得</w:t>
            </w:r>
            <w:r>
              <w:rPr>
                <w:rFonts w:hint="eastAsia" w:ascii="宋体" w:hAnsi="宋体" w:cs="宋体"/>
                <w:szCs w:val="21"/>
                <w:lang w:val="en-US" w:eastAsia="zh-CN"/>
              </w:rPr>
              <w:t>40</w:t>
            </w:r>
            <w:r>
              <w:rPr>
                <w:rFonts w:hint="eastAsia" w:ascii="宋体" w:hAnsi="宋体" w:cs="宋体"/>
                <w:szCs w:val="21"/>
              </w:rPr>
              <w:t>分；</w:t>
            </w:r>
          </w:p>
          <w:p>
            <w:pPr>
              <w:widowControl/>
              <w:jc w:val="left"/>
              <w:textAlignment w:val="center"/>
              <w:rPr>
                <w:rFonts w:ascii="宋体" w:hAnsi="宋体" w:cs="宋体"/>
                <w:szCs w:val="21"/>
              </w:rPr>
            </w:pPr>
            <w:r>
              <w:rPr>
                <w:rFonts w:hint="eastAsia" w:ascii="宋体" w:hAnsi="宋体" w:cs="宋体"/>
                <w:szCs w:val="21"/>
              </w:rPr>
              <w:t>3.具有售后服务认证证书，得</w:t>
            </w:r>
            <w:r>
              <w:rPr>
                <w:rFonts w:hint="eastAsia" w:ascii="宋体" w:hAnsi="宋体" w:cs="宋体"/>
                <w:szCs w:val="21"/>
                <w:lang w:val="en-US" w:eastAsia="zh-CN"/>
              </w:rPr>
              <w:t>30</w:t>
            </w:r>
            <w:r>
              <w:rPr>
                <w:rFonts w:hint="eastAsia" w:ascii="宋体" w:hAnsi="宋体" w:cs="宋体"/>
                <w:szCs w:val="21"/>
              </w:rPr>
              <w:t>分；</w:t>
            </w:r>
          </w:p>
          <w:p>
            <w:pPr>
              <w:widowControl/>
              <w:jc w:val="left"/>
              <w:textAlignment w:val="center"/>
              <w:rPr>
                <w:rFonts w:ascii="宋体" w:hAnsi="宋体" w:cs="宋体"/>
                <w:szCs w:val="21"/>
              </w:rPr>
            </w:pPr>
            <w:r>
              <w:rPr>
                <w:rFonts w:ascii="宋体" w:hAnsi="宋体" w:cs="宋体"/>
                <w:szCs w:val="21"/>
              </w:rPr>
              <w:t>以上</w:t>
            </w:r>
            <w:r>
              <w:rPr>
                <w:rFonts w:hint="eastAsia" w:ascii="宋体" w:hAnsi="宋体" w:cs="宋体"/>
                <w:szCs w:val="21"/>
                <w:lang w:val="en-US" w:eastAsia="zh-CN"/>
              </w:rPr>
              <w:t>3</w:t>
            </w:r>
            <w:r>
              <w:rPr>
                <w:rFonts w:ascii="宋体" w:hAnsi="宋体" w:cs="宋体"/>
                <w:szCs w:val="21"/>
              </w:rPr>
              <w:t>项得分累计，满分100分。</w:t>
            </w:r>
          </w:p>
          <w:p>
            <w:pPr>
              <w:wordWrap w:val="0"/>
              <w:rPr>
                <w:rFonts w:ascii="宋体" w:hAnsi="宋体" w:cs="宋体"/>
                <w:b/>
                <w:szCs w:val="21"/>
                <w:highlight w:val="none"/>
              </w:rPr>
            </w:pPr>
            <w:r>
              <w:rPr>
                <w:rFonts w:hint="eastAsia" w:ascii="宋体" w:hAnsi="宋体" w:cs="宋体"/>
                <w:b/>
                <w:szCs w:val="21"/>
                <w:highlight w:val="none"/>
              </w:rPr>
              <w:t>（二）评审依据</w:t>
            </w:r>
          </w:p>
          <w:p>
            <w:pPr>
              <w:wordWrap w:val="0"/>
              <w:rPr>
                <w:rFonts w:ascii="宋体" w:hAnsi="宋体" w:cs="宋体"/>
                <w:szCs w:val="21"/>
                <w:highlight w:val="none"/>
              </w:rPr>
            </w:pPr>
            <w:r>
              <w:rPr>
                <w:rFonts w:hint="eastAsia" w:ascii="宋体" w:hAnsi="宋体" w:cs="宋体"/>
                <w:szCs w:val="21"/>
                <w:highlight w:val="none"/>
                <w:lang w:val="en-US" w:eastAsia="zh-CN"/>
              </w:rPr>
              <w:t>1</w:t>
            </w:r>
            <w:r>
              <w:rPr>
                <w:rFonts w:hint="eastAsia" w:ascii="宋体" w:hAnsi="宋体" w:cs="宋体"/>
                <w:szCs w:val="21"/>
                <w:highlight w:val="none"/>
              </w:rPr>
              <w:t>.如未按要求提供证明材料，或所提供的证明材料未能体现上述评分内容的，视为该证明材料无效。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restart"/>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ascii="宋体" w:hAnsi="宋体" w:cs="宋体"/>
                <w:b/>
                <w:bCs/>
                <w:color w:val="0000FF"/>
                <w:kern w:val="0"/>
                <w:szCs w:val="21"/>
                <w:highlight w:val="none"/>
              </w:rPr>
            </w:pPr>
            <w:r>
              <w:rPr>
                <w:rFonts w:hint="eastAsia" w:ascii="宋体" w:hAnsi="宋体" w:cs="宋体"/>
                <w:b/>
                <w:bCs/>
                <w:color w:val="0000FF"/>
                <w:kern w:val="0"/>
                <w:szCs w:val="21"/>
                <w:highlight w:val="none"/>
              </w:rPr>
              <w:t>4</w:t>
            </w:r>
          </w:p>
        </w:tc>
        <w:tc>
          <w:tcPr>
            <w:tcW w:w="2998" w:type="dxa"/>
            <w:gridSpan w:val="3"/>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ascii="宋体" w:hAnsi="宋体" w:cs="宋体"/>
                <w:b/>
                <w:bCs/>
                <w:color w:val="0000FF"/>
                <w:kern w:val="0"/>
                <w:szCs w:val="21"/>
                <w:highlight w:val="none"/>
              </w:rPr>
            </w:pPr>
            <w:r>
              <w:rPr>
                <w:rFonts w:hint="eastAsia" w:ascii="宋体" w:hAnsi="宋体" w:cs="宋体"/>
                <w:b/>
                <w:bCs/>
                <w:color w:val="0000FF"/>
                <w:kern w:val="0"/>
                <w:szCs w:val="21"/>
                <w:highlight w:val="none"/>
              </w:rPr>
              <w:t>诚信情况</w:t>
            </w:r>
          </w:p>
        </w:tc>
        <w:tc>
          <w:tcPr>
            <w:tcW w:w="5405"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hint="default" w:ascii="宋体" w:hAnsi="宋体" w:cs="宋体" w:eastAsiaTheme="minorEastAsia"/>
                <w:b/>
                <w:bCs/>
                <w:color w:val="0000FF"/>
                <w:kern w:val="0"/>
                <w:szCs w:val="21"/>
                <w:highlight w:val="none"/>
                <w:lang w:val="en-US" w:eastAsia="zh-CN"/>
              </w:rPr>
            </w:pPr>
            <w:r>
              <w:rPr>
                <w:rFonts w:hint="eastAsia" w:ascii="宋体" w:hAnsi="宋体" w:cs="宋体"/>
                <w:b/>
                <w:bCs/>
                <w:color w:val="0000FF"/>
                <w:kern w:val="0"/>
                <w:szCs w:val="21"/>
                <w:highlight w:val="none"/>
                <w:lang w:val="en-US" w:eastAsia="zh-CN"/>
              </w:rPr>
              <w:t>10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jc w:val="left"/>
              <w:rPr>
                <w:rFonts w:ascii="宋体" w:hAnsi="宋体" w:cs="宋体"/>
                <w:b/>
                <w:bCs/>
                <w:color w:val="0000FF"/>
                <w:kern w:val="0"/>
                <w:szCs w:val="21"/>
                <w:highlight w:val="none"/>
              </w:rPr>
            </w:pPr>
          </w:p>
        </w:tc>
        <w:tc>
          <w:tcPr>
            <w:tcW w:w="8403" w:type="dxa"/>
            <w:gridSpan w:val="4"/>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left"/>
              <w:rPr>
                <w:rFonts w:ascii="宋体" w:hAnsi="宋体" w:cs="宋体"/>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continue"/>
            <w:tcBorders>
              <w:top w:val="single" w:color="000000" w:sz="8" w:space="0"/>
              <w:left w:val="single" w:color="000000" w:sz="8" w:space="0"/>
              <w:bottom w:val="single" w:color="000000" w:sz="8" w:space="0"/>
              <w:right w:val="single" w:color="000000" w:sz="8" w:space="0"/>
            </w:tcBorders>
            <w:shd w:val="clear" w:color="auto" w:fill="auto"/>
            <w:noWrap w:val="0"/>
            <w:vAlign w:val="center"/>
          </w:tcPr>
          <w:p>
            <w:pPr>
              <w:widowControl/>
              <w:jc w:val="left"/>
              <w:rPr>
                <w:rFonts w:ascii="宋体" w:hAnsi="宋体" w:cs="宋体"/>
                <w:b/>
                <w:bCs/>
                <w:color w:val="0000FF"/>
                <w:kern w:val="0"/>
                <w:szCs w:val="21"/>
                <w:highlight w:val="none"/>
              </w:rPr>
            </w:pPr>
          </w:p>
        </w:tc>
        <w:tc>
          <w:tcPr>
            <w:tcW w:w="672"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序号</w:t>
            </w:r>
          </w:p>
        </w:tc>
        <w:tc>
          <w:tcPr>
            <w:tcW w:w="1531"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评分因素</w:t>
            </w:r>
          </w:p>
        </w:tc>
        <w:tc>
          <w:tcPr>
            <w:tcW w:w="795"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权重（%）</w:t>
            </w:r>
          </w:p>
        </w:tc>
        <w:tc>
          <w:tcPr>
            <w:tcW w:w="5405" w:type="dxa"/>
            <w:tcBorders>
              <w:top w:val="outset" w:color="000000" w:sz="6" w:space="0"/>
              <w:left w:val="outset" w:color="000000" w:sz="6" w:space="0"/>
              <w:bottom w:val="outset" w:color="000000" w:sz="6" w:space="0"/>
              <w:right w:val="outset" w:color="000000" w:sz="6" w:space="0"/>
            </w:tcBorders>
            <w:shd w:val="clear" w:color="auto" w:fill="E6EFFA"/>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评分准则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jc w:val="left"/>
              <w:rPr>
                <w:rFonts w:ascii="宋体" w:hAnsi="宋体" w:cs="宋体"/>
                <w:b/>
                <w:bCs/>
                <w:color w:val="0000FF"/>
                <w:kern w:val="0"/>
                <w:szCs w:val="21"/>
                <w:highlight w:val="none"/>
              </w:rPr>
            </w:pPr>
          </w:p>
        </w:tc>
        <w:tc>
          <w:tcPr>
            <w:tcW w:w="672"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hint="eastAsia" w:ascii="宋体" w:hAnsi="宋体" w:cs="宋体" w:eastAsiaTheme="minorEastAsia"/>
                <w:kern w:val="0"/>
                <w:szCs w:val="21"/>
                <w:highlight w:val="none"/>
                <w:lang w:val="en-US" w:eastAsia="zh-CN"/>
              </w:rPr>
            </w:pPr>
            <w:r>
              <w:rPr>
                <w:rFonts w:hint="eastAsia" w:ascii="宋体" w:hAnsi="宋体" w:cs="宋体"/>
                <w:kern w:val="0"/>
                <w:szCs w:val="21"/>
                <w:highlight w:val="none"/>
                <w:lang w:val="en-US" w:eastAsia="zh-CN"/>
              </w:rPr>
              <w:t>1</w:t>
            </w:r>
          </w:p>
        </w:tc>
        <w:tc>
          <w:tcPr>
            <w:tcW w:w="1531" w:type="dxa"/>
            <w:tcBorders>
              <w:top w:val="single" w:color="000000" w:sz="8" w:space="0"/>
              <w:left w:val="single" w:color="000000" w:sz="8" w:space="0"/>
              <w:bottom w:val="single" w:color="000000" w:sz="8" w:space="0"/>
              <w:right w:val="single" w:color="000000" w:sz="8" w:space="0"/>
            </w:tcBorders>
            <w:noWrap w:val="0"/>
            <w:vAlign w:val="center"/>
          </w:tcPr>
          <w:p>
            <w:pPr>
              <w:jc w:val="center"/>
              <w:rPr>
                <w:rFonts w:hint="eastAsia" w:ascii="宋体" w:hAnsi="宋体" w:cs="宋体"/>
                <w:kern w:val="0"/>
                <w:szCs w:val="21"/>
                <w:highlight w:val="none"/>
              </w:rPr>
            </w:pPr>
            <w:r>
              <w:rPr>
                <w:rFonts w:hint="eastAsia" w:ascii="宋体" w:hAnsi="宋体" w:eastAsia="宋体" w:cs="宋体"/>
                <w:color w:val="auto"/>
                <w:sz w:val="21"/>
                <w:szCs w:val="21"/>
              </w:rPr>
              <w:t>违约承诺</w:t>
            </w:r>
          </w:p>
        </w:tc>
        <w:tc>
          <w:tcPr>
            <w:tcW w:w="795" w:type="dxa"/>
            <w:tcBorders>
              <w:top w:val="single" w:color="000000" w:sz="8" w:space="0"/>
              <w:left w:val="single" w:color="000000" w:sz="8" w:space="0"/>
              <w:bottom w:val="single" w:color="000000" w:sz="8" w:space="0"/>
              <w:right w:val="single" w:color="000000" w:sz="8" w:space="0"/>
            </w:tcBorders>
            <w:noWrap w:val="0"/>
            <w:vAlign w:val="center"/>
          </w:tcPr>
          <w:p>
            <w:pPr>
              <w:jc w:val="center"/>
              <w:rPr>
                <w:rFonts w:hint="eastAsia" w:ascii="宋体" w:hAnsi="宋体" w:cs="宋体"/>
                <w:kern w:val="0"/>
                <w:szCs w:val="21"/>
                <w:highlight w:val="none"/>
              </w:rPr>
            </w:pPr>
            <w:r>
              <w:rPr>
                <w:rFonts w:hint="eastAsia" w:ascii="宋体" w:hAnsi="宋体" w:eastAsia="宋体" w:cs="宋体"/>
                <w:color w:val="auto"/>
                <w:sz w:val="21"/>
                <w:szCs w:val="21"/>
                <w:lang w:val="en-US" w:eastAsia="zh-CN"/>
              </w:rPr>
              <w:t>5</w:t>
            </w:r>
          </w:p>
        </w:tc>
        <w:tc>
          <w:tcPr>
            <w:tcW w:w="5405" w:type="dxa"/>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（一）评分内容</w:t>
            </w:r>
          </w:p>
          <w:p>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1.投标人承诺响应到达时间在2小时（含）</w:t>
            </w:r>
            <w:r>
              <w:rPr>
                <w:rFonts w:hint="eastAsia" w:ascii="宋体" w:hAnsi="宋体" w:cs="宋体"/>
                <w:color w:val="auto"/>
                <w:sz w:val="21"/>
                <w:szCs w:val="21"/>
                <w:highlight w:val="none"/>
                <w:lang w:val="en-US" w:eastAsia="zh-CN"/>
              </w:rPr>
              <w:t>内</w:t>
            </w:r>
            <w:r>
              <w:rPr>
                <w:rFonts w:hint="eastAsia" w:ascii="宋体" w:hAnsi="宋体" w:eastAsia="宋体" w:cs="宋体"/>
                <w:color w:val="auto"/>
                <w:sz w:val="21"/>
                <w:szCs w:val="21"/>
                <w:highlight w:val="none"/>
              </w:rPr>
              <w:t>的，得100分；</w:t>
            </w:r>
          </w:p>
          <w:p>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2.投标人承诺响应到达时间在</w:t>
            </w:r>
            <w:r>
              <w:rPr>
                <w:rFonts w:hint="eastAsia" w:ascii="宋体" w:hAnsi="宋体" w:cs="宋体"/>
                <w:color w:val="auto"/>
                <w:sz w:val="21"/>
                <w:szCs w:val="21"/>
                <w:highlight w:val="none"/>
                <w:lang w:val="en-US" w:eastAsia="zh-CN"/>
              </w:rPr>
              <w:t>大于2小时且小于等于</w:t>
            </w:r>
            <w:r>
              <w:rPr>
                <w:rFonts w:hint="eastAsia" w:ascii="宋体" w:hAnsi="宋体" w:eastAsia="宋体" w:cs="宋体"/>
                <w:color w:val="auto"/>
                <w:sz w:val="21"/>
                <w:szCs w:val="21"/>
                <w:highlight w:val="none"/>
              </w:rPr>
              <w:t>4小时的，得50分；</w:t>
            </w:r>
          </w:p>
          <w:p>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3.投标人承诺响应到达时间在</w:t>
            </w:r>
            <w:r>
              <w:rPr>
                <w:rFonts w:hint="eastAsia" w:ascii="宋体" w:hAnsi="宋体" w:cs="宋体"/>
                <w:color w:val="auto"/>
                <w:sz w:val="21"/>
                <w:szCs w:val="21"/>
                <w:highlight w:val="none"/>
                <w:lang w:val="en-US" w:eastAsia="zh-CN"/>
              </w:rPr>
              <w:t>大于4小时且小于等于</w:t>
            </w:r>
            <w:r>
              <w:rPr>
                <w:rFonts w:hint="eastAsia" w:ascii="宋体" w:hAnsi="宋体" w:eastAsia="宋体" w:cs="宋体"/>
                <w:color w:val="auto"/>
                <w:sz w:val="21"/>
                <w:szCs w:val="21"/>
                <w:highlight w:val="none"/>
              </w:rPr>
              <w:t>6小时的，得20分；</w:t>
            </w:r>
          </w:p>
          <w:p>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4.其他情况不得分。</w:t>
            </w:r>
          </w:p>
          <w:p>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本项不得累计计分，最高得100分。</w:t>
            </w:r>
          </w:p>
          <w:p>
            <w:pPr>
              <w:snapToGrid w:val="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（二）评分标准：</w:t>
            </w:r>
          </w:p>
          <w:p>
            <w:pPr>
              <w:snapToGrid w:val="0"/>
              <w:jc w:val="left"/>
              <w:rPr>
                <w:rFonts w:hint="eastAsia"/>
                <w:highlight w:val="none"/>
              </w:rPr>
            </w:pPr>
            <w:r>
              <w:rPr>
                <w:rFonts w:hint="eastAsia" w:ascii="宋体" w:hAnsi="宋体" w:eastAsia="宋体" w:cs="宋体"/>
                <w:b w:val="0"/>
                <w:bCs w:val="0"/>
                <w:color w:val="auto"/>
                <w:sz w:val="21"/>
                <w:szCs w:val="21"/>
                <w:highlight w:val="none"/>
              </w:rPr>
              <w:t>投标人提供承诺书（格式自拟）；未提供不得分。评分中出现无证明资料或专家无法凭所提供资料判断是否得分的情况，一律作不得分处理。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72" w:type="dxa"/>
            <w:vMerge w:val="continue"/>
            <w:tcBorders>
              <w:top w:val="single" w:color="000000" w:sz="8" w:space="0"/>
              <w:left w:val="single" w:color="000000" w:sz="8" w:space="0"/>
              <w:bottom w:val="single" w:color="000000" w:sz="8" w:space="0"/>
              <w:right w:val="single" w:color="000000" w:sz="8" w:space="0"/>
            </w:tcBorders>
            <w:noWrap w:val="0"/>
            <w:vAlign w:val="center"/>
          </w:tcPr>
          <w:p>
            <w:pPr>
              <w:widowControl/>
              <w:jc w:val="left"/>
              <w:rPr>
                <w:rFonts w:ascii="宋体" w:hAnsi="宋体" w:cs="宋体"/>
                <w:b/>
                <w:bCs/>
                <w:color w:val="0000FF"/>
                <w:kern w:val="0"/>
                <w:szCs w:val="21"/>
                <w:highlight w:val="none"/>
              </w:rPr>
            </w:pPr>
          </w:p>
        </w:tc>
        <w:tc>
          <w:tcPr>
            <w:tcW w:w="672"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hint="eastAsia" w:ascii="宋体" w:hAnsi="宋体" w:cs="宋体" w:eastAsiaTheme="minorEastAsia"/>
                <w:kern w:val="0"/>
                <w:szCs w:val="21"/>
                <w:highlight w:val="none"/>
                <w:lang w:eastAsia="zh-CN"/>
              </w:rPr>
            </w:pPr>
            <w:r>
              <w:rPr>
                <w:rFonts w:hint="eastAsia" w:ascii="宋体" w:hAnsi="宋体" w:cs="宋体"/>
                <w:kern w:val="0"/>
                <w:szCs w:val="21"/>
                <w:highlight w:val="none"/>
                <w:lang w:val="en-US" w:eastAsia="zh-CN"/>
              </w:rPr>
              <w:t>2</w:t>
            </w:r>
          </w:p>
        </w:tc>
        <w:tc>
          <w:tcPr>
            <w:tcW w:w="1531"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left"/>
              <w:rPr>
                <w:rFonts w:ascii="宋体" w:hAnsi="宋体" w:cs="宋体"/>
                <w:kern w:val="0"/>
                <w:szCs w:val="21"/>
                <w:highlight w:val="none"/>
              </w:rPr>
            </w:pPr>
            <w:r>
              <w:rPr>
                <w:rFonts w:hint="eastAsia" w:ascii="宋体" w:hAnsi="宋体" w:cs="宋体"/>
                <w:kern w:val="0"/>
                <w:szCs w:val="21"/>
                <w:highlight w:val="none"/>
              </w:rPr>
              <w:t>诚信情况</w:t>
            </w:r>
          </w:p>
        </w:tc>
        <w:tc>
          <w:tcPr>
            <w:tcW w:w="795" w:type="dxa"/>
            <w:tcBorders>
              <w:top w:val="single" w:color="000000" w:sz="8" w:space="0"/>
              <w:left w:val="single" w:color="000000" w:sz="8" w:space="0"/>
              <w:bottom w:val="single" w:color="000000" w:sz="8" w:space="0"/>
              <w:right w:val="single" w:color="000000" w:sz="8" w:space="0"/>
            </w:tcBorders>
            <w:noWrap w:val="0"/>
            <w:vAlign w:val="center"/>
          </w:tcPr>
          <w:p>
            <w:pPr>
              <w:widowControl/>
              <w:wordWrap w:val="0"/>
              <w:jc w:val="center"/>
              <w:rPr>
                <w:rFonts w:ascii="宋体" w:hAnsi="宋体" w:cs="宋体"/>
                <w:kern w:val="0"/>
                <w:szCs w:val="21"/>
                <w:highlight w:val="none"/>
              </w:rPr>
            </w:pPr>
            <w:r>
              <w:rPr>
                <w:rFonts w:hint="eastAsia" w:ascii="宋体" w:hAnsi="宋体" w:cs="宋体"/>
                <w:kern w:val="0"/>
                <w:szCs w:val="21"/>
                <w:highlight w:val="none"/>
              </w:rPr>
              <w:t>5</w:t>
            </w:r>
          </w:p>
        </w:tc>
        <w:tc>
          <w:tcPr>
            <w:tcW w:w="5405" w:type="dxa"/>
            <w:tcBorders>
              <w:top w:val="single" w:color="000000" w:sz="8" w:space="0"/>
              <w:left w:val="single" w:color="000000" w:sz="8" w:space="0"/>
              <w:bottom w:val="single" w:color="000000" w:sz="8" w:space="0"/>
              <w:right w:val="single" w:color="000000" w:sz="8" w:space="0"/>
            </w:tcBorders>
            <w:noWrap w:val="0"/>
            <w:vAlign w:val="center"/>
          </w:tcPr>
          <w:p>
            <w:pPr>
              <w:rPr>
                <w:highlight w:val="none"/>
              </w:rPr>
            </w:pPr>
            <w:r>
              <w:rPr>
                <w:rFonts w:hint="eastAsia"/>
                <w:highlight w:val="none"/>
              </w:rPr>
              <w:t>投标人存在《深圳市财政局政府采购供应商信用信息管理办法》（深财规〔2023〕3号）列明的一般行政处罚信息、一般违法失信记录信息的，本项不得分，不存在上述情形的本项得100分。投标人无需提供任何证明材料，评标过程中由工作人员向评审委员会提供有关供应商诚信查询结果。</w:t>
            </w:r>
          </w:p>
          <w:p>
            <w:pPr>
              <w:rPr>
                <w:rFonts w:ascii="宋体" w:hAnsi="宋体" w:cs="宋体"/>
                <w:kern w:val="0"/>
                <w:szCs w:val="21"/>
                <w:highlight w:val="none"/>
              </w:rPr>
            </w:pPr>
            <w:r>
              <w:rPr>
                <w:rFonts w:hint="eastAsia"/>
                <w:highlight w:val="none"/>
              </w:rPr>
              <w:t>查询渠道：通过“信用中国”（www.creditchina.gov.cn，下载信用信息报告）、“中国政府采购网”（www.ccgp.gov.cn）、“深圳市政府采购监管网”（http://zfcg.sz.gov.cn）查询供应商信用信息，信用信息以开标当日的查询结果为准。</w:t>
            </w:r>
          </w:p>
        </w:tc>
      </w:tr>
    </w:tbl>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p>
    <w:p>
      <w:pPr>
        <w:jc w:val="both"/>
        <w:outlineLvl w:val="3"/>
        <w:rPr>
          <w:rFonts w:hint="eastAsia" w:ascii="仿宋" w:hAnsi="仿宋" w:eastAsia="仿宋" w:cs="仿宋"/>
          <w:color w:val="auto"/>
          <w:sz w:val="28"/>
          <w:highlight w:val="none"/>
          <w:lang w:bidi="ar"/>
        </w:rPr>
      </w:pPr>
      <w:bookmarkStart w:id="13" w:name="_Toc21090"/>
      <w:bookmarkStart w:id="14" w:name="_Toc6782"/>
      <w:r>
        <w:rPr>
          <w:rFonts w:hint="eastAsia" w:ascii="CESI黑体-GB2312" w:hAnsi="CESI黑体-GB2312" w:eastAsia="CESI黑体-GB2312" w:cs="CESI黑体-GB2312"/>
          <w:color w:val="auto"/>
          <w:sz w:val="32"/>
          <w:szCs w:val="32"/>
          <w:highlight w:val="none"/>
          <w:lang w:bidi="ar"/>
        </w:rPr>
        <w:t>附件</w:t>
      </w:r>
      <w:r>
        <w:rPr>
          <w:rFonts w:hint="eastAsia" w:ascii="CESI黑体-GB2312" w:hAnsi="CESI黑体-GB2312" w:eastAsia="CESI黑体-GB2312" w:cs="CESI黑体-GB2312"/>
          <w:color w:val="auto"/>
          <w:sz w:val="32"/>
          <w:szCs w:val="32"/>
          <w:highlight w:val="none"/>
          <w:lang w:val="en-US" w:eastAsia="zh-CN" w:bidi="ar"/>
        </w:rPr>
        <w:t>1</w:t>
      </w:r>
      <w:r>
        <w:rPr>
          <w:rFonts w:hint="eastAsia" w:ascii="CESI黑体-GB2312" w:hAnsi="CESI黑体-GB2312" w:eastAsia="CESI黑体-GB2312" w:cs="CESI黑体-GB2312"/>
          <w:color w:val="auto"/>
          <w:sz w:val="32"/>
          <w:szCs w:val="32"/>
          <w:highlight w:val="none"/>
          <w:lang w:bidi="ar"/>
        </w:rPr>
        <w:t>：</w:t>
      </w:r>
      <w:bookmarkEnd w:id="13"/>
      <w:bookmarkEnd w:id="14"/>
    </w:p>
    <w:p>
      <w:pPr>
        <w:spacing w:line="267" w:lineRule="auto"/>
        <w:rPr>
          <w:color w:val="auto"/>
          <w:highlight w:val="none"/>
        </w:rPr>
      </w:pPr>
    </w:p>
    <w:p>
      <w:pPr>
        <w:pStyle w:val="3"/>
        <w:ind w:left="0" w:leftChars="0" w:firstLine="0" w:firstLineChars="0"/>
        <w:jc w:val="center"/>
        <w:rPr>
          <w:rFonts w:hint="eastAsia" w:ascii="方正小标宋_GBK" w:hAnsi="方正小标宋_GBK" w:eastAsia="方正小标宋_GBK" w:cs="方正小标宋_GBK"/>
          <w:b/>
          <w:bCs/>
          <w:sz w:val="44"/>
          <w:szCs w:val="44"/>
        </w:rPr>
      </w:pPr>
      <w:r>
        <w:rPr>
          <w:rFonts w:hint="eastAsia" w:ascii="方正小标宋_GBK" w:hAnsi="方正小标宋_GBK" w:eastAsia="方正小标宋_GBK" w:cs="方正小标宋_GBK"/>
          <w:b/>
          <w:bCs/>
          <w:color w:val="000000"/>
          <w:sz w:val="44"/>
          <w:szCs w:val="44"/>
          <w:lang w:val="en-US" w:eastAsia="zh-CN"/>
        </w:rPr>
        <w:t>《政府采购投标及履约承诺函》</w:t>
      </w:r>
    </w:p>
    <w:p>
      <w:pPr>
        <w:keepNext w:val="0"/>
        <w:keepLines w:val="0"/>
        <w:pageBreakBefore w:val="0"/>
        <w:widowControl w:val="0"/>
        <w:kinsoku/>
        <w:wordWrap/>
        <w:overflowPunct/>
        <w:topLinePunct w:val="0"/>
        <w:autoSpaceDE/>
        <w:autoSpaceDN/>
        <w:bidi w:val="0"/>
        <w:adjustRightInd w:val="0"/>
        <w:snapToGrid w:val="0"/>
        <w:spacing w:line="560" w:lineRule="exact"/>
        <w:ind w:left="0" w:right="0"/>
        <w:textAlignment w:val="auto"/>
        <w:rPr>
          <w:rFonts w:hint="eastAsia" w:ascii="CESI仿宋-GB2312" w:hAnsi="CESI仿宋-GB2312" w:eastAsia="CESI仿宋-GB2312" w:cs="CESI仿宋-GB2312"/>
          <w:color w:val="auto"/>
          <w:spacing w:val="-6"/>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left="0" w:right="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pacing w:val="-6"/>
          <w:sz w:val="32"/>
          <w:szCs w:val="32"/>
          <w:highlight w:val="none"/>
        </w:rPr>
        <w:t>深</w:t>
      </w:r>
      <w:r>
        <w:rPr>
          <w:rFonts w:hint="eastAsia" w:ascii="CESI仿宋-GB2312" w:hAnsi="CESI仿宋-GB2312" w:eastAsia="CESI仿宋-GB2312" w:cs="CESI仿宋-GB2312"/>
          <w:color w:val="auto"/>
          <w:spacing w:val="-4"/>
          <w:sz w:val="32"/>
          <w:szCs w:val="32"/>
          <w:highlight w:val="none"/>
        </w:rPr>
        <w:t>圳市海洋综合执法支队：</w:t>
      </w:r>
    </w:p>
    <w:p>
      <w:pPr>
        <w:keepNext w:val="0"/>
        <w:keepLines w:val="0"/>
        <w:pageBreakBefore w:val="0"/>
        <w:widowControl w:val="0"/>
        <w:kinsoku/>
        <w:wordWrap/>
        <w:overflowPunct/>
        <w:topLinePunct w:val="0"/>
        <w:autoSpaceDE/>
        <w:autoSpaceDN/>
        <w:bidi w:val="0"/>
        <w:adjustRightInd w:val="0"/>
        <w:snapToGrid w:val="0"/>
        <w:spacing w:line="560" w:lineRule="exact"/>
        <w:ind w:right="0" w:firstLine="644"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pacing w:val="1"/>
          <w:sz w:val="32"/>
          <w:szCs w:val="32"/>
          <w:highlight w:val="none"/>
        </w:rPr>
        <w:t>我单位深知本项目对贵单位的重要性和紧迫性，亦了解贵单位对廉政建设的相关要求，因此我单位</w:t>
      </w:r>
      <w:r>
        <w:rPr>
          <w:rFonts w:hint="eastAsia" w:ascii="CESI仿宋-GB2312" w:hAnsi="CESI仿宋-GB2312" w:eastAsia="CESI仿宋-GB2312" w:cs="CESI仿宋-GB2312"/>
          <w:color w:val="auto"/>
          <w:spacing w:val="-11"/>
          <w:sz w:val="32"/>
          <w:szCs w:val="32"/>
          <w:highlight w:val="none"/>
        </w:rPr>
        <w:t>承</w:t>
      </w:r>
      <w:r>
        <w:rPr>
          <w:rFonts w:hint="eastAsia" w:ascii="CESI仿宋-GB2312" w:hAnsi="CESI仿宋-GB2312" w:eastAsia="CESI仿宋-GB2312" w:cs="CESI仿宋-GB2312"/>
          <w:color w:val="auto"/>
          <w:spacing w:val="-7"/>
          <w:sz w:val="32"/>
          <w:szCs w:val="32"/>
          <w:highlight w:val="none"/>
        </w:rPr>
        <w:t>诺如下：</w:t>
      </w: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632"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pacing w:val="-2"/>
          <w:sz w:val="32"/>
          <w:szCs w:val="32"/>
          <w:highlight w:val="none"/>
        </w:rPr>
        <w:t>1.我单位本招标项目所提供的货物或服务未侵犯知识产</w:t>
      </w:r>
      <w:r>
        <w:rPr>
          <w:rFonts w:hint="eastAsia" w:ascii="CESI仿宋-GB2312" w:hAnsi="CESI仿宋-GB2312" w:eastAsia="CESI仿宋-GB2312" w:cs="CESI仿宋-GB2312"/>
          <w:color w:val="auto"/>
          <w:sz w:val="32"/>
          <w:szCs w:val="32"/>
          <w:highlight w:val="none"/>
        </w:rPr>
        <w:t>权。</w:t>
      </w: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636"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pacing w:val="-1"/>
          <w:sz w:val="32"/>
          <w:szCs w:val="32"/>
          <w:highlight w:val="none"/>
        </w:rPr>
        <w:t>2.我单位参与本项目投标前三年内，在经营活动中没有违法记录</w:t>
      </w:r>
      <w:r>
        <w:rPr>
          <w:rFonts w:hint="eastAsia" w:ascii="CESI仿宋-GB2312" w:hAnsi="CESI仿宋-GB2312" w:eastAsia="CESI仿宋-GB2312" w:cs="CESI仿宋-GB2312"/>
          <w:color w:val="auto"/>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60" w:lineRule="exact"/>
        <w:ind w:right="0" w:firstLine="704"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pacing w:val="16"/>
          <w:sz w:val="32"/>
          <w:szCs w:val="32"/>
          <w:highlight w:val="none"/>
        </w:rPr>
        <w:t>3.</w:t>
      </w:r>
      <w:r>
        <w:rPr>
          <w:rFonts w:hint="eastAsia" w:ascii="CESI仿宋-GB2312" w:hAnsi="CESI仿宋-GB2312" w:eastAsia="CESI仿宋-GB2312" w:cs="CESI仿宋-GB2312"/>
          <w:color w:val="auto"/>
          <w:spacing w:val="11"/>
          <w:sz w:val="32"/>
          <w:szCs w:val="32"/>
          <w:highlight w:val="none"/>
        </w:rPr>
        <w:t>我</w:t>
      </w:r>
      <w:r>
        <w:rPr>
          <w:rFonts w:hint="eastAsia" w:ascii="CESI仿宋-GB2312" w:hAnsi="CESI仿宋-GB2312" w:eastAsia="CESI仿宋-GB2312" w:cs="CESI仿宋-GB2312"/>
          <w:color w:val="auto"/>
          <w:spacing w:val="8"/>
          <w:sz w:val="32"/>
          <w:szCs w:val="32"/>
          <w:highlight w:val="none"/>
        </w:rPr>
        <w:t>单位参与本项目政府采购活动时不存在被有关部门禁止参与政府采购活动且在有效期内的</w:t>
      </w:r>
      <w:r>
        <w:rPr>
          <w:rFonts w:hint="eastAsia" w:ascii="CESI仿宋-GB2312" w:hAnsi="CESI仿宋-GB2312" w:eastAsia="CESI仿宋-GB2312" w:cs="CESI仿宋-GB2312"/>
          <w:color w:val="auto"/>
          <w:spacing w:val="-5"/>
          <w:sz w:val="32"/>
          <w:szCs w:val="32"/>
          <w:highlight w:val="none"/>
        </w:rPr>
        <w:t>情</w:t>
      </w:r>
      <w:r>
        <w:rPr>
          <w:rFonts w:hint="eastAsia" w:ascii="CESI仿宋-GB2312" w:hAnsi="CESI仿宋-GB2312" w:eastAsia="CESI仿宋-GB2312" w:cs="CESI仿宋-GB2312"/>
          <w:color w:val="auto"/>
          <w:spacing w:val="-4"/>
          <w:sz w:val="32"/>
          <w:szCs w:val="32"/>
          <w:highlight w:val="none"/>
        </w:rPr>
        <w:t>况。</w:t>
      </w: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636"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pacing w:val="-1"/>
          <w:sz w:val="32"/>
          <w:szCs w:val="32"/>
          <w:highlight w:val="none"/>
        </w:rPr>
        <w:t>4.我单位具备《中华人民共和国政府采购法》第二十二条第一</w:t>
      </w:r>
      <w:r>
        <w:rPr>
          <w:rFonts w:hint="eastAsia" w:ascii="CESI仿宋-GB2312" w:hAnsi="CESI仿宋-GB2312" w:eastAsia="CESI仿宋-GB2312" w:cs="CESI仿宋-GB2312"/>
          <w:color w:val="auto"/>
          <w:sz w:val="32"/>
          <w:szCs w:val="32"/>
          <w:highlight w:val="none"/>
        </w:rPr>
        <w:t>款的条件。</w:t>
      </w: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632"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pacing w:val="-2"/>
          <w:sz w:val="32"/>
          <w:szCs w:val="32"/>
          <w:highlight w:val="none"/>
        </w:rPr>
        <w:t>5.我单位未被列入失信被执行人、税收违法案件当事人名单、政府采购严重违法失信行为记录</w:t>
      </w:r>
      <w:r>
        <w:rPr>
          <w:rFonts w:hint="eastAsia" w:ascii="CESI仿宋-GB2312" w:hAnsi="CESI仿宋-GB2312" w:eastAsia="CESI仿宋-GB2312" w:cs="CESI仿宋-GB2312"/>
          <w:color w:val="auto"/>
          <w:spacing w:val="-1"/>
          <w:sz w:val="32"/>
          <w:szCs w:val="32"/>
          <w:highlight w:val="none"/>
        </w:rPr>
        <w:t>名</w:t>
      </w:r>
      <w:r>
        <w:rPr>
          <w:rFonts w:hint="eastAsia" w:ascii="CESI仿宋-GB2312" w:hAnsi="CESI仿宋-GB2312" w:eastAsia="CESI仿宋-GB2312" w:cs="CESI仿宋-GB2312"/>
          <w:color w:val="auto"/>
          <w:sz w:val="32"/>
          <w:szCs w:val="32"/>
          <w:highlight w:val="none"/>
        </w:rPr>
        <w:t>单。</w:t>
      </w:r>
    </w:p>
    <w:p>
      <w:pPr>
        <w:keepNext w:val="0"/>
        <w:keepLines w:val="0"/>
        <w:pageBreakBefore w:val="0"/>
        <w:widowControl w:val="0"/>
        <w:kinsoku/>
        <w:wordWrap/>
        <w:overflowPunct/>
        <w:topLinePunct w:val="0"/>
        <w:autoSpaceDE/>
        <w:autoSpaceDN/>
        <w:bidi w:val="0"/>
        <w:adjustRightInd w:val="0"/>
        <w:snapToGrid w:val="0"/>
        <w:spacing w:line="560" w:lineRule="exact"/>
        <w:ind w:right="0" w:firstLine="608"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pacing w:val="-8"/>
          <w:sz w:val="32"/>
          <w:szCs w:val="32"/>
          <w:highlight w:val="none"/>
        </w:rPr>
        <w:t>6.我单位参与该项目投标，严格遵循公平竞争的原则，不恶意串通，不妨碍其他投标人的竞争行</w:t>
      </w:r>
      <w:r>
        <w:rPr>
          <w:rFonts w:hint="eastAsia" w:ascii="CESI仿宋-GB2312" w:hAnsi="CESI仿宋-GB2312" w:eastAsia="CESI仿宋-GB2312" w:cs="CESI仿宋-GB2312"/>
          <w:color w:val="auto"/>
          <w:spacing w:val="-6"/>
          <w:sz w:val="32"/>
          <w:szCs w:val="32"/>
          <w:highlight w:val="none"/>
        </w:rPr>
        <w:t>为</w:t>
      </w:r>
      <w:r>
        <w:rPr>
          <w:rFonts w:hint="eastAsia" w:ascii="CESI仿宋-GB2312" w:hAnsi="CESI仿宋-GB2312" w:eastAsia="CESI仿宋-GB2312" w:cs="CESI仿宋-GB2312"/>
          <w:color w:val="auto"/>
          <w:sz w:val="32"/>
          <w:szCs w:val="32"/>
          <w:highlight w:val="none"/>
        </w:rPr>
        <w:t>，</w:t>
      </w:r>
      <w:r>
        <w:rPr>
          <w:rFonts w:hint="eastAsia" w:ascii="CESI仿宋-GB2312" w:hAnsi="CESI仿宋-GB2312" w:eastAsia="CESI仿宋-GB2312" w:cs="CESI仿宋-GB2312"/>
          <w:color w:val="auto"/>
          <w:spacing w:val="1"/>
          <w:sz w:val="32"/>
          <w:szCs w:val="32"/>
          <w:highlight w:val="none"/>
        </w:rPr>
        <w:t>不损害采购人或者其他投标人的合法权益。我单位已清楚，如违反上</w:t>
      </w:r>
      <w:r>
        <w:rPr>
          <w:rFonts w:hint="eastAsia" w:ascii="CESI仿宋-GB2312" w:hAnsi="CESI仿宋-GB2312" w:eastAsia="CESI仿宋-GB2312" w:cs="CESI仿宋-GB2312"/>
          <w:color w:val="auto"/>
          <w:sz w:val="32"/>
          <w:szCs w:val="32"/>
          <w:highlight w:val="none"/>
        </w:rPr>
        <w:t>述要求，将作投标无效处理，并自</w:t>
      </w:r>
      <w:r>
        <w:rPr>
          <w:rFonts w:hint="eastAsia" w:ascii="CESI仿宋-GB2312" w:hAnsi="CESI仿宋-GB2312" w:eastAsia="CESI仿宋-GB2312" w:cs="CESI仿宋-GB2312"/>
          <w:color w:val="auto"/>
          <w:spacing w:val="-2"/>
          <w:sz w:val="32"/>
          <w:szCs w:val="32"/>
          <w:highlight w:val="none"/>
        </w:rPr>
        <w:t>动放弃贵局自本项目</w:t>
      </w:r>
      <w:r>
        <w:rPr>
          <w:rFonts w:hint="eastAsia" w:ascii="CESI仿宋-GB2312" w:hAnsi="CESI仿宋-GB2312" w:eastAsia="CESI仿宋-GB2312" w:cs="CESI仿宋-GB2312"/>
          <w:color w:val="auto"/>
          <w:spacing w:val="-1"/>
          <w:sz w:val="32"/>
          <w:szCs w:val="32"/>
          <w:highlight w:val="none"/>
        </w:rPr>
        <w:t>起所有采购项目的投标事宜。</w:t>
      </w:r>
    </w:p>
    <w:p>
      <w:pPr>
        <w:keepNext w:val="0"/>
        <w:keepLines w:val="0"/>
        <w:pageBreakBefore w:val="0"/>
        <w:widowControl w:val="0"/>
        <w:kinsoku/>
        <w:wordWrap/>
        <w:overflowPunct/>
        <w:topLinePunct w:val="0"/>
        <w:autoSpaceDE/>
        <w:autoSpaceDN/>
        <w:bidi w:val="0"/>
        <w:adjustRightInd w:val="0"/>
        <w:snapToGrid w:val="0"/>
        <w:spacing w:line="560" w:lineRule="exact"/>
        <w:ind w:right="0" w:firstLine="644"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pacing w:val="1"/>
          <w:sz w:val="32"/>
          <w:szCs w:val="32"/>
          <w:highlight w:val="none"/>
        </w:rPr>
        <w:t>7.我单位如果中标，做到诚实守信，依照本项目招标文</w:t>
      </w:r>
      <w:r>
        <w:rPr>
          <w:rFonts w:hint="eastAsia" w:ascii="CESI仿宋-GB2312" w:hAnsi="CESI仿宋-GB2312" w:eastAsia="CESI仿宋-GB2312" w:cs="CESI仿宋-GB2312"/>
          <w:color w:val="auto"/>
          <w:sz w:val="32"/>
          <w:szCs w:val="32"/>
          <w:highlight w:val="none"/>
        </w:rPr>
        <w:t xml:space="preserve">件需求内容、签署的采购合同及本单位在投 </w:t>
      </w:r>
      <w:r>
        <w:rPr>
          <w:rFonts w:hint="eastAsia" w:ascii="CESI仿宋-GB2312" w:hAnsi="CESI仿宋-GB2312" w:eastAsia="CESI仿宋-GB2312" w:cs="CESI仿宋-GB2312"/>
          <w:color w:val="auto"/>
          <w:spacing w:val="-4"/>
          <w:sz w:val="32"/>
          <w:szCs w:val="32"/>
          <w:highlight w:val="none"/>
        </w:rPr>
        <w:t>标</w:t>
      </w:r>
      <w:r>
        <w:rPr>
          <w:rFonts w:hint="eastAsia" w:ascii="CESI仿宋-GB2312" w:hAnsi="CESI仿宋-GB2312" w:eastAsia="CESI仿宋-GB2312" w:cs="CESI仿宋-GB2312"/>
          <w:color w:val="auto"/>
          <w:spacing w:val="-2"/>
          <w:sz w:val="32"/>
          <w:szCs w:val="32"/>
          <w:highlight w:val="none"/>
        </w:rPr>
        <w:t>中所作的一切承诺履约。</w:t>
      </w:r>
    </w:p>
    <w:p>
      <w:pPr>
        <w:keepNext w:val="0"/>
        <w:keepLines w:val="0"/>
        <w:pageBreakBefore w:val="0"/>
        <w:widowControl w:val="0"/>
        <w:kinsoku/>
        <w:wordWrap/>
        <w:overflowPunct/>
        <w:topLinePunct w:val="0"/>
        <w:autoSpaceDE/>
        <w:autoSpaceDN/>
        <w:bidi w:val="0"/>
        <w:adjustRightInd w:val="0"/>
        <w:snapToGrid w:val="0"/>
        <w:spacing w:line="560" w:lineRule="exact"/>
        <w:ind w:right="0" w:firstLine="640"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8.我单位承诺本项目的报价不低于我单位的成本价，不恶意低价谋取中标；对本项目的报价负责，</w:t>
      </w:r>
      <w:r>
        <w:rPr>
          <w:rFonts w:hint="eastAsia" w:ascii="CESI仿宋-GB2312" w:hAnsi="CESI仿宋-GB2312" w:eastAsia="CESI仿宋-GB2312" w:cs="CESI仿宋-GB2312"/>
          <w:color w:val="auto"/>
          <w:spacing w:val="2"/>
          <w:sz w:val="32"/>
          <w:szCs w:val="32"/>
          <w:highlight w:val="none"/>
        </w:rPr>
        <w:t>中标后将严格按</w:t>
      </w:r>
      <w:r>
        <w:rPr>
          <w:rFonts w:hint="eastAsia" w:ascii="CESI仿宋-GB2312" w:hAnsi="CESI仿宋-GB2312" w:eastAsia="CESI仿宋-GB2312" w:cs="CESI仿宋-GB2312"/>
          <w:color w:val="auto"/>
          <w:spacing w:val="1"/>
          <w:sz w:val="32"/>
          <w:szCs w:val="32"/>
          <w:highlight w:val="none"/>
        </w:rPr>
        <w:t>照本项目招标文件需求、签署的采购合同及我单位在投标中所作的全部承诺履行。我单</w:t>
      </w:r>
      <w:r>
        <w:rPr>
          <w:rFonts w:hint="eastAsia" w:ascii="CESI仿宋-GB2312" w:hAnsi="CESI仿宋-GB2312" w:eastAsia="CESI仿宋-GB2312" w:cs="CESI仿宋-GB2312"/>
          <w:color w:val="auto"/>
          <w:spacing w:val="2"/>
          <w:sz w:val="32"/>
          <w:szCs w:val="32"/>
          <w:highlight w:val="none"/>
        </w:rPr>
        <w:t>位清楚，若我单位以“报价太</w:t>
      </w:r>
      <w:r>
        <w:rPr>
          <w:rFonts w:hint="eastAsia" w:ascii="CESI仿宋-GB2312" w:hAnsi="CESI仿宋-GB2312" w:eastAsia="CESI仿宋-GB2312" w:cs="CESI仿宋-GB2312"/>
          <w:color w:val="auto"/>
          <w:spacing w:val="1"/>
          <w:sz w:val="32"/>
          <w:szCs w:val="32"/>
          <w:highlight w:val="none"/>
        </w:rPr>
        <w:t>低而无法履约”为理由放弃本项目中标资格时，且愿意接受主管部门的处</w:t>
      </w:r>
      <w:r>
        <w:rPr>
          <w:rFonts w:hint="eastAsia" w:ascii="CESI仿宋-GB2312" w:hAnsi="CESI仿宋-GB2312" w:eastAsia="CESI仿宋-GB2312" w:cs="CESI仿宋-GB2312"/>
          <w:color w:val="auto"/>
          <w:spacing w:val="2"/>
          <w:sz w:val="32"/>
          <w:szCs w:val="32"/>
          <w:highlight w:val="none"/>
        </w:rPr>
        <w:t>理处罚。若我单位中标</w:t>
      </w:r>
      <w:r>
        <w:rPr>
          <w:rFonts w:hint="eastAsia" w:ascii="CESI仿宋-GB2312" w:hAnsi="CESI仿宋-GB2312" w:eastAsia="CESI仿宋-GB2312" w:cs="CESI仿宋-GB2312"/>
          <w:color w:val="auto"/>
          <w:spacing w:val="1"/>
          <w:sz w:val="32"/>
          <w:szCs w:val="32"/>
          <w:highlight w:val="none"/>
        </w:rPr>
        <w:t>本项目，我单位的报价明显低于其他投标人的报价时，我单位清楚，本项目将成</w:t>
      </w:r>
      <w:r>
        <w:rPr>
          <w:rFonts w:hint="eastAsia" w:ascii="CESI仿宋-GB2312" w:hAnsi="CESI仿宋-GB2312" w:eastAsia="CESI仿宋-GB2312" w:cs="CESI仿宋-GB2312"/>
          <w:color w:val="auto"/>
          <w:spacing w:val="2"/>
          <w:sz w:val="32"/>
          <w:szCs w:val="32"/>
          <w:highlight w:val="none"/>
        </w:rPr>
        <w:t>为重点监管、重点验收项</w:t>
      </w:r>
      <w:r>
        <w:rPr>
          <w:rFonts w:hint="eastAsia" w:ascii="CESI仿宋-GB2312" w:hAnsi="CESI仿宋-GB2312" w:eastAsia="CESI仿宋-GB2312" w:cs="CESI仿宋-GB2312"/>
          <w:color w:val="auto"/>
          <w:spacing w:val="1"/>
          <w:sz w:val="32"/>
          <w:szCs w:val="32"/>
          <w:highlight w:val="none"/>
        </w:rPr>
        <w:t>目，我单位将按时保质保量完成，并全力配合有关监管、验收工作；若我单位</w:t>
      </w:r>
      <w:r>
        <w:rPr>
          <w:rFonts w:hint="eastAsia" w:ascii="CESI仿宋-GB2312" w:hAnsi="CESI仿宋-GB2312" w:eastAsia="CESI仿宋-GB2312" w:cs="CESI仿宋-GB2312"/>
          <w:color w:val="auto"/>
          <w:sz w:val="32"/>
          <w:szCs w:val="32"/>
          <w:highlight w:val="none"/>
        </w:rPr>
        <w:t xml:space="preserve"> </w:t>
      </w:r>
      <w:r>
        <w:rPr>
          <w:rFonts w:hint="eastAsia" w:ascii="CESI仿宋-GB2312" w:hAnsi="CESI仿宋-GB2312" w:eastAsia="CESI仿宋-GB2312" w:cs="CESI仿宋-GB2312"/>
          <w:color w:val="auto"/>
          <w:spacing w:val="-2"/>
          <w:sz w:val="32"/>
          <w:szCs w:val="32"/>
          <w:highlight w:val="none"/>
        </w:rPr>
        <w:t>未按上述</w:t>
      </w:r>
      <w:r>
        <w:rPr>
          <w:rFonts w:hint="eastAsia" w:ascii="CESI仿宋-GB2312" w:hAnsi="CESI仿宋-GB2312" w:eastAsia="CESI仿宋-GB2312" w:cs="CESI仿宋-GB2312"/>
          <w:color w:val="auto"/>
          <w:spacing w:val="-1"/>
          <w:sz w:val="32"/>
          <w:szCs w:val="32"/>
          <w:highlight w:val="none"/>
        </w:rPr>
        <w:t>要求履约，我单位愿意接受主管部门的处理处罚。</w:t>
      </w:r>
    </w:p>
    <w:p>
      <w:pPr>
        <w:keepNext w:val="0"/>
        <w:keepLines w:val="0"/>
        <w:pageBreakBefore w:val="0"/>
        <w:widowControl w:val="0"/>
        <w:kinsoku/>
        <w:wordWrap/>
        <w:overflowPunct/>
        <w:topLinePunct w:val="0"/>
        <w:autoSpaceDE/>
        <w:autoSpaceDN/>
        <w:bidi w:val="0"/>
        <w:adjustRightInd w:val="0"/>
        <w:snapToGrid w:val="0"/>
        <w:spacing w:line="560" w:lineRule="exact"/>
        <w:ind w:right="0" w:firstLine="644"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pacing w:val="1"/>
          <w:sz w:val="32"/>
          <w:szCs w:val="32"/>
          <w:highlight w:val="none"/>
        </w:rPr>
        <w:t>9.我单位已认真核实了投标文件的全部内容，所有资料均为真实资料</w:t>
      </w:r>
      <w:r>
        <w:rPr>
          <w:rFonts w:hint="eastAsia" w:ascii="CESI仿宋-GB2312" w:hAnsi="CESI仿宋-GB2312" w:eastAsia="CESI仿宋-GB2312" w:cs="CESI仿宋-GB2312"/>
          <w:color w:val="auto"/>
          <w:sz w:val="32"/>
          <w:szCs w:val="32"/>
          <w:highlight w:val="none"/>
        </w:rPr>
        <w:t xml:space="preserve">。我公司对投标文件中全部投 </w:t>
      </w:r>
      <w:r>
        <w:rPr>
          <w:rFonts w:hint="eastAsia" w:ascii="CESI仿宋-GB2312" w:hAnsi="CESI仿宋-GB2312" w:eastAsia="CESI仿宋-GB2312" w:cs="CESI仿宋-GB2312"/>
          <w:color w:val="auto"/>
          <w:spacing w:val="2"/>
          <w:sz w:val="32"/>
          <w:szCs w:val="32"/>
          <w:highlight w:val="none"/>
        </w:rPr>
        <w:t>标资料的真实性负责，如被证实我公司的投</w:t>
      </w:r>
      <w:r>
        <w:rPr>
          <w:rFonts w:hint="eastAsia" w:ascii="CESI仿宋-GB2312" w:hAnsi="CESI仿宋-GB2312" w:eastAsia="CESI仿宋-GB2312" w:cs="CESI仿宋-GB2312"/>
          <w:color w:val="auto"/>
          <w:spacing w:val="1"/>
          <w:sz w:val="32"/>
          <w:szCs w:val="32"/>
          <w:highlight w:val="none"/>
        </w:rPr>
        <w:t>标文件中存在虚假资料的，则视为我单位隐瞒真实情况、提</w:t>
      </w:r>
      <w:r>
        <w:rPr>
          <w:rFonts w:hint="eastAsia" w:ascii="CESI仿宋-GB2312" w:hAnsi="CESI仿宋-GB2312" w:eastAsia="CESI仿宋-GB2312" w:cs="CESI仿宋-GB2312"/>
          <w:color w:val="auto"/>
          <w:spacing w:val="-2"/>
          <w:sz w:val="32"/>
          <w:szCs w:val="32"/>
          <w:highlight w:val="none"/>
        </w:rPr>
        <w:t>供虚</w:t>
      </w:r>
      <w:r>
        <w:rPr>
          <w:rFonts w:hint="eastAsia" w:ascii="CESI仿宋-GB2312" w:hAnsi="CESI仿宋-GB2312" w:eastAsia="CESI仿宋-GB2312" w:cs="CESI仿宋-GB2312"/>
          <w:color w:val="auto"/>
          <w:spacing w:val="-1"/>
          <w:sz w:val="32"/>
          <w:szCs w:val="32"/>
          <w:highlight w:val="none"/>
        </w:rPr>
        <w:t>假资料，我单位愿意接受主管部门作出的行政处罚。</w:t>
      </w:r>
    </w:p>
    <w:p>
      <w:pPr>
        <w:keepNext w:val="0"/>
        <w:keepLines w:val="0"/>
        <w:pageBreakBefore w:val="0"/>
        <w:widowControl w:val="0"/>
        <w:kinsoku/>
        <w:wordWrap/>
        <w:overflowPunct/>
        <w:topLinePunct w:val="0"/>
        <w:autoSpaceDE/>
        <w:autoSpaceDN/>
        <w:bidi w:val="0"/>
        <w:adjustRightInd w:val="0"/>
        <w:snapToGrid w:val="0"/>
        <w:spacing w:line="560" w:lineRule="exact"/>
        <w:ind w:left="0" w:right="0" w:firstLine="624"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pacing w:val="-4"/>
          <w:sz w:val="32"/>
          <w:szCs w:val="32"/>
          <w:highlight w:val="none"/>
        </w:rPr>
        <w:t>10.我单位</w:t>
      </w:r>
      <w:r>
        <w:rPr>
          <w:rFonts w:hint="eastAsia" w:ascii="CESI仿宋-GB2312" w:hAnsi="CESI仿宋-GB2312" w:eastAsia="CESI仿宋-GB2312" w:cs="CESI仿宋-GB2312"/>
          <w:color w:val="auto"/>
          <w:spacing w:val="-3"/>
          <w:sz w:val="32"/>
          <w:szCs w:val="32"/>
          <w:highlight w:val="none"/>
        </w:rPr>
        <w:t>承</w:t>
      </w:r>
      <w:r>
        <w:rPr>
          <w:rFonts w:hint="eastAsia" w:ascii="CESI仿宋-GB2312" w:hAnsi="CESI仿宋-GB2312" w:eastAsia="CESI仿宋-GB2312" w:cs="CESI仿宋-GB2312"/>
          <w:color w:val="auto"/>
          <w:spacing w:val="-2"/>
          <w:sz w:val="32"/>
          <w:szCs w:val="32"/>
          <w:highlight w:val="none"/>
        </w:rPr>
        <w:t>诺不非法转包、分包。</w:t>
      </w:r>
    </w:p>
    <w:p>
      <w:pPr>
        <w:keepNext w:val="0"/>
        <w:keepLines w:val="0"/>
        <w:pageBreakBefore w:val="0"/>
        <w:widowControl w:val="0"/>
        <w:kinsoku/>
        <w:wordWrap/>
        <w:overflowPunct/>
        <w:topLinePunct w:val="0"/>
        <w:autoSpaceDE/>
        <w:autoSpaceDN/>
        <w:bidi w:val="0"/>
        <w:adjustRightInd w:val="0"/>
        <w:snapToGrid w:val="0"/>
        <w:spacing w:line="560" w:lineRule="exact"/>
        <w:ind w:right="0" w:firstLine="656" w:firstLineChars="200"/>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pacing w:val="4"/>
          <w:sz w:val="32"/>
          <w:szCs w:val="32"/>
          <w:highlight w:val="none"/>
        </w:rPr>
        <w:t>11.我</w:t>
      </w:r>
      <w:r>
        <w:rPr>
          <w:rFonts w:hint="eastAsia" w:ascii="CESI仿宋-GB2312" w:hAnsi="CESI仿宋-GB2312" w:eastAsia="CESI仿宋-GB2312" w:cs="CESI仿宋-GB2312"/>
          <w:color w:val="auto"/>
          <w:spacing w:val="2"/>
          <w:sz w:val="32"/>
          <w:szCs w:val="32"/>
          <w:highlight w:val="none"/>
        </w:rPr>
        <w:t>单位承诺未参与本项目的采购需求、技术指标、商务指标等内容的设定，不存在对其他投标</w:t>
      </w:r>
      <w:r>
        <w:rPr>
          <w:rFonts w:hint="eastAsia" w:ascii="CESI仿宋-GB2312" w:hAnsi="CESI仿宋-GB2312" w:eastAsia="CESI仿宋-GB2312" w:cs="CESI仿宋-GB2312"/>
          <w:color w:val="auto"/>
          <w:spacing w:val="-6"/>
          <w:sz w:val="32"/>
          <w:szCs w:val="32"/>
          <w:highlight w:val="none"/>
        </w:rPr>
        <w:t>单</w:t>
      </w:r>
      <w:r>
        <w:rPr>
          <w:rFonts w:hint="eastAsia" w:ascii="CESI仿宋-GB2312" w:hAnsi="CESI仿宋-GB2312" w:eastAsia="CESI仿宋-GB2312" w:cs="CESI仿宋-GB2312"/>
          <w:color w:val="auto"/>
          <w:spacing w:val="-4"/>
          <w:sz w:val="32"/>
          <w:szCs w:val="32"/>
          <w:highlight w:val="none"/>
        </w:rPr>
        <w:t>位</w:t>
      </w:r>
      <w:r>
        <w:rPr>
          <w:rFonts w:hint="eastAsia" w:ascii="CESI仿宋-GB2312" w:hAnsi="CESI仿宋-GB2312" w:eastAsia="CESI仿宋-GB2312" w:cs="CESI仿宋-GB2312"/>
          <w:color w:val="auto"/>
          <w:spacing w:val="-3"/>
          <w:sz w:val="32"/>
          <w:szCs w:val="32"/>
          <w:highlight w:val="none"/>
        </w:rPr>
        <w:t>不公平的行为。</w:t>
      </w:r>
    </w:p>
    <w:p>
      <w:pPr>
        <w:keepNext w:val="0"/>
        <w:keepLines w:val="0"/>
        <w:pageBreakBefore w:val="0"/>
        <w:widowControl w:val="0"/>
        <w:kinsoku/>
        <w:wordWrap/>
        <w:overflowPunct/>
        <w:topLinePunct w:val="0"/>
        <w:autoSpaceDE/>
        <w:autoSpaceDN/>
        <w:bidi w:val="0"/>
        <w:adjustRightInd w:val="0"/>
        <w:snapToGrid w:val="0"/>
        <w:spacing w:line="560" w:lineRule="exact"/>
        <w:ind w:right="0" w:firstLine="656" w:firstLineChars="200"/>
        <w:textAlignment w:val="auto"/>
        <w:rPr>
          <w:rFonts w:hint="eastAsia" w:ascii="CESI仿宋-GB2312" w:hAnsi="CESI仿宋-GB2312" w:eastAsia="CESI仿宋-GB2312" w:cs="CESI仿宋-GB2312"/>
          <w:color w:val="auto"/>
          <w:spacing w:val="4"/>
          <w:sz w:val="32"/>
          <w:szCs w:val="32"/>
          <w:highlight w:val="none"/>
        </w:rPr>
      </w:pPr>
      <w:r>
        <w:rPr>
          <w:rFonts w:hint="eastAsia" w:ascii="CESI仿宋-GB2312" w:hAnsi="CESI仿宋-GB2312" w:eastAsia="CESI仿宋-GB2312" w:cs="CESI仿宋-GB2312"/>
          <w:color w:val="auto"/>
          <w:spacing w:val="4"/>
          <w:sz w:val="32"/>
          <w:szCs w:val="32"/>
          <w:highlight w:val="none"/>
        </w:rPr>
        <w:t>1</w:t>
      </w:r>
      <w:r>
        <w:rPr>
          <w:rFonts w:hint="eastAsia" w:ascii="CESI仿宋-GB2312" w:hAnsi="CESI仿宋-GB2312" w:eastAsia="CESI仿宋-GB2312" w:cs="CESI仿宋-GB2312"/>
          <w:color w:val="auto"/>
          <w:spacing w:val="4"/>
          <w:sz w:val="32"/>
          <w:szCs w:val="32"/>
          <w:highlight w:val="none"/>
          <w:lang w:val="en-US" w:eastAsia="zh-CN"/>
        </w:rPr>
        <w:t>2</w:t>
      </w:r>
      <w:r>
        <w:rPr>
          <w:rFonts w:hint="eastAsia" w:ascii="CESI仿宋-GB2312" w:hAnsi="CESI仿宋-GB2312" w:eastAsia="CESI仿宋-GB2312" w:cs="CESI仿宋-GB2312"/>
          <w:color w:val="auto"/>
          <w:spacing w:val="4"/>
          <w:sz w:val="32"/>
          <w:szCs w:val="32"/>
          <w:highlight w:val="none"/>
        </w:rPr>
        <w:t>.我单位承诺不对采购人进行贿赂，进行有偿报答。</w:t>
      </w:r>
    </w:p>
    <w:p>
      <w:pPr>
        <w:keepNext w:val="0"/>
        <w:keepLines w:val="0"/>
        <w:pageBreakBefore w:val="0"/>
        <w:widowControl w:val="0"/>
        <w:kinsoku/>
        <w:wordWrap/>
        <w:overflowPunct/>
        <w:topLinePunct w:val="0"/>
        <w:autoSpaceDE/>
        <w:autoSpaceDN/>
        <w:bidi w:val="0"/>
        <w:adjustRightInd w:val="0"/>
        <w:snapToGrid w:val="0"/>
        <w:spacing w:line="560" w:lineRule="exact"/>
        <w:ind w:right="0" w:firstLine="656" w:firstLineChars="200"/>
        <w:textAlignment w:val="auto"/>
        <w:rPr>
          <w:rFonts w:hint="eastAsia" w:ascii="CESI仿宋-GB2312" w:hAnsi="CESI仿宋-GB2312" w:eastAsia="CESI仿宋-GB2312" w:cs="CESI仿宋-GB2312"/>
          <w:color w:val="auto"/>
          <w:spacing w:val="4"/>
          <w:sz w:val="32"/>
          <w:szCs w:val="32"/>
          <w:highlight w:val="none"/>
        </w:rPr>
      </w:pPr>
      <w:r>
        <w:rPr>
          <w:rFonts w:hint="eastAsia" w:ascii="CESI仿宋-GB2312" w:hAnsi="CESI仿宋-GB2312" w:eastAsia="CESI仿宋-GB2312" w:cs="CESI仿宋-GB2312"/>
          <w:color w:val="auto"/>
          <w:spacing w:val="4"/>
          <w:sz w:val="32"/>
          <w:szCs w:val="32"/>
          <w:highlight w:val="none"/>
        </w:rPr>
        <w:t>1</w:t>
      </w:r>
      <w:r>
        <w:rPr>
          <w:rFonts w:hint="eastAsia" w:ascii="CESI仿宋-GB2312" w:hAnsi="CESI仿宋-GB2312" w:eastAsia="CESI仿宋-GB2312" w:cs="CESI仿宋-GB2312"/>
          <w:color w:val="auto"/>
          <w:spacing w:val="4"/>
          <w:sz w:val="32"/>
          <w:szCs w:val="32"/>
          <w:highlight w:val="none"/>
          <w:lang w:val="en-US" w:eastAsia="zh-CN"/>
        </w:rPr>
        <w:t>3</w:t>
      </w:r>
      <w:r>
        <w:rPr>
          <w:rFonts w:hint="eastAsia" w:ascii="CESI仿宋-GB2312" w:hAnsi="CESI仿宋-GB2312" w:eastAsia="CESI仿宋-GB2312" w:cs="CESI仿宋-GB2312"/>
          <w:color w:val="auto"/>
          <w:spacing w:val="4"/>
          <w:sz w:val="32"/>
          <w:szCs w:val="32"/>
          <w:highlight w:val="none"/>
        </w:rPr>
        <w:t>.我单位承诺不对采购人进行任何形式的利益输送。</w:t>
      </w:r>
    </w:p>
    <w:p>
      <w:pPr>
        <w:keepNext w:val="0"/>
        <w:keepLines w:val="0"/>
        <w:pageBreakBefore w:val="0"/>
        <w:widowControl w:val="0"/>
        <w:kinsoku/>
        <w:wordWrap/>
        <w:overflowPunct/>
        <w:topLinePunct w:val="0"/>
        <w:autoSpaceDE/>
        <w:autoSpaceDN/>
        <w:bidi w:val="0"/>
        <w:adjustRightInd w:val="0"/>
        <w:snapToGrid w:val="0"/>
        <w:spacing w:line="560" w:lineRule="exact"/>
        <w:ind w:right="0" w:firstLine="656" w:firstLineChars="200"/>
        <w:textAlignment w:val="auto"/>
        <w:rPr>
          <w:rFonts w:hint="eastAsia" w:ascii="CESI仿宋-GB2312" w:hAnsi="CESI仿宋-GB2312" w:eastAsia="CESI仿宋-GB2312" w:cs="CESI仿宋-GB2312"/>
          <w:color w:val="auto"/>
          <w:spacing w:val="4"/>
          <w:sz w:val="32"/>
          <w:szCs w:val="32"/>
          <w:highlight w:val="none"/>
        </w:rPr>
      </w:pPr>
      <w:r>
        <w:rPr>
          <w:rFonts w:hint="eastAsia" w:ascii="CESI仿宋-GB2312" w:hAnsi="CESI仿宋-GB2312" w:eastAsia="CESI仿宋-GB2312" w:cs="CESI仿宋-GB2312"/>
          <w:color w:val="auto"/>
          <w:spacing w:val="4"/>
          <w:sz w:val="32"/>
          <w:szCs w:val="32"/>
          <w:highlight w:val="none"/>
        </w:rPr>
        <w:t>1</w:t>
      </w:r>
      <w:r>
        <w:rPr>
          <w:rFonts w:hint="eastAsia" w:ascii="CESI仿宋-GB2312" w:hAnsi="CESI仿宋-GB2312" w:eastAsia="CESI仿宋-GB2312" w:cs="CESI仿宋-GB2312"/>
          <w:color w:val="auto"/>
          <w:spacing w:val="4"/>
          <w:sz w:val="32"/>
          <w:szCs w:val="32"/>
          <w:highlight w:val="none"/>
          <w:lang w:val="en-US" w:eastAsia="zh-CN"/>
        </w:rPr>
        <w:t>4</w:t>
      </w:r>
      <w:r>
        <w:rPr>
          <w:rFonts w:hint="eastAsia" w:ascii="CESI仿宋-GB2312" w:hAnsi="CESI仿宋-GB2312" w:eastAsia="CESI仿宋-GB2312" w:cs="CESI仿宋-GB2312"/>
          <w:color w:val="auto"/>
          <w:spacing w:val="4"/>
          <w:sz w:val="32"/>
          <w:szCs w:val="32"/>
          <w:highlight w:val="none"/>
        </w:rPr>
        <w:t>.我单位承诺不对采购人进行宴请和娱乐等消费活动。</w:t>
      </w:r>
    </w:p>
    <w:p>
      <w:pPr>
        <w:keepNext w:val="0"/>
        <w:keepLines w:val="0"/>
        <w:pageBreakBefore w:val="0"/>
        <w:widowControl w:val="0"/>
        <w:kinsoku/>
        <w:wordWrap/>
        <w:overflowPunct/>
        <w:topLinePunct w:val="0"/>
        <w:autoSpaceDE/>
        <w:autoSpaceDN/>
        <w:bidi w:val="0"/>
        <w:adjustRightInd w:val="0"/>
        <w:snapToGrid w:val="0"/>
        <w:spacing w:line="560" w:lineRule="exact"/>
        <w:ind w:right="0" w:firstLine="656" w:firstLineChars="200"/>
        <w:textAlignment w:val="auto"/>
        <w:rPr>
          <w:rFonts w:hint="eastAsia" w:ascii="CESI仿宋-GB2312" w:hAnsi="CESI仿宋-GB2312" w:eastAsia="CESI仿宋-GB2312" w:cs="CESI仿宋-GB2312"/>
          <w:color w:val="auto"/>
          <w:spacing w:val="4"/>
          <w:sz w:val="32"/>
          <w:szCs w:val="32"/>
          <w:highlight w:val="none"/>
        </w:rPr>
      </w:pPr>
      <w:r>
        <w:rPr>
          <w:rFonts w:hint="eastAsia" w:ascii="CESI仿宋-GB2312" w:hAnsi="CESI仿宋-GB2312" w:eastAsia="CESI仿宋-GB2312" w:cs="CESI仿宋-GB2312"/>
          <w:color w:val="auto"/>
          <w:spacing w:val="4"/>
          <w:sz w:val="32"/>
          <w:szCs w:val="32"/>
          <w:highlight w:val="none"/>
        </w:rPr>
        <w:t>1</w:t>
      </w:r>
      <w:r>
        <w:rPr>
          <w:rFonts w:hint="eastAsia" w:ascii="CESI仿宋-GB2312" w:hAnsi="CESI仿宋-GB2312" w:eastAsia="CESI仿宋-GB2312" w:cs="CESI仿宋-GB2312"/>
          <w:color w:val="auto"/>
          <w:spacing w:val="4"/>
          <w:sz w:val="32"/>
          <w:szCs w:val="32"/>
          <w:highlight w:val="none"/>
          <w:lang w:val="en-US" w:eastAsia="zh-CN"/>
        </w:rPr>
        <w:t>5</w:t>
      </w:r>
      <w:r>
        <w:rPr>
          <w:rFonts w:hint="eastAsia" w:ascii="CESI仿宋-GB2312" w:hAnsi="CESI仿宋-GB2312" w:eastAsia="CESI仿宋-GB2312" w:cs="CESI仿宋-GB2312"/>
          <w:color w:val="auto"/>
          <w:spacing w:val="4"/>
          <w:sz w:val="32"/>
          <w:szCs w:val="32"/>
          <w:highlight w:val="none"/>
        </w:rPr>
        <w:t>.我单位承诺不对采购人进行赠送各种礼品、现金、有价证券、中介费、好处费等行为。以上承诺，如有违反，愿依照国家相关法律处理，并承担由此给采购人带来的损失。</w:t>
      </w:r>
    </w:p>
    <w:p>
      <w:pPr>
        <w:keepNext w:val="0"/>
        <w:keepLines w:val="0"/>
        <w:pageBreakBefore w:val="0"/>
        <w:widowControl w:val="0"/>
        <w:kinsoku/>
        <w:wordWrap/>
        <w:overflowPunct/>
        <w:topLinePunct w:val="0"/>
        <w:autoSpaceDE/>
        <w:autoSpaceDN/>
        <w:bidi w:val="0"/>
        <w:adjustRightInd w:val="0"/>
        <w:snapToGrid w:val="0"/>
        <w:spacing w:line="560" w:lineRule="exact"/>
        <w:ind w:left="0" w:right="0"/>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left="0" w:right="0"/>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left="0" w:right="0"/>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left="0" w:right="0"/>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left="0" w:right="0"/>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widowControl w:val="0"/>
        <w:kinsoku/>
        <w:wordWrap w:val="0"/>
        <w:overflowPunct/>
        <w:topLinePunct w:val="0"/>
        <w:autoSpaceDE/>
        <w:autoSpaceDN/>
        <w:bidi w:val="0"/>
        <w:adjustRightInd w:val="0"/>
        <w:snapToGrid w:val="0"/>
        <w:spacing w:line="560" w:lineRule="exact"/>
        <w:ind w:left="0" w:right="0"/>
        <w:jc w:val="right"/>
        <w:textAlignment w:val="auto"/>
        <w:rPr>
          <w:rFonts w:hint="default"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pacing w:val="24"/>
          <w:position w:val="17"/>
          <w:sz w:val="32"/>
          <w:szCs w:val="32"/>
          <w:highlight w:val="none"/>
        </w:rPr>
        <w:t>承</w:t>
      </w:r>
      <w:r>
        <w:rPr>
          <w:rFonts w:hint="eastAsia" w:ascii="CESI仿宋-GB2312" w:hAnsi="CESI仿宋-GB2312" w:eastAsia="CESI仿宋-GB2312" w:cs="CESI仿宋-GB2312"/>
          <w:color w:val="auto"/>
          <w:spacing w:val="18"/>
          <w:position w:val="17"/>
          <w:sz w:val="32"/>
          <w:szCs w:val="32"/>
          <w:highlight w:val="none"/>
        </w:rPr>
        <w:t>诺单位</w:t>
      </w:r>
      <w:r>
        <w:rPr>
          <w:rFonts w:hint="eastAsia" w:ascii="CESI仿宋-GB2312" w:hAnsi="CESI仿宋-GB2312" w:eastAsia="CESI仿宋-GB2312" w:cs="CESI仿宋-GB2312"/>
          <w:color w:val="auto"/>
          <w:spacing w:val="18"/>
          <w:position w:val="17"/>
          <w:sz w:val="32"/>
          <w:szCs w:val="32"/>
          <w:highlight w:val="none"/>
          <w:lang w:eastAsia="zh-CN"/>
        </w:rPr>
        <w:t>（</w:t>
      </w:r>
      <w:r>
        <w:rPr>
          <w:rFonts w:hint="eastAsia" w:ascii="CESI仿宋-GB2312" w:hAnsi="CESI仿宋-GB2312" w:eastAsia="CESI仿宋-GB2312" w:cs="CESI仿宋-GB2312"/>
          <w:color w:val="auto"/>
          <w:spacing w:val="18"/>
          <w:position w:val="17"/>
          <w:sz w:val="32"/>
          <w:szCs w:val="32"/>
          <w:highlight w:val="none"/>
        </w:rPr>
        <w:t>公司</w:t>
      </w:r>
      <w:r>
        <w:rPr>
          <w:rFonts w:hint="eastAsia" w:ascii="CESI仿宋-GB2312" w:hAnsi="CESI仿宋-GB2312" w:eastAsia="CESI仿宋-GB2312" w:cs="CESI仿宋-GB2312"/>
          <w:color w:val="auto"/>
          <w:spacing w:val="18"/>
          <w:position w:val="17"/>
          <w:sz w:val="32"/>
          <w:szCs w:val="32"/>
          <w:highlight w:val="none"/>
          <w:lang w:eastAsia="zh-CN"/>
        </w:rPr>
        <w:t>）</w:t>
      </w:r>
      <w:r>
        <w:rPr>
          <w:rFonts w:hint="eastAsia" w:ascii="CESI仿宋-GB2312" w:hAnsi="CESI仿宋-GB2312" w:eastAsia="CESI仿宋-GB2312" w:cs="CESI仿宋-GB2312"/>
          <w:color w:val="auto"/>
          <w:spacing w:val="18"/>
          <w:position w:val="17"/>
          <w:sz w:val="32"/>
          <w:szCs w:val="32"/>
          <w:highlight w:val="none"/>
        </w:rPr>
        <w:t>盖章：</w:t>
      </w:r>
      <w:r>
        <w:rPr>
          <w:rFonts w:hint="eastAsia" w:ascii="CESI仿宋-GB2312" w:hAnsi="CESI仿宋-GB2312" w:eastAsia="CESI仿宋-GB2312" w:cs="CESI仿宋-GB2312"/>
          <w:color w:val="auto"/>
          <w:spacing w:val="18"/>
          <w:position w:val="17"/>
          <w:sz w:val="32"/>
          <w:szCs w:val="32"/>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val="0"/>
        <w:snapToGrid w:val="0"/>
        <w:spacing w:line="560" w:lineRule="exact"/>
        <w:ind w:left="0" w:right="0"/>
        <w:jc w:val="right"/>
        <w:textAlignment w:val="auto"/>
        <w:rPr>
          <w:rFonts w:hint="default" w:ascii="CESI仿宋-GB2312" w:hAnsi="CESI仿宋-GB2312" w:eastAsia="CESI仿宋-GB2312" w:cs="CESI仿宋-GB2312"/>
          <w:color w:val="auto"/>
          <w:sz w:val="32"/>
          <w:szCs w:val="32"/>
          <w:highlight w:val="none"/>
          <w:lang w:val="en-US" w:eastAsia="zh-CN"/>
        </w:rPr>
      </w:pPr>
      <w:r>
        <w:rPr>
          <w:rFonts w:hint="eastAsia" w:ascii="CESI仿宋-GB2312" w:hAnsi="CESI仿宋-GB2312" w:eastAsia="CESI仿宋-GB2312" w:cs="CESI仿宋-GB2312"/>
          <w:color w:val="auto"/>
          <w:spacing w:val="4"/>
          <w:sz w:val="32"/>
          <w:szCs w:val="32"/>
          <w:highlight w:val="none"/>
        </w:rPr>
        <w:t xml:space="preserve">年  </w:t>
      </w:r>
      <w:r>
        <w:rPr>
          <w:rFonts w:hint="eastAsia" w:ascii="CESI仿宋-GB2312" w:hAnsi="CESI仿宋-GB2312" w:eastAsia="CESI仿宋-GB2312" w:cs="CESI仿宋-GB2312"/>
          <w:color w:val="auto"/>
          <w:spacing w:val="3"/>
          <w:sz w:val="32"/>
          <w:szCs w:val="32"/>
          <w:highlight w:val="none"/>
        </w:rPr>
        <w:t xml:space="preserve"> </w:t>
      </w:r>
      <w:r>
        <w:rPr>
          <w:rFonts w:hint="eastAsia" w:ascii="CESI仿宋-GB2312" w:hAnsi="CESI仿宋-GB2312" w:eastAsia="CESI仿宋-GB2312" w:cs="CESI仿宋-GB2312"/>
          <w:color w:val="auto"/>
          <w:spacing w:val="2"/>
          <w:sz w:val="32"/>
          <w:szCs w:val="32"/>
          <w:highlight w:val="none"/>
        </w:rPr>
        <w:t>月   日</w:t>
      </w:r>
      <w:r>
        <w:rPr>
          <w:rFonts w:hint="eastAsia" w:ascii="CESI仿宋-GB2312" w:hAnsi="CESI仿宋-GB2312" w:eastAsia="CESI仿宋-GB2312" w:cs="CESI仿宋-GB2312"/>
          <w:color w:val="auto"/>
          <w:spacing w:val="2"/>
          <w:sz w:val="32"/>
          <w:szCs w:val="32"/>
          <w:highlight w:val="none"/>
          <w:lang w:val="en-US" w:eastAsia="zh-CN"/>
        </w:rPr>
        <w:t xml:space="preserve">    </w:t>
      </w:r>
    </w:p>
    <w:p>
      <w:pPr>
        <w:jc w:val="both"/>
        <w:outlineLvl w:val="3"/>
        <w:rPr>
          <w:rFonts w:hint="eastAsia" w:ascii="仿宋" w:hAnsi="仿宋" w:eastAsia="仿宋" w:cs="仿宋"/>
          <w:color w:val="auto"/>
          <w:sz w:val="28"/>
          <w:highlight w:val="none"/>
          <w:lang w:bidi="ar"/>
        </w:rPr>
      </w:pPr>
      <w:r>
        <w:rPr>
          <w:rFonts w:hint="eastAsia" w:ascii="CESI仿宋-GB2312" w:hAnsi="CESI仿宋-GB2312" w:eastAsia="CESI仿宋-GB2312" w:cs="CESI仿宋-GB2312"/>
          <w:color w:val="000000"/>
          <w:sz w:val="32"/>
          <w:szCs w:val="32"/>
          <w:lang w:eastAsia="zh-CN"/>
        </w:rPr>
        <w:br w:type="page"/>
      </w:r>
      <w:r>
        <w:rPr>
          <w:rFonts w:hint="eastAsia" w:ascii="CESI黑体-GB2312" w:hAnsi="CESI黑体-GB2312" w:eastAsia="CESI黑体-GB2312" w:cs="CESI黑体-GB2312"/>
          <w:color w:val="auto"/>
          <w:sz w:val="32"/>
          <w:szCs w:val="32"/>
          <w:highlight w:val="none"/>
          <w:lang w:bidi="ar"/>
        </w:rPr>
        <w:t>附件</w:t>
      </w:r>
      <w:r>
        <w:rPr>
          <w:rFonts w:hint="eastAsia" w:ascii="CESI黑体-GB2312" w:hAnsi="CESI黑体-GB2312" w:eastAsia="CESI黑体-GB2312" w:cs="CESI黑体-GB2312"/>
          <w:color w:val="auto"/>
          <w:sz w:val="32"/>
          <w:szCs w:val="32"/>
          <w:highlight w:val="none"/>
          <w:lang w:val="en-US" w:eastAsia="zh-CN" w:bidi="ar"/>
        </w:rPr>
        <w:t>2</w:t>
      </w:r>
      <w:r>
        <w:rPr>
          <w:rFonts w:hint="eastAsia" w:ascii="CESI黑体-GB2312" w:hAnsi="CESI黑体-GB2312" w:eastAsia="CESI黑体-GB2312" w:cs="CESI黑体-GB2312"/>
          <w:color w:val="auto"/>
          <w:sz w:val="32"/>
          <w:szCs w:val="32"/>
          <w:highlight w:val="none"/>
          <w:lang w:bidi="ar"/>
        </w:rPr>
        <w:t>：</w:t>
      </w:r>
    </w:p>
    <w:p>
      <w:pPr>
        <w:spacing w:line="267" w:lineRule="auto"/>
        <w:rPr>
          <w:color w:val="auto"/>
          <w:highlight w:val="none"/>
        </w:rPr>
      </w:pPr>
    </w:p>
    <w:p>
      <w:pPr>
        <w:autoSpaceDE w:val="0"/>
        <w:autoSpaceDN w:val="0"/>
        <w:adjustRightInd w:val="0"/>
        <w:spacing w:line="579" w:lineRule="exact"/>
        <w:jc w:val="center"/>
        <w:rPr>
          <w:rFonts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政府采购违法行为风险知悉确认书</w:t>
      </w:r>
    </w:p>
    <w:p>
      <w:pPr>
        <w:spacing w:line="579" w:lineRule="exact"/>
        <w:ind w:firstLine="640" w:firstLineChars="200"/>
        <w:rPr>
          <w:rFonts w:ascii="仿宋_GB2312" w:hAnsi="仿宋_GB2312" w:eastAsia="仿宋_GB2312" w:cs="仿宋_GB2312"/>
          <w:sz w:val="32"/>
          <w:szCs w:val="32"/>
        </w:rPr>
      </w:pPr>
    </w:p>
    <w:p>
      <w:pPr>
        <w:spacing w:line="579"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本公司在投标前已充分知悉以下情形为参与政府采购活动时的重大风险事项，并承诺已对下述风险提示事项重点排查，做到严谨、诚信、依法依规参与政府采购活动。</w:t>
      </w:r>
    </w:p>
    <w:p>
      <w:pPr>
        <w:spacing w:line="579"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一、本公司已充分知悉“隐瞒真实情况，提供虚假资料”的法定情形，相关情形包括但不限于</w:t>
      </w:r>
      <w:r>
        <w:rPr>
          <w:rFonts w:hint="eastAsia" w:ascii="仿宋_GB2312" w:hAnsi="仿宋_GB2312" w:eastAsia="仿宋_GB2312" w:cs="仿宋_GB2312"/>
          <w:sz w:val="32"/>
          <w:szCs w:val="32"/>
        </w:rPr>
        <w:t>：</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（一）通过转让或者租借等方式从其他单位获取资格或者资质证书投标的。</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（二）由其他单位或者其他单位负责人在投标供应商编制的投标文件上加盖印章或者签字的。</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（三）项目负责人或者主要技术人员不是本单位人员的。</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（四）投标保证金不是从投标供应商基本账户转出的。</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（五）其他隐瞒真实情况、提供虚假资料的行为。</w:t>
      </w:r>
    </w:p>
    <w:p>
      <w:pPr>
        <w:spacing w:line="579"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二、本公司已充分知悉“与其他采购参加人串通投标”的法定情形，相关情形包括但不限于：</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（一）投标供应商之间相互约定给予未中标的供应商利益补偿。 </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（二）不同投标供应商的法定代表人、主要经营负责人、项目投标授权代表人、项目负责人、主要技术人员为同一人、属同一单位或者在同一单位缴纳社会保险。</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（三）不同投标供应商的投标文件由同一单位或者同一人编制，或者由同一人分阶段参与编制的。</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（四）不同投标供应商的投标文件或部分投标文件相互混装。</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（五）不同投标供应商的投标文件内容存在非正常一致。</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（六）由同一单位工作人员为两家以上（含两家）供应商进行同一项投标活动的。</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（七）不同投标人的投标报价呈规律性差异。</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（八）不同投标人的投标保证金从同一单位或者个人的账户转出。</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（九）主管部门依照法律、法规认定的其他情形。</w:t>
      </w:r>
    </w:p>
    <w:p>
      <w:pPr>
        <w:spacing w:line="579"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三、本公司已充分知悉下列情形所对应的法律风险，并在投标前已对相关风险事项进行排查。</w:t>
      </w:r>
    </w:p>
    <w:p>
      <w:pPr>
        <w:spacing w:line="579"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（一）对于</w:t>
      </w:r>
      <w:r>
        <w:rPr>
          <w:rFonts w:hint="eastAsia" w:ascii="仿宋_GB2312" w:eastAsia="仿宋_GB2312"/>
          <w:sz w:val="32"/>
          <w:szCs w:val="32"/>
        </w:rPr>
        <w:t>从</w:t>
      </w:r>
      <w:r>
        <w:rPr>
          <w:rFonts w:hint="eastAsia" w:ascii="仿宋_GB2312" w:hAnsi="仿宋_GB2312" w:eastAsia="仿宋_GB2312" w:cs="仿宋_GB2312"/>
          <w:sz w:val="32"/>
          <w:szCs w:val="32"/>
        </w:rPr>
        <w:t>其他主体</w:t>
      </w:r>
      <w:r>
        <w:rPr>
          <w:rFonts w:hint="eastAsia" w:ascii="仿宋_GB2312" w:eastAsia="仿宋_GB2312"/>
          <w:sz w:val="32"/>
          <w:szCs w:val="32"/>
        </w:rPr>
        <w:t>获取</w:t>
      </w:r>
      <w:r>
        <w:rPr>
          <w:rFonts w:hint="eastAsia" w:ascii="仿宋_GB2312" w:hAnsi="仿宋_GB2312" w:eastAsia="仿宋_GB2312" w:cs="仿宋_GB2312"/>
          <w:sz w:val="32"/>
          <w:szCs w:val="32"/>
        </w:rPr>
        <w:t>的投标资料，供应商应审慎核查，确保投标资料的真实性。</w:t>
      </w:r>
      <w:r>
        <w:rPr>
          <w:rFonts w:hint="eastAsia" w:ascii="仿宋_GB2312" w:hAnsi="仿宋_GB2312" w:eastAsia="仿宋_GB2312" w:cs="仿宋_GB2312"/>
          <w:b/>
          <w:bCs/>
          <w:sz w:val="32"/>
          <w:szCs w:val="32"/>
        </w:rPr>
        <w:t>如主管部门查实投标文件中存在虚假资料的，无论相关资料是否由第三方或本公司员工提供，均不影响主管部门对供应商存在“隐瞒真实情况，提供虚假资料”违法行为的认定。</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（二）对于涉及国家机关出具的公文、证件、证明材料等文件，一旦涉嫌虚假，经查实，主管部门将依法从严处理，并移送有关部门追究法律责任；涉嫌犯罪的，主管部门将一并移送司法机关追究法律责任。</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（三）对于涉及安全生产、特种作业、抢险救灾、防疫等政府采购项目，供应商实施提供虚假资料、串通投标等违法行为的，主管部门将依法从严处理。 </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（四）供应商应严格规范项目授权代表、员工参与招标投标的行为，加强对投标文件的审核。项目授权代表、员工</w:t>
      </w:r>
      <w:r>
        <w:rPr>
          <w:rFonts w:hint="eastAsia" w:ascii="仿宋_GB2312" w:eastAsia="仿宋_GB2312"/>
          <w:sz w:val="32"/>
          <w:szCs w:val="32"/>
        </w:rPr>
        <w:t>编制、上传</w:t>
      </w:r>
      <w:r>
        <w:rPr>
          <w:rFonts w:hint="eastAsia" w:ascii="仿宋_GB2312" w:hAnsi="仿宋_GB2312" w:eastAsia="仿宋_GB2312" w:cs="仿宋_GB2312"/>
          <w:sz w:val="32"/>
          <w:szCs w:val="32"/>
        </w:rPr>
        <w:t>投标文件</w:t>
      </w:r>
      <w:r>
        <w:rPr>
          <w:rFonts w:hint="eastAsia" w:ascii="仿宋_GB2312" w:eastAsia="仿宋_GB2312"/>
          <w:sz w:val="32"/>
          <w:szCs w:val="32"/>
        </w:rPr>
        <w:t>等行为</w:t>
      </w:r>
      <w:r>
        <w:rPr>
          <w:rFonts w:hint="eastAsia" w:ascii="仿宋_GB2312" w:hAnsi="仿宋_GB2312" w:eastAsia="仿宋_GB2312" w:cs="仿宋_GB2312"/>
          <w:sz w:val="32"/>
          <w:szCs w:val="32"/>
        </w:rPr>
        <w:t>违反政府采购法律法规或招标文件要求的，投标供应商应当依法承担相应法律责任。</w:t>
      </w:r>
    </w:p>
    <w:p>
      <w:pPr>
        <w:spacing w:line="579"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（六）单位负责人为同一人或者存在直接控股、管理关系的不同供应商，不得参加同一合同项下的政府采购活动。相关情形</w:t>
      </w:r>
      <w:r>
        <w:rPr>
          <w:rFonts w:hint="eastAsia" w:ascii="仿宋_GB2312" w:eastAsia="仿宋_GB2312"/>
          <w:sz w:val="32"/>
          <w:szCs w:val="32"/>
        </w:rPr>
        <w:t>如</w:t>
      </w:r>
      <w:r>
        <w:rPr>
          <w:rFonts w:hint="eastAsia" w:ascii="仿宋_GB2312" w:hAnsi="仿宋_GB2312" w:eastAsia="仿宋_GB2312" w:cs="仿宋_GB2312"/>
          <w:sz w:val="32"/>
          <w:szCs w:val="32"/>
        </w:rPr>
        <w:t>查实，依法作投标无效处理；涉嫌串通投标等违法行为的，主管部门将依法调查处理。</w:t>
      </w:r>
    </w:p>
    <w:p>
      <w:pPr>
        <w:spacing w:line="579"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四、本公司已充分知悉政府采购违法、违规行为的法律后果。</w:t>
      </w:r>
      <w:r>
        <w:rPr>
          <w:rFonts w:hint="eastAsia" w:ascii="仿宋_GB2312" w:hAnsi="仿宋_GB2312" w:eastAsia="仿宋_GB2312" w:cs="仿宋_GB2312"/>
          <w:sz w:val="32"/>
          <w:szCs w:val="32"/>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spacing w:line="579"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以下文字请投标供应商抄写并确认：“本公司已仔细阅读《政府采购违法行为风险知悉确认书》，充分知悉违法行为的法律后果，并承诺将严谨、诚信、依法依规参与政府采购活动”。</w:t>
      </w:r>
    </w:p>
    <w:p>
      <w:pPr>
        <w:spacing w:line="579" w:lineRule="exact"/>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p>
    <w:p>
      <w:pPr>
        <w:spacing w:line="579" w:lineRule="exact"/>
        <w:rPr>
          <w:rFonts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 xml:space="preserve">                                                    </w:t>
      </w:r>
    </w:p>
    <w:p>
      <w:pPr>
        <w:spacing w:line="579" w:lineRule="exact"/>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p>
    <w:p>
      <w:pPr>
        <w:spacing w:line="579" w:lineRule="exact"/>
        <w:rPr>
          <w:rFonts w:ascii="仿宋_GB2312" w:hAnsi="仿宋_GB2312" w:eastAsia="仿宋_GB2312" w:cs="仿宋_GB2312"/>
          <w:sz w:val="24"/>
          <w:szCs w:val="24"/>
        </w:rPr>
      </w:pPr>
      <w:r>
        <w:rPr>
          <w:rFonts w:hint="eastAsia" w:ascii="仿宋_GB2312" w:hAnsi="仿宋_GB2312" w:eastAsia="仿宋_GB2312" w:cs="仿宋_GB2312"/>
          <w:sz w:val="32"/>
          <w:szCs w:val="32"/>
          <w:u w:val="single"/>
        </w:rPr>
        <w:t xml:space="preserve">                                                    </w:t>
      </w:r>
    </w:p>
    <w:p>
      <w:pPr>
        <w:spacing w:line="579" w:lineRule="exact"/>
        <w:rPr>
          <w:rFonts w:ascii="仿宋_GB2312" w:hAnsi="仿宋_GB2312" w:eastAsia="仿宋_GB2312" w:cs="仿宋_GB2312"/>
          <w:sz w:val="32"/>
          <w:szCs w:val="32"/>
          <w:highlight w:val="yellow"/>
        </w:rPr>
      </w:pPr>
    </w:p>
    <w:p>
      <w:pPr>
        <w:spacing w:line="579"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负责人/投标授权代表签名：</w:t>
      </w:r>
    </w:p>
    <w:p>
      <w:pPr>
        <w:spacing w:line="579" w:lineRule="exact"/>
        <w:ind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知悉人（公章）：</w:t>
      </w:r>
    </w:p>
    <w:p>
      <w:pPr>
        <w:spacing w:line="579" w:lineRule="exact"/>
        <w:rPr>
          <w:sz w:val="32"/>
          <w:szCs w:val="32"/>
        </w:rPr>
      </w:pPr>
      <w:r>
        <w:rPr>
          <w:rFonts w:hint="eastAsia" w:ascii="仿宋_GB2312" w:hAnsi="仿宋_GB2312" w:eastAsia="仿宋_GB2312" w:cs="仿宋_GB2312"/>
          <w:sz w:val="32"/>
          <w:szCs w:val="32"/>
        </w:rPr>
        <w:t xml:space="preserve">                    日期：</w:t>
      </w:r>
    </w:p>
    <w:p>
      <w:pPr>
        <w:spacing w:line="600" w:lineRule="exact"/>
        <w:rPr>
          <w:sz w:val="30"/>
          <w:szCs w:val="30"/>
        </w:rPr>
      </w:pPr>
    </w:p>
    <w:p>
      <w:pPr>
        <w:keepNext w:val="0"/>
        <w:keepLines w:val="0"/>
        <w:pageBreakBefore w:val="0"/>
        <w:widowControl w:val="0"/>
        <w:kinsoku/>
        <w:wordWrap/>
        <w:overflowPunct/>
        <w:topLinePunct w:val="0"/>
        <w:autoSpaceDE/>
        <w:autoSpaceDN/>
        <w:bidi w:val="0"/>
        <w:adjustRightInd/>
        <w:snapToGrid w:val="0"/>
        <w:spacing w:line="520" w:lineRule="atLeast"/>
        <w:textAlignment w:val="auto"/>
        <w:rPr>
          <w:rFonts w:hint="eastAsia" w:ascii="CESI仿宋-GB2312" w:hAnsi="CESI仿宋-GB2312" w:eastAsia="CESI仿宋-GB2312" w:cs="CESI仿宋-GB2312"/>
          <w:color w:val="000000"/>
          <w:sz w:val="32"/>
          <w:szCs w:val="32"/>
          <w:lang w:eastAsia="zh-CN"/>
        </w:rPr>
      </w:pPr>
    </w:p>
    <w:p>
      <w:pPr>
        <w:rPr>
          <w:color w:val="auto"/>
          <w:highlight w:val="none"/>
          <w:lang w:bidi="ar"/>
        </w:rPr>
      </w:pPr>
    </w:p>
    <w:p>
      <w:pPr>
        <w:pStyle w:val="8"/>
        <w:keepNext w:val="0"/>
        <w:keepLines w:val="0"/>
        <w:pageBreakBefore w:val="0"/>
        <w:widowControl w:val="0"/>
        <w:kinsoku/>
        <w:wordWrap/>
        <w:overflowPunct/>
        <w:topLinePunct w:val="0"/>
        <w:autoSpaceDE/>
        <w:autoSpaceDN/>
        <w:bidi w:val="0"/>
        <w:adjustRightInd w:val="0"/>
        <w:snapToGrid/>
        <w:spacing w:line="560" w:lineRule="exact"/>
        <w:ind w:firstLine="600" w:firstLineChars="200"/>
        <w:textAlignment w:val="auto"/>
        <w:rPr>
          <w:rFonts w:hint="eastAsia" w:ascii="黑体" w:hAnsi="黑体" w:eastAsia="黑体" w:cs="黑体"/>
          <w:color w:val="auto"/>
          <w:sz w:val="30"/>
          <w:szCs w:val="30"/>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CESI黑体-GB2312">
    <w:altName w:val="黑体"/>
    <w:panose1 w:val="02000500000000000000"/>
    <w:charset w:val="86"/>
    <w:family w:val="auto"/>
    <w:pitch w:val="default"/>
    <w:sig w:usb0="00000000" w:usb1="00000000" w:usb2="00000012" w:usb3="00000000" w:csb0="0004000F" w:csb1="00000000"/>
  </w:font>
  <w:font w:name="方正小标宋_GBK">
    <w:altName w:val="微软雅黑"/>
    <w:panose1 w:val="02000000000000000000"/>
    <w:charset w:val="86"/>
    <w:family w:val="auto"/>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AC6A18"/>
    <w:rsid w:val="039F1006"/>
    <w:rsid w:val="0A34353F"/>
    <w:rsid w:val="0B417C11"/>
    <w:rsid w:val="10636A0B"/>
    <w:rsid w:val="277FE003"/>
    <w:rsid w:val="2CAC6A18"/>
    <w:rsid w:val="3A411B8F"/>
    <w:rsid w:val="3FA62A01"/>
    <w:rsid w:val="4A281C27"/>
    <w:rsid w:val="4ACFB65A"/>
    <w:rsid w:val="62266D2C"/>
    <w:rsid w:val="65D67EE9"/>
    <w:rsid w:val="6A2F3E26"/>
    <w:rsid w:val="6E6F8DA0"/>
    <w:rsid w:val="6EB50191"/>
    <w:rsid w:val="72C71EF4"/>
    <w:rsid w:val="77931C2F"/>
    <w:rsid w:val="77DF5D11"/>
    <w:rsid w:val="7B5C96C4"/>
    <w:rsid w:val="7E1FA6A3"/>
    <w:rsid w:val="CF7FA6A9"/>
    <w:rsid w:val="DEFF24FE"/>
    <w:rsid w:val="DF9F3836"/>
    <w:rsid w:val="EF7F3A24"/>
    <w:rsid w:val="FCFEFD25"/>
    <w:rsid w:val="FFE762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360" w:lineRule="auto"/>
    </w:pPr>
    <w:rPr>
      <w:b/>
      <w:bCs/>
      <w:sz w:val="24"/>
    </w:rPr>
  </w:style>
  <w:style w:type="paragraph" w:styleId="3">
    <w:name w:val="Normal Indent"/>
    <w:basedOn w:val="1"/>
    <w:next w:val="2"/>
    <w:qFormat/>
    <w:uiPriority w:val="99"/>
    <w:pPr>
      <w:ind w:firstLine="420" w:firstLineChars="200"/>
    </w:p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pPr>
    <w:rPr>
      <w:sz w:val="18"/>
      <w:szCs w:val="18"/>
    </w:rPr>
  </w:style>
  <w:style w:type="paragraph" w:styleId="8">
    <w:name w:val="List Paragraph"/>
    <w:basedOn w:val="1"/>
    <w:qFormat/>
    <w:uiPriority w:val="34"/>
    <w:pPr>
      <w:ind w:firstLine="420" w:firstLineChars="200"/>
    </w:pPr>
  </w:style>
  <w:style w:type="paragraph" w:styleId="9">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4236</Words>
  <Characters>4416</Characters>
  <Lines>0</Lines>
  <Paragraphs>0</Paragraphs>
  <TotalTime>18</TotalTime>
  <ScaleCrop>false</ScaleCrop>
  <LinksUpToDate>false</LinksUpToDate>
  <CharactersWithSpaces>4518</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2026-09-11T10:20:00Z</dcterms:created>
  <dc:creator>小不溜</dc:creator>
  <cp:lastModifiedBy>admin</cp:lastModifiedBy>
  <dcterms:modified xsi:type="dcterms:W3CDTF">2026-09-22T06:57:02Z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B3E19E41E4974F30942CC0C0D9EF368C_13</vt:lpwstr>
  </property>
  <property fmtid="{D5CDD505-2E9C-101B-9397-08002B2CF9AE}" pid="4" name="KSOTemplateDocerSaveRecord">
    <vt:lpwstr>eyJoZGlkIjoiMmU3NjIyMjFhYWJkNzllOTI5MDJhZTI5Y2UwMWY3MWMiLCJ1c2VySWQiOiIyODY5NjcwNDYifQ==</vt:lpwstr>
  </property>
</Properties>
</file>