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pageBreakBefore w:val="0"/>
        <w:kinsoku/>
        <w:wordWrap/>
        <w:overflowPunct/>
        <w:topLinePunct w:val="0"/>
        <w:autoSpaceDE/>
        <w:autoSpaceDN/>
        <w:bidi w:val="0"/>
        <w:snapToGrid/>
        <w:spacing w:line="360" w:lineRule="auto"/>
        <w:ind w:firstLine="0" w:firstLineChars="0"/>
        <w:jc w:val="center"/>
        <w:textAlignment w:val="auto"/>
        <w:rPr>
          <w:rFonts w:ascii="方正小标宋_GBK" w:hAnsi="黑体" w:eastAsia="方正小标宋_GBK" w:cs="黑体"/>
          <w:bCs/>
          <w:color w:val="000000"/>
          <w:sz w:val="44"/>
          <w:szCs w:val="44"/>
        </w:rPr>
      </w:pPr>
      <w:r>
        <w:rPr>
          <w:rFonts w:hint="eastAsia" w:ascii="方正小标宋_GBK" w:hAnsi="黑体" w:eastAsia="方正小标宋_GBK" w:cs="黑体"/>
          <w:bCs/>
          <w:color w:val="000000"/>
          <w:sz w:val="44"/>
          <w:szCs w:val="44"/>
        </w:rPr>
        <w:t>《坪山区</w:t>
      </w:r>
      <w:r>
        <w:rPr>
          <w:rFonts w:ascii="方正小标宋_GBK" w:hAnsi="黑体" w:eastAsia="方正小标宋_GBK" w:cs="黑体"/>
          <w:bCs/>
          <w:color w:val="000000"/>
          <w:sz w:val="44"/>
          <w:szCs w:val="44"/>
        </w:rPr>
        <w:t>202</w:t>
      </w:r>
      <w:r>
        <w:rPr>
          <w:rFonts w:hint="eastAsia" w:ascii="方正小标宋_GBK" w:hAnsi="黑体" w:eastAsia="方正小标宋_GBK" w:cs="黑体"/>
          <w:bCs/>
          <w:color w:val="000000"/>
          <w:sz w:val="44"/>
          <w:szCs w:val="44"/>
          <w:lang w:val="en-US" w:eastAsia="zh-CN"/>
        </w:rPr>
        <w:t>6</w:t>
      </w:r>
      <w:r>
        <w:rPr>
          <w:rFonts w:hint="eastAsia" w:ascii="方正小标宋_GBK" w:hAnsi="黑体" w:eastAsia="方正小标宋_GBK" w:cs="黑体"/>
          <w:bCs/>
          <w:color w:val="000000"/>
          <w:sz w:val="44"/>
          <w:szCs w:val="44"/>
        </w:rPr>
        <w:t>年地质灾害</w:t>
      </w:r>
      <w:r>
        <w:rPr>
          <w:rFonts w:hint="eastAsia" w:ascii="方正小标宋_GBK" w:hAnsi="黑体" w:eastAsia="方正小标宋_GBK" w:cs="黑体"/>
          <w:bCs/>
          <w:color w:val="000000"/>
          <w:sz w:val="44"/>
          <w:szCs w:val="44"/>
          <w:lang w:val="en-US" w:eastAsia="zh-CN"/>
        </w:rPr>
        <w:t>隐患点调查</w:t>
      </w:r>
      <w:r>
        <w:rPr>
          <w:rFonts w:hint="eastAsia" w:ascii="方正小标宋_GBK" w:hAnsi="黑体" w:eastAsia="方正小标宋_GBK" w:cs="黑体"/>
          <w:bCs/>
          <w:color w:val="000000"/>
          <w:sz w:val="44"/>
          <w:szCs w:val="44"/>
        </w:rPr>
        <w:t>》</w:t>
      </w:r>
    </w:p>
    <w:p>
      <w:pPr>
        <w:pStyle w:val="12"/>
        <w:pageBreakBefore w:val="0"/>
        <w:kinsoku/>
        <w:wordWrap/>
        <w:overflowPunct/>
        <w:topLinePunct w:val="0"/>
        <w:autoSpaceDE/>
        <w:autoSpaceDN/>
        <w:bidi w:val="0"/>
        <w:snapToGrid/>
        <w:spacing w:line="360" w:lineRule="auto"/>
        <w:ind w:firstLine="0" w:firstLineChars="0"/>
        <w:jc w:val="center"/>
        <w:textAlignment w:val="auto"/>
        <w:rPr>
          <w:rFonts w:hint="eastAsia" w:ascii="方正小标宋_GBK" w:hAnsi="黑体" w:eastAsia="方正小标宋_GBK" w:cs="黑体"/>
          <w:bCs/>
          <w:color w:val="000000"/>
          <w:sz w:val="44"/>
          <w:szCs w:val="44"/>
        </w:rPr>
      </w:pPr>
      <w:r>
        <w:rPr>
          <w:rFonts w:hint="eastAsia" w:ascii="方正小标宋_GBK" w:hAnsi="黑体" w:eastAsia="方正小标宋_GBK" w:cs="黑体"/>
          <w:bCs/>
          <w:color w:val="000000"/>
          <w:sz w:val="44"/>
          <w:szCs w:val="44"/>
          <w:lang w:val="en-US" w:eastAsia="zh-CN"/>
        </w:rPr>
        <w:t>项目</w:t>
      </w:r>
      <w:r>
        <w:rPr>
          <w:rFonts w:hint="eastAsia" w:ascii="方正小标宋_GBK" w:hAnsi="黑体" w:eastAsia="方正小标宋_GBK" w:cs="黑体"/>
          <w:bCs/>
          <w:color w:val="000000"/>
          <w:sz w:val="44"/>
          <w:szCs w:val="44"/>
        </w:rPr>
        <w:t>采购需求文件</w:t>
      </w:r>
    </w:p>
    <w:p>
      <w:pPr>
        <w:pStyle w:val="12"/>
        <w:pageBreakBefore w:val="0"/>
        <w:kinsoku/>
        <w:wordWrap/>
        <w:overflowPunct/>
        <w:topLinePunct w:val="0"/>
        <w:autoSpaceDE/>
        <w:autoSpaceDN/>
        <w:bidi w:val="0"/>
        <w:snapToGrid/>
        <w:spacing w:line="360" w:lineRule="auto"/>
        <w:ind w:firstLine="0" w:firstLineChars="0"/>
        <w:jc w:val="center"/>
        <w:textAlignment w:val="auto"/>
        <w:rPr>
          <w:rFonts w:ascii="楷体_GB2312" w:hAnsi="黑体" w:eastAsia="楷体_GB2312" w:cs="黑体"/>
          <w:bCs/>
          <w:color w:val="000000"/>
          <w:sz w:val="32"/>
          <w:szCs w:val="32"/>
        </w:rPr>
      </w:pPr>
      <w:r>
        <w:rPr>
          <w:rFonts w:hint="eastAsia" w:ascii="方正小标宋_GBK" w:hAnsi="黑体" w:eastAsia="方正小标宋_GBK" w:cs="黑体"/>
          <w:bCs/>
          <w:color w:val="000000"/>
          <w:sz w:val="44"/>
          <w:szCs w:val="44"/>
          <w:lang w:eastAsia="zh-CN"/>
        </w:rPr>
        <w:t>（</w:t>
      </w:r>
      <w:r>
        <w:rPr>
          <w:rFonts w:hint="eastAsia" w:ascii="方正小标宋_GBK" w:hAnsi="黑体" w:eastAsia="方正小标宋_GBK" w:cs="黑体"/>
          <w:bCs/>
          <w:color w:val="000000"/>
          <w:sz w:val="44"/>
          <w:szCs w:val="44"/>
          <w:lang w:val="en-US" w:eastAsia="zh-CN"/>
        </w:rPr>
        <w:t>自行采购</w:t>
      </w:r>
      <w:r>
        <w:rPr>
          <w:rFonts w:hint="eastAsia" w:ascii="方正小标宋_GBK" w:hAnsi="黑体" w:eastAsia="方正小标宋_GBK" w:cs="黑体"/>
          <w:bCs/>
          <w:color w:val="000000"/>
          <w:sz w:val="44"/>
          <w:szCs w:val="44"/>
          <w:lang w:eastAsia="zh-CN"/>
        </w:rPr>
        <w:t>）</w:t>
      </w:r>
    </w:p>
    <w:p>
      <w:pPr>
        <w:pStyle w:val="12"/>
        <w:pageBreakBefore w:val="0"/>
        <w:kinsoku/>
        <w:wordWrap/>
        <w:overflowPunct/>
        <w:topLinePunct w:val="0"/>
        <w:autoSpaceDE/>
        <w:autoSpaceDN/>
        <w:bidi w:val="0"/>
        <w:adjustRightInd w:val="0"/>
        <w:snapToGrid/>
        <w:spacing w:line="560" w:lineRule="exact"/>
        <w:ind w:left="0" w:leftChars="0" w:firstLine="0" w:firstLineChars="0"/>
        <w:jc w:val="both"/>
        <w:textAlignment w:val="auto"/>
        <w:rPr>
          <w:rFonts w:hint="eastAsia" w:ascii="仿宋_GB2312" w:hAnsi="仿宋" w:eastAsia="仿宋_GB2312" w:cs="Times New Roman"/>
          <w:b/>
          <w:bCs/>
          <w:color w:val="000000"/>
          <w:kern w:val="2"/>
          <w:sz w:val="32"/>
          <w:szCs w:val="32"/>
          <w:lang w:val="en-US" w:eastAsia="zh-CN" w:bidi="ar-SA"/>
        </w:rPr>
      </w:pPr>
      <w:r>
        <w:rPr>
          <w:rFonts w:hint="eastAsia" w:ascii="仿宋_GB2312" w:hAnsi="仿宋" w:eastAsia="仿宋_GB2312" w:cs="Times New Roman"/>
          <w:b/>
          <w:bCs/>
          <w:color w:val="000000"/>
          <w:kern w:val="2"/>
          <w:sz w:val="32"/>
          <w:szCs w:val="32"/>
          <w:lang w:val="en-US" w:eastAsia="zh-CN" w:bidi="ar-SA"/>
        </w:rPr>
        <w:t>一、采购项目概况</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highlight w:val="none"/>
        </w:rPr>
        <w:t>根据《市规划和自然资源局地质灾害隐患点调查、责任认定和核销工作规程（2024年修订版）》（深规划资源发【202</w:t>
      </w:r>
      <w:r>
        <w:rPr>
          <w:rFonts w:hint="eastAsia" w:ascii="仿宋_GB2312" w:hAnsi="仿宋" w:eastAsia="仿宋_GB2312"/>
          <w:color w:val="000000"/>
          <w:sz w:val="32"/>
          <w:szCs w:val="32"/>
          <w:highlight w:val="none"/>
          <w:lang w:val="en-US" w:eastAsia="zh-CN"/>
        </w:rPr>
        <w:t>4</w:t>
      </w:r>
      <w:r>
        <w:rPr>
          <w:rFonts w:hint="eastAsia" w:ascii="仿宋_GB2312" w:hAnsi="仿宋" w:eastAsia="仿宋_GB2312"/>
          <w:color w:val="000000"/>
          <w:sz w:val="32"/>
          <w:szCs w:val="32"/>
          <w:highlight w:val="none"/>
        </w:rPr>
        <w:t>】</w:t>
      </w:r>
      <w:r>
        <w:rPr>
          <w:rFonts w:hint="eastAsia" w:ascii="仿宋_GB2312" w:hAnsi="仿宋" w:eastAsia="仿宋_GB2312"/>
          <w:color w:val="000000"/>
          <w:sz w:val="32"/>
          <w:szCs w:val="32"/>
          <w:highlight w:val="none"/>
          <w:lang w:val="en-US" w:eastAsia="zh-CN"/>
        </w:rPr>
        <w:t>119</w:t>
      </w:r>
      <w:r>
        <w:rPr>
          <w:rFonts w:hint="eastAsia" w:ascii="仿宋_GB2312" w:hAnsi="仿宋" w:eastAsia="仿宋_GB2312"/>
          <w:color w:val="000000"/>
          <w:sz w:val="32"/>
          <w:szCs w:val="32"/>
          <w:highlight w:val="none"/>
        </w:rPr>
        <w:t>号）要求，</w:t>
      </w:r>
      <w:r>
        <w:rPr>
          <w:rFonts w:hint="eastAsia" w:ascii="仿宋_GB2312" w:hAnsi="仿宋" w:eastAsia="仿宋_GB2312"/>
          <w:color w:val="000000"/>
          <w:sz w:val="32"/>
          <w:szCs w:val="32"/>
          <w:highlight w:val="none"/>
          <w:lang w:eastAsia="zh-CN"/>
        </w:rPr>
        <w:t>对于发现疑似地质灾害隐患点、发现在册地质灾害隐患点条件发生变化、发现在册地质灾害隐患点不满足相关认定标准的，管理局组织具有地质灾害危险性评估或地质灾害治理工程勘查资质的技术单位开展现场调查，并按规范要求编写调查评价报告</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对于地质灾害隐患点核销工作，管理局</w:t>
      </w:r>
      <w:r>
        <w:rPr>
          <w:rFonts w:hint="eastAsia" w:ascii="仿宋_GB2312" w:hAnsi="仿宋" w:eastAsia="仿宋_GB2312"/>
          <w:color w:val="000000"/>
          <w:sz w:val="32"/>
          <w:szCs w:val="32"/>
        </w:rPr>
        <w:t>委托专家组或技术单位开展现场调查，</w:t>
      </w:r>
      <w:r>
        <w:rPr>
          <w:rFonts w:hint="eastAsia" w:ascii="仿宋_GB2312" w:hAnsi="仿宋" w:eastAsia="仿宋_GB2312"/>
          <w:color w:val="000000"/>
          <w:sz w:val="32"/>
          <w:szCs w:val="32"/>
          <w:lang w:eastAsia="zh-CN"/>
        </w:rPr>
        <w:t>根据技术单位</w:t>
      </w:r>
      <w:r>
        <w:rPr>
          <w:rFonts w:hint="eastAsia" w:ascii="仿宋_GB2312" w:hAnsi="仿宋" w:eastAsia="仿宋_GB2312"/>
          <w:color w:val="000000"/>
          <w:sz w:val="32"/>
          <w:szCs w:val="32"/>
        </w:rPr>
        <w:t>出具</w:t>
      </w:r>
      <w:r>
        <w:rPr>
          <w:rFonts w:hint="eastAsia" w:ascii="仿宋_GB2312" w:hAnsi="仿宋" w:eastAsia="仿宋_GB2312"/>
          <w:color w:val="000000"/>
          <w:sz w:val="32"/>
          <w:szCs w:val="32"/>
          <w:lang w:eastAsia="zh-CN"/>
        </w:rPr>
        <w:t>的</w:t>
      </w:r>
      <w:r>
        <w:rPr>
          <w:rFonts w:hint="eastAsia" w:ascii="仿宋_GB2312" w:hAnsi="仿宋" w:eastAsia="仿宋_GB2312"/>
          <w:color w:val="000000"/>
          <w:sz w:val="32"/>
          <w:szCs w:val="32"/>
        </w:rPr>
        <w:t>现场调查报告，</w:t>
      </w:r>
      <w:r>
        <w:rPr>
          <w:rFonts w:hint="eastAsia" w:ascii="仿宋_GB2312" w:hAnsi="仿宋" w:eastAsia="仿宋_GB2312"/>
          <w:color w:val="000000"/>
          <w:sz w:val="32"/>
          <w:szCs w:val="32"/>
          <w:lang w:eastAsia="zh-CN"/>
        </w:rPr>
        <w:t>将隐患点</w:t>
      </w:r>
      <w:r>
        <w:rPr>
          <w:rFonts w:hint="eastAsia" w:ascii="仿宋_GB2312" w:hAnsi="仿宋" w:eastAsia="仿宋_GB2312"/>
          <w:color w:val="000000"/>
          <w:sz w:val="32"/>
          <w:szCs w:val="32"/>
          <w:lang w:val="en-US" w:eastAsia="zh-CN"/>
        </w:rPr>
        <w:t>从台账与</w:t>
      </w:r>
      <w:r>
        <w:rPr>
          <w:rFonts w:hint="eastAsia" w:ascii="仿宋_GB2312" w:hAnsi="仿宋" w:eastAsia="仿宋_GB2312"/>
          <w:color w:val="000000"/>
          <w:sz w:val="32"/>
          <w:szCs w:val="32"/>
        </w:rPr>
        <w:t>市地质灾害防治三维信息平台</w:t>
      </w:r>
      <w:r>
        <w:rPr>
          <w:rFonts w:hint="eastAsia" w:ascii="仿宋_GB2312" w:hAnsi="仿宋" w:eastAsia="仿宋_GB2312"/>
          <w:color w:val="000000"/>
          <w:sz w:val="32"/>
          <w:szCs w:val="32"/>
          <w:lang w:eastAsia="zh-CN"/>
        </w:rPr>
        <w:t>中</w:t>
      </w:r>
      <w:r>
        <w:rPr>
          <w:rFonts w:hint="eastAsia" w:ascii="仿宋_GB2312" w:hAnsi="仿宋" w:eastAsia="仿宋_GB2312"/>
          <w:color w:val="000000"/>
          <w:sz w:val="32"/>
          <w:szCs w:val="32"/>
          <w:lang w:val="en-US" w:eastAsia="zh-CN"/>
        </w:rPr>
        <w:t>核销</w:t>
      </w:r>
      <w:r>
        <w:rPr>
          <w:rFonts w:hint="eastAsia" w:ascii="仿宋_GB2312" w:hAnsi="仿宋" w:eastAsia="仿宋_GB2312"/>
          <w:color w:val="000000"/>
          <w:sz w:val="32"/>
          <w:szCs w:val="32"/>
        </w:rPr>
        <w:t>。</w:t>
      </w:r>
    </w:p>
    <w:p>
      <w:pPr>
        <w:pStyle w:val="12"/>
        <w:pageBreakBefore w:val="0"/>
        <w:kinsoku/>
        <w:wordWrap/>
        <w:overflowPunct/>
        <w:topLinePunct w:val="0"/>
        <w:autoSpaceDE/>
        <w:autoSpaceDN/>
        <w:bidi w:val="0"/>
        <w:adjustRightInd w:val="0"/>
        <w:snapToGrid/>
        <w:spacing w:line="560" w:lineRule="exact"/>
        <w:ind w:firstLine="64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坪山区位于广东沿海丘陵地带，受台风强降雨、人类工程活动、以及地质环境自然状况本身不断变化的影响，每年</w:t>
      </w:r>
      <w:r>
        <w:rPr>
          <w:rFonts w:hint="eastAsia" w:ascii="仿宋_GB2312" w:hAnsi="仿宋" w:eastAsia="仿宋_GB2312"/>
          <w:color w:val="000000"/>
          <w:sz w:val="32"/>
          <w:szCs w:val="32"/>
          <w:lang w:eastAsia="zh-CN"/>
        </w:rPr>
        <w:t>可能会</w:t>
      </w:r>
      <w:r>
        <w:rPr>
          <w:rFonts w:hint="eastAsia" w:ascii="仿宋_GB2312" w:hAnsi="仿宋" w:eastAsia="仿宋_GB2312"/>
          <w:color w:val="000000"/>
          <w:sz w:val="32"/>
          <w:szCs w:val="32"/>
        </w:rPr>
        <w:t>产生新的地质灾害隐患点，需要开展地质灾害调查工作，查明地质灾害的位置、类型、规模、</w:t>
      </w:r>
      <w:r>
        <w:rPr>
          <w:rFonts w:hint="eastAsia" w:ascii="仿宋_GB2312" w:hAnsi="仿宋" w:eastAsia="仿宋_GB2312"/>
          <w:color w:val="000000"/>
          <w:sz w:val="32"/>
          <w:szCs w:val="32"/>
          <w:lang w:val="en-US" w:eastAsia="zh-CN"/>
        </w:rPr>
        <w:t>诱发因素</w:t>
      </w:r>
      <w:r>
        <w:rPr>
          <w:rFonts w:hint="eastAsia" w:ascii="仿宋_GB2312" w:hAnsi="仿宋" w:eastAsia="仿宋_GB2312"/>
          <w:color w:val="000000"/>
          <w:sz w:val="32"/>
          <w:szCs w:val="32"/>
        </w:rPr>
        <w:t>等，进行地质灾害现状评价，预测地质灾害的发展趋势，并对其稳定性、危害性（灾情）及潜在危害性（险情）进行评价，为地质灾害预防、治理等工作提供基础地质依据，为地质灾害防治提供指导性意见和建议。</w:t>
      </w:r>
    </w:p>
    <w:p>
      <w:pPr>
        <w:pStyle w:val="12"/>
        <w:pageBreakBefore w:val="0"/>
        <w:kinsoku/>
        <w:wordWrap/>
        <w:overflowPunct/>
        <w:topLinePunct w:val="0"/>
        <w:autoSpaceDE/>
        <w:autoSpaceDN/>
        <w:bidi w:val="0"/>
        <w:adjustRightInd w:val="0"/>
        <w:snapToGrid/>
        <w:spacing w:line="560" w:lineRule="exact"/>
        <w:ind w:left="0" w:leftChars="0" w:firstLine="0" w:firstLineChars="0"/>
        <w:jc w:val="both"/>
        <w:textAlignment w:val="auto"/>
        <w:rPr>
          <w:rFonts w:hint="eastAsia" w:ascii="仿宋_GB2312" w:hAnsi="仿宋" w:eastAsia="仿宋_GB2312" w:cs="Times New Roman"/>
          <w:b/>
          <w:bCs/>
          <w:color w:val="000000"/>
          <w:kern w:val="2"/>
          <w:sz w:val="32"/>
          <w:szCs w:val="32"/>
          <w:lang w:val="en-US" w:eastAsia="zh-CN" w:bidi="ar-SA"/>
        </w:rPr>
      </w:pPr>
      <w:r>
        <w:rPr>
          <w:rFonts w:hint="eastAsia" w:ascii="仿宋_GB2312" w:hAnsi="仿宋" w:eastAsia="仿宋_GB2312" w:cs="Times New Roman"/>
          <w:b/>
          <w:bCs/>
          <w:color w:val="000000"/>
          <w:kern w:val="2"/>
          <w:sz w:val="32"/>
          <w:szCs w:val="32"/>
          <w:lang w:val="en-US" w:eastAsia="zh-CN" w:bidi="ar-SA"/>
        </w:rPr>
        <w:t>二、项目需求和服务要求</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lang w:val="en-US" w:eastAsia="zh-CN"/>
        </w:rPr>
        <w:t>（一）工作内容</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lang w:val="en-US" w:eastAsia="zh-CN"/>
        </w:rPr>
        <w:t>本项目工作量按实际工作需要进行安排，预计调查评价（疑似）新增地质灾害隐患点2个、核销调查地质灾害隐患点2个，调查评价和核销调查的隐患点个数可结合实际情况进行调整，各项费用之间可以调剂使用。主要包含两部分内容：</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（1）开展（疑似）新增地质灾害隐患点调查评价</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1）1:1000地质测量</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主要工作内容为搜集调查区的地质资料，实地测绘勘查现场及附近地形地貌、水文地质、地层岩性、地质构造、地质灾害类型、边坡规模、边坡保护措施、周围建筑物分布等，对典型地质现象拍照等。</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2）在调查的基础上，对各种数据和资料进行整理、分析研究，对调查点进行地质灾害危险性评价，具体包括：</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①对调查点的性质、类型和灾害的发育特征、发生破坏的原因（含主导因素、诱发因素等）、形式、规模进行分析、研究和总结，开展地质灾害现状评价。</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②在现状评价的基础上，对地质灾害点进行定性分析、定量计算，预测地质灾害点的稳定性和危险性。</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③综合评价调查点的地质灾害危害程度和危险性；对调查点进行危险性分区，确定危险性级别；预测地质灾害发展趋势；圈定地质灾害发育地段、涉险范围，标出突发灾害时的疏散方向。</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④综合地质灾害调查、评价资料，全面分析论证地质灾害的成因，包括主导因素和间接引导因素，找出其中占主导地位的引发因素，界定是自然灾害还是人为灾害。</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⑤对调查点提出地质灾害防治措施建议。</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（2）开展地质灾害隐患点核销调查</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针对地质灾害隐患点以下四种情况，在开展现场调查评估后，出具地质灾害隐患点核销技术报告。具体内容包括如下：</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1）完成地质灾害隐患点专项治理工程或地质灾害应急治理的地质灾害隐患点：</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①市地质灾害防治三维信息系统（以下简称系统）内原地质灾害隐患点基本情况（隐患点的坐标范围、斜坡类型、坡长、坡高、坡度、交通位置、人类工程活动、周边建筑物分布、地质环境条件等）；</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②地质灾害隐患点治理工程现状及竣工验收情况，并与上述第一条内容进行对比分析，核查治理范围是否满足地质灾害防治管理系统（以下简称系统）信息要求；</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③隐患点能否核销结论及对应的措施建议。</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2）被挖除的地质灾害隐患点：</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①系统内原地质灾害隐患点基本情况；</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②通过对比地质灾害隐患点挖除前后的场地周边现状，分析稳定性、危害性、受威胁对象和隐患等级等情况； </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③隐患点能否核销结论及对应的措施建议。</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3）原地质灾害隐患点，因地质环境条件发生有利变化，经专家或技术单位现场评估已无安全隐患的，其核销技术报告主要内容包括：</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①系统内原地质灾害隐患点基本情况；</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②原地质灾害隐患点周边地质环境条件变化情况对比分析；</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③目前地质灾害隐患点的稳定性分析，威胁对象、威胁人员和潜在经济损失核实，评价其危害性、危险性和隐患等级等；</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④隐患点能否核销结论及对应的措施建议。</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4）经专业监测满三年，隐患点稳定且无变形迹象，并取得稳定性评价报告：</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①系统内原地质灾害隐患点基本情况；</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②原地质灾害隐患点三年及以上专业监测数据总结及分析，隐患点专业监测期间变形迹象分析；</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③原地质灾害隐患点目前的稳定性分析，威胁对象、威胁人员和潜在经济损失核实，评价其目前是否仍具有危害性、危险性，出具稳定性评价报告（作为核销技术报告附件）；</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④隐患点能否核销结论及对应的措施建议。</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（二）服务质量监督和项目验收要求。</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1.项目承担单位应按合同要求按时、按质、按量推进项目工作；</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2.成果验收：项目承担单位需按采购方的技术及时间要求，完成相应工作成果并全部提交后，采购方将进行项目验收。项目成果均应通过深圳市规划和自然资源局坪山管理局的专题会议审查及验收。</w:t>
      </w:r>
    </w:p>
    <w:p>
      <w:pPr>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（三）组织实施要求</w:t>
      </w:r>
    </w:p>
    <w:p>
      <w:pPr>
        <w:pageBreakBefore w:val="0"/>
        <w:kinsoku/>
        <w:wordWrap/>
        <w:overflowPunct/>
        <w:topLinePunct w:val="0"/>
        <w:autoSpaceDE/>
        <w:autoSpaceDN/>
        <w:bidi w:val="0"/>
        <w:snapToGrid/>
        <w:spacing w:line="560" w:lineRule="exact"/>
        <w:ind w:firstLine="640" w:firstLineChars="20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为确保本项目投标工作管理规范、实施有力，投标人应成立项目组，按采购人要求完成技术服务工作。</w:t>
      </w:r>
    </w:p>
    <w:p>
      <w:pPr>
        <w:pageBreakBefore w:val="0"/>
        <w:kinsoku/>
        <w:wordWrap/>
        <w:overflowPunct/>
        <w:topLinePunct w:val="0"/>
        <w:autoSpaceDE/>
        <w:autoSpaceDN/>
        <w:bidi w:val="0"/>
        <w:snapToGrid/>
        <w:spacing w:line="560" w:lineRule="exact"/>
        <w:ind w:firstLine="640" w:firstLineChars="20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（四）成果要求、维护要求</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1.提交地质灾害危险性评价报告。每个调查点单独提交一份调查报告。报告名称格式为《坪山区</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lang w:val="en-US" w:eastAsia="zh-CN"/>
        </w:rPr>
        <w:t>街道</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lang w:val="en-US" w:eastAsia="zh-CN"/>
        </w:rPr>
        <w:t>地质灾害危险性评价报告》，包括报告正文、附图、附件</w:t>
      </w:r>
      <w:r>
        <w:rPr>
          <w:rFonts w:hint="eastAsia" w:ascii="仿宋_GB2312" w:hAnsi="仿宋" w:eastAsia="仿宋_GB2312"/>
          <w:color w:val="000000"/>
          <w:sz w:val="32"/>
          <w:szCs w:val="32"/>
        </w:rPr>
        <w:t>。</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2.提交地质灾害隐患点核销调查报告。每个隐患点单独提交一份调查报告。报告名称格式为《坪山区</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lang w:val="en-US" w:eastAsia="zh-CN"/>
        </w:rPr>
        <w:t>街道</w:t>
      </w:r>
      <w:r>
        <w:rPr>
          <w:rFonts w:hint="eastAsia" w:ascii="仿宋_GB2312" w:hAnsi="仿宋" w:eastAsia="仿宋_GB2312"/>
          <w:color w:val="000000"/>
          <w:sz w:val="32"/>
          <w:szCs w:val="32"/>
          <w:u w:val="single"/>
          <w:lang w:val="en-US" w:eastAsia="zh-CN"/>
        </w:rPr>
        <w:t xml:space="preserve">      </w:t>
      </w:r>
      <w:r>
        <w:rPr>
          <w:rFonts w:hint="eastAsia" w:ascii="仿宋_GB2312" w:hAnsi="仿宋" w:eastAsia="仿宋_GB2312"/>
          <w:color w:val="000000"/>
          <w:sz w:val="32"/>
          <w:szCs w:val="32"/>
          <w:lang w:val="en-US" w:eastAsia="zh-CN"/>
        </w:rPr>
        <w:t>地质灾害隐患点核销调查报告》，包括报告正文、附图、附件</w:t>
      </w:r>
      <w:r>
        <w:rPr>
          <w:rFonts w:hint="eastAsia" w:ascii="仿宋_GB2312" w:hAnsi="仿宋" w:eastAsia="仿宋_GB2312"/>
          <w:color w:val="000000"/>
          <w:sz w:val="32"/>
          <w:szCs w:val="32"/>
        </w:rPr>
        <w:t>。</w:t>
      </w:r>
    </w:p>
    <w:p>
      <w:pPr>
        <w:spacing w:line="560" w:lineRule="exact"/>
        <w:ind w:firstLine="640" w:firstLineChars="200"/>
        <w:jc w:val="both"/>
        <w:rPr>
          <w:rFonts w:hint="eastAsia" w:ascii="仿宋_GB2312" w:hAnsi="仿宋" w:eastAsia="仿宋_GB2312"/>
          <w:color w:val="000000"/>
          <w:sz w:val="32"/>
          <w:szCs w:val="32"/>
        </w:rPr>
      </w:pPr>
      <w:r>
        <w:rPr>
          <w:rFonts w:hint="eastAsia" w:ascii="仿宋_GB2312" w:eastAsia="仿宋_GB2312"/>
          <w:sz w:val="32"/>
          <w:szCs w:val="32"/>
        </w:rPr>
        <w:t>上述成果报告均为Word格式，</w:t>
      </w:r>
      <w:bookmarkStart w:id="0" w:name="_GoBack"/>
      <w:bookmarkEnd w:id="0"/>
      <w:r>
        <w:rPr>
          <w:rFonts w:hint="eastAsia" w:ascii="仿宋_GB2312" w:eastAsia="仿宋_GB2312"/>
          <w:sz w:val="32"/>
          <w:szCs w:val="32"/>
        </w:rPr>
        <w:t>附图为CAD格式。纸质版和电子版各一式三份。</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b w:val="0"/>
          <w:bCs/>
          <w:sz w:val="32"/>
          <w:szCs w:val="32"/>
          <w:lang w:val="en-US" w:eastAsia="zh-CN"/>
        </w:rPr>
      </w:pPr>
      <w:r>
        <w:rPr>
          <w:rFonts w:hint="eastAsia" w:ascii="仿宋_GB2312" w:hAnsi="仿宋" w:eastAsia="仿宋_GB2312"/>
          <w:color w:val="000000"/>
          <w:sz w:val="32"/>
          <w:szCs w:val="32"/>
          <w:highlight w:val="none"/>
          <w:lang w:val="en-US" w:eastAsia="zh-CN"/>
        </w:rPr>
        <w:t>（五）技术培训要求、项目人员安排要求</w:t>
      </w:r>
    </w:p>
    <w:p>
      <w:pPr>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hAnsi="仿宋" w:eastAsia="仿宋_GB2312"/>
          <w:b w:val="0"/>
          <w:bCs/>
          <w:sz w:val="32"/>
          <w:szCs w:val="32"/>
          <w:lang w:val="en-US" w:eastAsia="zh-CN"/>
        </w:rPr>
      </w:pPr>
      <w:r>
        <w:rPr>
          <w:rFonts w:hint="eastAsia" w:ascii="仿宋_GB2312" w:hAnsi="仿宋" w:eastAsia="仿宋_GB2312"/>
          <w:b w:val="0"/>
          <w:bCs/>
          <w:sz w:val="32"/>
          <w:szCs w:val="32"/>
          <w:lang w:val="en-US" w:eastAsia="zh-CN"/>
        </w:rPr>
        <w:t>1.投标人应按采购人需求，对项目组成团队人员进行技术培训。</w:t>
      </w:r>
    </w:p>
    <w:p>
      <w:pPr>
        <w:pStyle w:val="7"/>
        <w:pageBreakBefore w:val="0"/>
        <w:kinsoku/>
        <w:wordWrap/>
        <w:overflowPunct/>
        <w:topLinePunct w:val="0"/>
        <w:autoSpaceDE/>
        <w:autoSpaceDN/>
        <w:bidi w:val="0"/>
        <w:snapToGrid/>
        <w:spacing w:after="0" w:line="560" w:lineRule="exact"/>
        <w:ind w:firstLine="640" w:firstLineChars="20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b w:val="0"/>
          <w:bCs/>
          <w:sz w:val="32"/>
          <w:szCs w:val="32"/>
          <w:lang w:val="en-US" w:eastAsia="zh-CN"/>
        </w:rPr>
        <w:t>2.</w:t>
      </w:r>
      <w:r>
        <w:rPr>
          <w:rFonts w:hint="eastAsia" w:ascii="仿宋_GB2312" w:eastAsia="仿宋_GB2312"/>
          <w:sz w:val="32"/>
          <w:szCs w:val="32"/>
          <w:lang w:val="en-US" w:eastAsia="zh-CN"/>
        </w:rPr>
        <w:t>投标方需安排至少</w:t>
      </w:r>
      <w:r>
        <w:rPr>
          <w:rFonts w:ascii="仿宋_GB2312" w:eastAsia="仿宋_GB2312"/>
          <w:sz w:val="32"/>
          <w:szCs w:val="32"/>
          <w:lang w:val="en-US" w:eastAsia="zh-CN"/>
        </w:rPr>
        <w:t>3</w:t>
      </w:r>
      <w:r>
        <w:rPr>
          <w:rFonts w:hint="eastAsia" w:ascii="仿宋_GB2312" w:eastAsia="仿宋_GB2312"/>
          <w:sz w:val="32"/>
          <w:szCs w:val="32"/>
          <w:lang w:val="en-US" w:eastAsia="zh-CN"/>
        </w:rPr>
        <w:t>名专职人员组建项目组参与项目的</w:t>
      </w:r>
      <w:r>
        <w:rPr>
          <w:rFonts w:hint="eastAsia" w:ascii="仿宋_GB2312" w:hAnsi="仿宋" w:eastAsia="仿宋_GB2312" w:cs="Times New Roman"/>
          <w:color w:val="000000"/>
          <w:kern w:val="2"/>
          <w:sz w:val="32"/>
          <w:szCs w:val="32"/>
          <w:lang w:val="en-US" w:eastAsia="zh-CN" w:bidi="ar-SA"/>
        </w:rPr>
        <w:t>实施。</w:t>
      </w:r>
    </w:p>
    <w:p>
      <w:pPr>
        <w:pStyle w:val="7"/>
        <w:pageBreakBefore w:val="0"/>
        <w:kinsoku/>
        <w:wordWrap/>
        <w:overflowPunct/>
        <w:topLinePunct w:val="0"/>
        <w:autoSpaceDE/>
        <w:autoSpaceDN/>
        <w:bidi w:val="0"/>
        <w:snapToGrid/>
        <w:spacing w:after="0" w:line="560" w:lineRule="exact"/>
        <w:ind w:firstLine="640" w:firstLineChars="200"/>
        <w:jc w:val="both"/>
        <w:textAlignment w:val="auto"/>
        <w:rPr>
          <w:rFonts w:ascii="仿宋_GB2312" w:eastAsia="仿宋_GB2312"/>
          <w:sz w:val="32"/>
          <w:szCs w:val="32"/>
          <w:lang w:val="en-US" w:eastAsia="zh-CN"/>
        </w:rPr>
      </w:pPr>
      <w:r>
        <w:rPr>
          <w:rFonts w:hint="eastAsia" w:ascii="仿宋_GB2312" w:eastAsia="仿宋_GB2312"/>
          <w:sz w:val="32"/>
          <w:szCs w:val="32"/>
          <w:lang w:val="en-US" w:eastAsia="zh-CN"/>
        </w:rPr>
        <w:t>3.项目负责人如有不尽其职或虚名挂靠，采购人有权要求撤换，直至要求终止合同，由此造成的后果由中标单位负责。</w:t>
      </w:r>
    </w:p>
    <w:p>
      <w:pPr>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.参与人员名单在项目实施过程中原则上不能更换，如确需更换，必须征得采购方的同意。</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lang w:val="en-US" w:eastAsia="zh-CN"/>
        </w:rPr>
        <w:t>（六）售后服务内容、要求和期限</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lang w:val="en-US" w:eastAsia="zh-CN"/>
        </w:rPr>
        <w:t>1.项目承担单位应安排专人负责售后技术支持，并提供真实有效的联系方式，保持通讯畅通；如人员需调整应及时通知采购人；</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default"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lang w:val="en-US" w:eastAsia="zh-CN"/>
        </w:rPr>
        <w:t>2.售后服务期限从最终成果提交采购人之日起1年。</w:t>
      </w:r>
    </w:p>
    <w:p>
      <w:pPr>
        <w:pStyle w:val="12"/>
        <w:pageBreakBefore w:val="0"/>
        <w:kinsoku/>
        <w:wordWrap/>
        <w:overflowPunct/>
        <w:topLinePunct w:val="0"/>
        <w:autoSpaceDE/>
        <w:autoSpaceDN/>
        <w:bidi w:val="0"/>
        <w:adjustRightInd w:val="0"/>
        <w:snapToGrid/>
        <w:spacing w:line="560" w:lineRule="exact"/>
        <w:ind w:left="0" w:leftChars="0" w:firstLine="0" w:firstLineChars="0"/>
        <w:jc w:val="both"/>
        <w:textAlignment w:val="auto"/>
        <w:rPr>
          <w:rFonts w:hint="eastAsia" w:ascii="仿宋_GB2312" w:hAnsi="仿宋" w:eastAsia="仿宋_GB2312" w:cs="Times New Roman"/>
          <w:b/>
          <w:bCs/>
          <w:color w:val="000000"/>
          <w:kern w:val="2"/>
          <w:sz w:val="32"/>
          <w:szCs w:val="32"/>
          <w:lang w:val="en-US" w:eastAsia="zh-CN" w:bidi="ar-SA"/>
        </w:rPr>
      </w:pPr>
      <w:r>
        <w:rPr>
          <w:rFonts w:hint="eastAsia" w:ascii="仿宋_GB2312" w:hAnsi="仿宋" w:eastAsia="仿宋_GB2312" w:cs="Times New Roman"/>
          <w:b/>
          <w:bCs/>
          <w:color w:val="000000"/>
          <w:kern w:val="2"/>
          <w:sz w:val="32"/>
          <w:szCs w:val="32"/>
          <w:lang w:val="en-US" w:eastAsia="zh-CN" w:bidi="ar-SA"/>
        </w:rPr>
        <w:t>三、供应商资格要求</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满足《中华人民共和国政府采购法》第二十二条规定（须提供具有独立承担民事责任能力的法人或其他组织或个体工商户的营业执照或法人证书等证明材料复印件或扫描件以及《政府采购投标及履约承诺函》加盖投标人公章）。如果是分支机构参与投标，还须同时提供其具有独立法人资格的上级主体出具的有效授权书及上级主体的营业执照或法人证书等证明材料复印件或扫描件加盖投标人公章；本项目不接受总公司与分支机构同时参与投标，也不接受同一总公司有两个或以上分支机构参与投标，如出现以上情形，该两家或以上投标人均按无效投标处理。</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2、落实政府采购政策需满足的资格要求：无。</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3、是否专门面向中小企业：否</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4本项目的特定资格要求： </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（1）参与本项目采购活动前三年内，在经营活动中没有重大违法记录（须按本项目投标文件格式要求提供《政府采购投标及履约承诺函》加盖投标人公章）；</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（2）参与本项目政府采购活动时不存在被有关部门禁止参与政府采购活动且在有效期内的情况（须按本项目投标文件格式要求提供《政府采购投标及履约承诺函》加盖投标人公章）；</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5）单位负责人为同一人或者存在直接控股、管理关系的不同供应商，不得参加同一合同项下的政府采购活动，采购代理机构通过国家企业信用信息公示系统（https://www.gsxt.gov.cn/index.html）或机关赋码和事业单位登记管理网（http://www.gjsy.gov.cn/sydwfrxxcx/）或全国社会组织信用信息公示平台（https://xxgs.chinanpo.mca.gov.cn/gsxt/newList）网站查询投标人信息，投标人无需提供证明材料；</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6）未被列入失信被执行人、重大税收违法案件当事人名单及政府采购严重违法失信行为记录名单（信用中国网“信用服务”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（7）本项目不接受联合体投标，不允许非法分包或转包。</w:t>
      </w:r>
    </w:p>
    <w:p>
      <w:pPr>
        <w:pStyle w:val="12"/>
        <w:pageBreakBefore w:val="0"/>
        <w:kinsoku/>
        <w:wordWrap/>
        <w:overflowPunct/>
        <w:topLinePunct w:val="0"/>
        <w:autoSpaceDE/>
        <w:autoSpaceDN/>
        <w:bidi w:val="0"/>
        <w:adjustRightInd w:val="0"/>
        <w:snapToGrid/>
        <w:spacing w:line="560" w:lineRule="exact"/>
        <w:ind w:left="0" w:leftChars="0" w:firstLine="0" w:firstLineChars="0"/>
        <w:jc w:val="both"/>
        <w:textAlignment w:val="auto"/>
        <w:rPr>
          <w:rFonts w:hint="eastAsia" w:ascii="仿宋_GB2312" w:hAnsi="仿宋" w:eastAsia="仿宋_GB2312" w:cs="Times New Roman"/>
          <w:b/>
          <w:bCs/>
          <w:color w:val="000000"/>
          <w:kern w:val="2"/>
          <w:sz w:val="32"/>
          <w:szCs w:val="32"/>
          <w:lang w:val="en-US" w:eastAsia="zh-CN" w:bidi="ar-SA"/>
        </w:rPr>
      </w:pPr>
      <w:r>
        <w:rPr>
          <w:rFonts w:hint="eastAsia" w:ascii="仿宋_GB2312" w:hAnsi="仿宋" w:eastAsia="仿宋_GB2312" w:cs="Times New Roman"/>
          <w:b/>
          <w:bCs/>
          <w:color w:val="000000"/>
          <w:kern w:val="2"/>
          <w:sz w:val="32"/>
          <w:szCs w:val="32"/>
          <w:lang w:val="en-US" w:eastAsia="zh-CN" w:bidi="ar-SA"/>
        </w:rPr>
        <w:t>四、采购方式及评标定标方法</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根据《深圳经济特区政府采购条例》及政府采购相关规定，结合本项目特点，本项目采用邀请招标方式，最低价中标。</w:t>
      </w:r>
    </w:p>
    <w:p>
      <w:pPr>
        <w:pStyle w:val="12"/>
        <w:pageBreakBefore w:val="0"/>
        <w:kinsoku/>
        <w:wordWrap/>
        <w:overflowPunct/>
        <w:topLinePunct w:val="0"/>
        <w:autoSpaceDE/>
        <w:autoSpaceDN/>
        <w:bidi w:val="0"/>
        <w:adjustRightInd w:val="0"/>
        <w:snapToGrid/>
        <w:spacing w:line="560" w:lineRule="exact"/>
        <w:ind w:left="0" w:leftChars="0" w:firstLine="0" w:firstLineChars="0"/>
        <w:jc w:val="both"/>
        <w:textAlignment w:val="auto"/>
        <w:rPr>
          <w:rFonts w:hint="eastAsia" w:ascii="仿宋_GB2312" w:hAnsi="仿宋" w:eastAsia="仿宋_GB2312" w:cs="Times New Roman"/>
          <w:b/>
          <w:bCs/>
          <w:color w:val="000000"/>
          <w:kern w:val="2"/>
          <w:sz w:val="32"/>
          <w:szCs w:val="32"/>
          <w:lang w:val="en-US" w:eastAsia="zh-CN" w:bidi="ar-SA"/>
        </w:rPr>
      </w:pPr>
      <w:r>
        <w:rPr>
          <w:rFonts w:hint="eastAsia" w:ascii="仿宋_GB2312" w:hAnsi="仿宋" w:eastAsia="仿宋_GB2312" w:cs="Times New Roman"/>
          <w:b/>
          <w:bCs/>
          <w:color w:val="000000"/>
          <w:kern w:val="2"/>
          <w:sz w:val="32"/>
          <w:szCs w:val="32"/>
          <w:lang w:val="en-US" w:eastAsia="zh-CN" w:bidi="ar-SA"/>
        </w:rPr>
        <w:t>五、预算金额</w:t>
      </w:r>
    </w:p>
    <w:p>
      <w:pPr>
        <w:pStyle w:val="12"/>
        <w:pageBreakBefore w:val="0"/>
        <w:kinsoku/>
        <w:wordWrap/>
        <w:overflowPunct/>
        <w:topLinePunct w:val="0"/>
        <w:autoSpaceDE/>
        <w:autoSpaceDN/>
        <w:bidi w:val="0"/>
        <w:adjustRightInd w:val="0"/>
        <w:snapToGrid/>
        <w:spacing w:line="560" w:lineRule="exact"/>
        <w:ind w:firstLine="64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000000"/>
          <w:sz w:val="32"/>
          <w:szCs w:val="32"/>
        </w:rPr>
        <w:t>本项目</w:t>
      </w:r>
      <w:r>
        <w:rPr>
          <w:rFonts w:hint="default" w:ascii="Times New Roman" w:hAnsi="Times New Roman" w:eastAsia="仿宋_GB2312" w:cs="Times New Roman"/>
          <w:color w:val="000000"/>
          <w:sz w:val="32"/>
          <w:szCs w:val="32"/>
          <w:lang w:eastAsia="zh-CN"/>
        </w:rPr>
        <w:t>的</w:t>
      </w:r>
      <w:r>
        <w:rPr>
          <w:rFonts w:hint="default" w:ascii="Times New Roman" w:hAnsi="Times New Roman" w:eastAsia="仿宋_GB2312" w:cs="Times New Roman"/>
          <w:color w:val="000000"/>
          <w:sz w:val="32"/>
          <w:szCs w:val="32"/>
        </w:rPr>
        <w:t>预算</w:t>
      </w:r>
      <w:r>
        <w:rPr>
          <w:rFonts w:hint="default" w:ascii="Times New Roman" w:hAnsi="Times New Roman" w:eastAsia="仿宋_GB2312" w:cs="Times New Roman"/>
          <w:color w:val="000000"/>
          <w:sz w:val="32"/>
          <w:szCs w:val="32"/>
          <w:lang w:val="en-US" w:eastAsia="zh-CN"/>
        </w:rPr>
        <w:t>金额为</w:t>
      </w:r>
      <w:r>
        <w:rPr>
          <w:rFonts w:hint="default" w:ascii="Times New Roman" w:hAnsi="Times New Roman" w:eastAsia="仿宋_GB2312" w:cs="Times New Roman"/>
          <w:color w:val="000000"/>
          <w:sz w:val="32"/>
          <w:szCs w:val="32"/>
          <w:highlight w:val="red"/>
          <w:lang w:val="en-US" w:eastAsia="zh-CN"/>
        </w:rPr>
        <w:t>¥50,000.00</w:t>
      </w:r>
      <w:r>
        <w:rPr>
          <w:rFonts w:hint="default" w:ascii="Times New Roman" w:hAnsi="Times New Roman" w:eastAsia="仿宋_GB2312" w:cs="Times New Roman"/>
          <w:color w:val="000000"/>
          <w:sz w:val="32"/>
          <w:szCs w:val="32"/>
        </w:rPr>
        <w:t>元</w:t>
      </w:r>
      <w:r>
        <w:rPr>
          <w:rFonts w:hint="eastAsia" w:eastAsia="仿宋_GB2312" w:cs="Times New Roman"/>
          <w:color w:val="000000"/>
          <w:sz w:val="32"/>
          <w:szCs w:val="32"/>
          <w:lang w:eastAsia="zh-CN"/>
        </w:rPr>
        <w:t>，</w:t>
      </w:r>
      <w:r>
        <w:rPr>
          <w:rFonts w:hint="eastAsia" w:ascii="仿宋_GB2312" w:hAnsi="仿宋" w:eastAsia="仿宋_GB2312"/>
          <w:color w:val="000000"/>
          <w:sz w:val="32"/>
          <w:szCs w:val="32"/>
        </w:rPr>
        <w:t>投标方报价不应高于此预算</w:t>
      </w:r>
      <w:r>
        <w:rPr>
          <w:rFonts w:hint="default" w:ascii="Times New Roman" w:hAnsi="Times New Roman" w:eastAsia="仿宋_GB2312" w:cs="Times New Roman"/>
          <w:color w:val="000000"/>
          <w:sz w:val="32"/>
          <w:szCs w:val="32"/>
        </w:rPr>
        <w:t>。</w:t>
      </w:r>
    </w:p>
    <w:p>
      <w:pPr>
        <w:pStyle w:val="12"/>
        <w:pageBreakBefore w:val="0"/>
        <w:kinsoku/>
        <w:wordWrap/>
        <w:overflowPunct/>
        <w:topLinePunct w:val="0"/>
        <w:autoSpaceDE/>
        <w:autoSpaceDN/>
        <w:bidi w:val="0"/>
        <w:adjustRightInd w:val="0"/>
        <w:snapToGrid/>
        <w:spacing w:line="560" w:lineRule="exact"/>
        <w:ind w:left="0" w:leftChars="0" w:firstLine="0" w:firstLineChars="0"/>
        <w:jc w:val="both"/>
        <w:textAlignment w:val="auto"/>
        <w:rPr>
          <w:rFonts w:hint="eastAsia" w:ascii="仿宋_GB2312" w:hAnsi="仿宋" w:eastAsia="仿宋_GB2312" w:cs="Times New Roman"/>
          <w:b/>
          <w:bCs/>
          <w:color w:val="000000"/>
          <w:kern w:val="2"/>
          <w:sz w:val="32"/>
          <w:szCs w:val="32"/>
          <w:lang w:val="en-US" w:eastAsia="zh-CN" w:bidi="ar-SA"/>
        </w:rPr>
      </w:pPr>
      <w:r>
        <w:rPr>
          <w:rFonts w:hint="eastAsia" w:ascii="仿宋_GB2312" w:hAnsi="仿宋" w:eastAsia="仿宋_GB2312" w:cs="Times New Roman"/>
          <w:b/>
          <w:bCs/>
          <w:color w:val="000000"/>
          <w:kern w:val="2"/>
          <w:sz w:val="32"/>
          <w:szCs w:val="32"/>
          <w:lang w:val="en-US" w:eastAsia="zh-CN" w:bidi="ar-SA"/>
        </w:rPr>
        <w:t>六、商务需求</w:t>
      </w:r>
    </w:p>
    <w:p>
      <w:pPr>
        <w:pStyle w:val="12"/>
        <w:pageBreakBefore w:val="0"/>
        <w:kinsoku/>
        <w:wordWrap/>
        <w:overflowPunct/>
        <w:topLinePunct w:val="0"/>
        <w:autoSpaceDE/>
        <w:autoSpaceDN/>
        <w:bidi w:val="0"/>
        <w:adjustRightInd w:val="0"/>
        <w:snapToGrid/>
        <w:spacing w:line="560" w:lineRule="exact"/>
        <w:ind w:firstLine="64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（一）服务期：</w:t>
      </w:r>
      <w:r>
        <w:rPr>
          <w:rFonts w:hint="eastAsia" w:ascii="仿宋_GB2312" w:hAnsi="仿宋" w:eastAsia="仿宋_GB2312"/>
          <w:color w:val="000000"/>
          <w:sz w:val="32"/>
          <w:szCs w:val="32"/>
          <w:lang w:val="en-US" w:eastAsia="zh-CN"/>
        </w:rPr>
        <w:t>合同签订之日起12个月</w:t>
      </w:r>
      <w:r>
        <w:rPr>
          <w:rFonts w:hint="eastAsia" w:ascii="仿宋_GB2312" w:hAnsi="仿宋" w:eastAsia="仿宋_GB2312"/>
          <w:color w:val="000000"/>
          <w:sz w:val="32"/>
          <w:szCs w:val="32"/>
        </w:rPr>
        <w:t>。</w:t>
      </w:r>
    </w:p>
    <w:p>
      <w:pPr>
        <w:pStyle w:val="12"/>
        <w:pageBreakBefore w:val="0"/>
        <w:kinsoku/>
        <w:wordWrap/>
        <w:overflowPunct/>
        <w:topLinePunct w:val="0"/>
        <w:autoSpaceDE/>
        <w:autoSpaceDN/>
        <w:bidi w:val="0"/>
        <w:adjustRightInd w:val="0"/>
        <w:snapToGrid/>
        <w:spacing w:line="560" w:lineRule="exact"/>
        <w:ind w:firstLine="640"/>
        <w:textAlignment w:val="auto"/>
        <w:rPr>
          <w:rFonts w:ascii="仿宋_GB2312" w:hAnsi="仿宋" w:eastAsia="仿宋_GB2312"/>
          <w:color w:val="000000"/>
          <w:sz w:val="32"/>
          <w:szCs w:val="32"/>
          <w:highlight w:val="none"/>
        </w:rPr>
      </w:pPr>
      <w:r>
        <w:rPr>
          <w:rFonts w:hint="eastAsia" w:ascii="仿宋_GB2312" w:hAnsi="仿宋" w:eastAsia="仿宋_GB2312"/>
          <w:color w:val="000000"/>
          <w:sz w:val="32"/>
          <w:szCs w:val="32"/>
        </w:rPr>
        <w:t>（二）</w:t>
      </w:r>
      <w:r>
        <w:rPr>
          <w:rFonts w:hint="eastAsia" w:ascii="仿宋_GB2312" w:hAnsi="仿宋" w:eastAsia="仿宋_GB2312"/>
          <w:color w:val="000000"/>
          <w:sz w:val="32"/>
          <w:szCs w:val="32"/>
          <w:highlight w:val="none"/>
        </w:rPr>
        <w:t>服务地点：深圳市坪山区。</w:t>
      </w:r>
    </w:p>
    <w:p>
      <w:pPr>
        <w:pStyle w:val="12"/>
        <w:pageBreakBefore w:val="0"/>
        <w:kinsoku/>
        <w:wordWrap/>
        <w:overflowPunct/>
        <w:topLinePunct w:val="0"/>
        <w:autoSpaceDE/>
        <w:autoSpaceDN/>
        <w:bidi w:val="0"/>
        <w:adjustRightInd w:val="0"/>
        <w:snapToGrid/>
        <w:spacing w:line="560" w:lineRule="exact"/>
        <w:ind w:firstLine="640"/>
        <w:textAlignment w:val="auto"/>
        <w:rPr>
          <w:rFonts w:ascii="仿宋_GB2312" w:hAnsi="仿宋" w:eastAsia="仿宋_GB2312"/>
          <w:color w:val="000000"/>
          <w:sz w:val="32"/>
          <w:szCs w:val="32"/>
          <w:highlight w:val="none"/>
        </w:rPr>
      </w:pPr>
      <w:r>
        <w:rPr>
          <w:rFonts w:hint="eastAsia" w:ascii="仿宋_GB2312" w:hAnsi="仿宋" w:eastAsia="仿宋_GB2312"/>
          <w:color w:val="000000"/>
          <w:sz w:val="32"/>
          <w:szCs w:val="32"/>
          <w:highlight w:val="none"/>
        </w:rPr>
        <w:t>（三）报价要求：</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default"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rPr>
        <w:t>1.本项目服务费采用暂定制，应包括服务成本、法定税费和企业的利润。由投标供应商根据采购文件所提供的资料自行测算投标报价</w:t>
      </w:r>
      <w:r>
        <w:rPr>
          <w:rFonts w:hint="eastAsia" w:ascii="仿宋_GB2312" w:hAnsi="仿宋" w:eastAsia="仿宋_GB2312"/>
          <w:color w:val="000000"/>
          <w:sz w:val="32"/>
          <w:szCs w:val="32"/>
          <w:highlight w:val="none"/>
          <w:lang w:eastAsia="zh-CN"/>
        </w:rPr>
        <w:t>的</w:t>
      </w:r>
      <w:r>
        <w:rPr>
          <w:rFonts w:hint="eastAsia" w:ascii="仿宋_GB2312" w:hAnsi="仿宋" w:eastAsia="仿宋_GB2312"/>
          <w:color w:val="000000"/>
          <w:sz w:val="32"/>
          <w:szCs w:val="32"/>
          <w:highlight w:val="none"/>
          <w:lang w:val="en-US" w:eastAsia="zh-CN"/>
        </w:rPr>
        <w:t>单价及总价</w:t>
      </w:r>
      <w:r>
        <w:rPr>
          <w:rFonts w:hint="eastAsia" w:ascii="仿宋_GB2312" w:hAnsi="仿宋" w:eastAsia="仿宋_GB2312"/>
          <w:color w:val="000000"/>
          <w:sz w:val="32"/>
          <w:szCs w:val="32"/>
          <w:highlight w:val="none"/>
        </w:rPr>
        <w:t>；一经中标，报价总价作为中标供应商与采购人签定的合同金额，合同期限内不做调整。</w:t>
      </w:r>
      <w:r>
        <w:rPr>
          <w:rFonts w:hint="eastAsia" w:ascii="仿宋_GB2312" w:hAnsi="仿宋" w:eastAsia="仿宋_GB2312"/>
          <w:color w:val="000000"/>
          <w:sz w:val="32"/>
          <w:szCs w:val="32"/>
          <w:highlight w:val="none"/>
          <w:lang w:val="en-US" w:eastAsia="zh-CN"/>
        </w:rPr>
        <w:t>项目结算以实际发生为准，最终结算总价不高于合同价。</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2.投标供应商应当根据本企业的成本自行决定报价，但不得以低于其企业成本的报价投标。</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3.投标供应商的报价不得超过项目预算金额。</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4.投标供应商的报价，应当是本项目采购范围和采购文件及合同条款上所列的各项内容中所述的全部，不得以任何理由予以重复。</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6.投标供应商应先到项目地点踏勘以充分了解项目的位置、情况、道路及任何其它足以影响投标报价的情况，任何因忽视或误解项目情况而导致的索赔或服务期限延长申请将不获批准。</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7.投标供应商不得期望通过索赔等方式获取补偿，否则，除可能遭到拒绝外，还可能将被作为不良行为记录在案，并可能影响其以后参加政府采购的项目投标。各投标供应商在报价时，应充分考虑报价的风险。</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（四）付款方式：</w:t>
      </w:r>
      <w:r>
        <w:rPr>
          <w:rFonts w:hint="eastAsia" w:ascii="仿宋_GB2312" w:hAnsi="仿宋" w:eastAsia="仿宋_GB2312"/>
          <w:color w:val="000000"/>
          <w:sz w:val="32"/>
          <w:szCs w:val="32"/>
          <w:lang w:val="en-US" w:eastAsia="zh-CN"/>
        </w:rPr>
        <w:t>按</w:t>
      </w:r>
      <w:r>
        <w:rPr>
          <w:rFonts w:hint="eastAsia" w:ascii="仿宋_GB2312" w:hAnsi="仿宋" w:eastAsia="仿宋_GB2312"/>
          <w:color w:val="000000"/>
          <w:sz w:val="32"/>
          <w:szCs w:val="32"/>
        </w:rPr>
        <w:t>合同约定</w:t>
      </w:r>
      <w:r>
        <w:rPr>
          <w:rFonts w:hint="eastAsia" w:ascii="仿宋_GB2312" w:hAnsi="仿宋" w:eastAsia="仿宋_GB2312"/>
          <w:color w:val="000000"/>
          <w:sz w:val="32"/>
          <w:szCs w:val="32"/>
          <w:lang w:val="en-US" w:eastAsia="zh-CN"/>
        </w:rPr>
        <w:t>付款</w:t>
      </w:r>
      <w:r>
        <w:rPr>
          <w:rFonts w:hint="eastAsia" w:ascii="仿宋_GB2312" w:hAnsi="仿宋" w:eastAsia="仿宋_GB2312"/>
          <w:color w:val="000000"/>
          <w:sz w:val="32"/>
          <w:szCs w:val="32"/>
        </w:rPr>
        <w:t>。</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（五）履约担保金：无。</w:t>
      </w:r>
    </w:p>
    <w:p>
      <w:pPr>
        <w:pStyle w:val="12"/>
        <w:pageBreakBefore w:val="0"/>
        <w:kinsoku/>
        <w:wordWrap/>
        <w:overflowPunct/>
        <w:topLinePunct w:val="0"/>
        <w:autoSpaceDE/>
        <w:autoSpaceDN/>
        <w:bidi w:val="0"/>
        <w:adjustRightInd w:val="0"/>
        <w:snapToGrid/>
        <w:spacing w:line="560" w:lineRule="exact"/>
        <w:ind w:firstLine="480" w:firstLineChars="15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 xml:space="preserve">（六）违约责任： </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1.任何一方不履行合同义务或者履行合同义务不符合约定条件的，应当承担继续履行、采取补救措施或者赔偿损失等违约责任。</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2.合同生效后，任何一方无正当理由解除合同或不按期履行合同时，应向对方支付合同款10%的违约金。</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3.因中标方原因未按合同期限提交技术咨询成果，超过30日以上，甲方有权解除合同。</w:t>
      </w:r>
    </w:p>
    <w:p>
      <w:pPr>
        <w:pStyle w:val="2"/>
        <w:spacing w:line="560" w:lineRule="exact"/>
        <w:ind w:firstLine="643" w:firstLineChars="201"/>
        <w:outlineLvl w:val="0"/>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rPr>
        <w:t>（七）其他</w:t>
      </w:r>
      <w:r>
        <w:rPr>
          <w:rFonts w:hint="eastAsia" w:ascii="仿宋_GB2312" w:hAnsi="仿宋" w:eastAsia="仿宋_GB2312" w:cs="Times New Roman"/>
          <w:color w:val="000000"/>
          <w:sz w:val="32"/>
          <w:szCs w:val="32"/>
          <w:lang w:eastAsia="zh-CN"/>
        </w:rPr>
        <w:t>：</w:t>
      </w:r>
    </w:p>
    <w:p>
      <w:pPr>
        <w:pStyle w:val="2"/>
        <w:spacing w:line="560" w:lineRule="exact"/>
        <w:ind w:firstLine="643" w:firstLineChars="201"/>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1.投标人必须签署《政府采购投标及履约承诺函》及《政府采购违法行为风险知悉确认书》。</w:t>
      </w:r>
    </w:p>
    <w:p>
      <w:pPr>
        <w:pStyle w:val="2"/>
        <w:spacing w:line="560" w:lineRule="exact"/>
        <w:ind w:firstLine="643" w:firstLineChars="201"/>
        <w:outlineLvl w:val="0"/>
        <w:rPr>
          <w:rFonts w:hint="eastAsia" w:ascii="仿宋_GB2312" w:hAnsi="仿宋" w:eastAsia="仿宋_GB2312" w:cs="Times New Roman"/>
          <w:color w:val="000000"/>
          <w:sz w:val="32"/>
          <w:szCs w:val="32"/>
        </w:rPr>
      </w:pPr>
    </w:p>
    <w:p>
      <w:pPr>
        <w:pStyle w:val="2"/>
        <w:spacing w:line="560" w:lineRule="exact"/>
        <w:ind w:firstLine="643" w:firstLineChars="201"/>
        <w:outlineLvl w:val="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附件：1.政府采购投标及履约承诺函</w:t>
      </w:r>
    </w:p>
    <w:p>
      <w:pPr>
        <w:pStyle w:val="2"/>
        <w:spacing w:line="560" w:lineRule="exact"/>
        <w:ind w:firstLine="643" w:firstLineChars="201"/>
        <w:outlineLvl w:val="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 xml:space="preserve">      2.政府采购违法行为风险知悉确认书</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ascii="仿宋_GB2312" w:hAnsi="仿宋" w:eastAsia="仿宋_GB2312" w:cs="Times New Roman"/>
          <w:color w:val="000000"/>
          <w:sz w:val="32"/>
          <w:szCs w:val="32"/>
        </w:rPr>
      </w:pPr>
    </w:p>
    <w:p>
      <w:pPr>
        <w:rPr>
          <w:rFonts w:ascii="仿宋_GB2312" w:hAnsi="仿宋" w:eastAsia="仿宋_GB2312" w:cs="Times New Roman"/>
          <w:color w:val="000000"/>
          <w:sz w:val="32"/>
          <w:szCs w:val="32"/>
        </w:rPr>
      </w:pPr>
      <w:r>
        <w:rPr>
          <w:rFonts w:ascii="仿宋_GB2312" w:hAnsi="仿宋" w:eastAsia="仿宋_GB2312" w:cs="Times New Roman"/>
          <w:color w:val="000000"/>
          <w:sz w:val="32"/>
          <w:szCs w:val="32"/>
        </w:rPr>
        <w:br w:type="page"/>
      </w:r>
    </w:p>
    <w:p>
      <w:pPr>
        <w:pStyle w:val="2"/>
        <w:pageBreakBefore w:val="0"/>
        <w:kinsoku/>
        <w:wordWrap/>
        <w:overflowPunct/>
        <w:topLinePunct w:val="0"/>
        <w:autoSpaceDE/>
        <w:autoSpaceDN/>
        <w:bidi w:val="0"/>
        <w:snapToGrid/>
        <w:spacing w:line="560" w:lineRule="exact"/>
        <w:textAlignment w:val="auto"/>
        <w:outlineLvl w:val="0"/>
        <w:rPr>
          <w:rFonts w:hint="eastAsia" w:ascii="仿宋_GB2312" w:hAnsi="仿宋" w:eastAsia="黑体" w:cs="Times New Roman"/>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1</w:t>
      </w:r>
    </w:p>
    <w:p>
      <w:pPr>
        <w:pageBreakBefore w:val="0"/>
        <w:kinsoku/>
        <w:wordWrap/>
        <w:overflowPunct/>
        <w:topLinePunct w:val="0"/>
        <w:autoSpaceDE/>
        <w:autoSpaceDN/>
        <w:bidi w:val="0"/>
        <w:snapToGrid/>
        <w:spacing w:line="560" w:lineRule="exact"/>
        <w:jc w:val="center"/>
        <w:textAlignment w:val="auto"/>
        <w:rPr>
          <w:rFonts w:ascii="方正小标宋_GBK" w:hAnsi="黑体" w:eastAsia="方正小标宋_GBK" w:cs="黑体"/>
          <w:bCs/>
          <w:color w:val="000000"/>
          <w:kern w:val="0"/>
          <w:sz w:val="44"/>
          <w:szCs w:val="44"/>
        </w:rPr>
      </w:pPr>
      <w:r>
        <w:rPr>
          <w:rFonts w:hint="eastAsia" w:ascii="方正小标宋_GBK" w:hAnsi="黑体" w:eastAsia="方正小标宋_GBK" w:cs="黑体"/>
          <w:bCs/>
          <w:color w:val="000000"/>
          <w:kern w:val="0"/>
          <w:sz w:val="44"/>
          <w:szCs w:val="44"/>
        </w:rPr>
        <w:t>政府采购投标及履约承诺函</w:t>
      </w:r>
    </w:p>
    <w:p>
      <w:pPr>
        <w:pageBreakBefore w:val="0"/>
        <w:kinsoku/>
        <w:wordWrap/>
        <w:overflowPunct/>
        <w:topLinePunct w:val="0"/>
        <w:autoSpaceDE/>
        <w:autoSpaceDN/>
        <w:bidi w:val="0"/>
        <w:snapToGrid/>
        <w:spacing w:line="560" w:lineRule="exact"/>
        <w:jc w:val="center"/>
        <w:textAlignment w:val="auto"/>
        <w:rPr>
          <w:rFonts w:ascii="方正小标宋_GBK" w:hAnsi="黑体" w:eastAsia="方正小标宋_GBK" w:cs="黑体"/>
          <w:color w:val="000000"/>
          <w:sz w:val="44"/>
          <w:szCs w:val="44"/>
        </w:rPr>
      </w:pPr>
    </w:p>
    <w:p>
      <w:pPr>
        <w:pStyle w:val="2"/>
        <w:pageBreakBefore w:val="0"/>
        <w:kinsoku/>
        <w:wordWrap/>
        <w:overflowPunct/>
        <w:topLinePunct w:val="0"/>
        <w:autoSpaceDE/>
        <w:autoSpaceDN/>
        <w:bidi w:val="0"/>
        <w:snapToGrid/>
        <w:spacing w:line="560" w:lineRule="exact"/>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深圳市规划和自然资源</w:t>
      </w:r>
      <w:r>
        <w:rPr>
          <w:rFonts w:hint="eastAsia" w:ascii="仿宋_GB2312" w:hAnsi="仿宋" w:eastAsia="仿宋_GB2312" w:cs="Times New Roman"/>
          <w:color w:val="000000"/>
          <w:sz w:val="32"/>
          <w:szCs w:val="32"/>
          <w:lang w:val="en-US" w:eastAsia="zh-CN"/>
        </w:rPr>
        <w:t>局</w:t>
      </w:r>
      <w:r>
        <w:rPr>
          <w:rFonts w:hint="eastAsia" w:ascii="仿宋_GB2312" w:hAnsi="仿宋" w:eastAsia="仿宋_GB2312" w:cs="Times New Roman"/>
          <w:color w:val="000000"/>
          <w:sz w:val="32"/>
          <w:szCs w:val="32"/>
          <w:lang w:eastAsia="zh-CN"/>
        </w:rPr>
        <w:t>坪山管理</w:t>
      </w:r>
      <w:r>
        <w:rPr>
          <w:rFonts w:hint="eastAsia" w:ascii="仿宋_GB2312" w:hAnsi="仿宋" w:eastAsia="仿宋_GB2312" w:cs="Times New Roman"/>
          <w:color w:val="000000"/>
          <w:sz w:val="32"/>
          <w:szCs w:val="32"/>
        </w:rPr>
        <w:t>局：</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我单位深知本项目对贵局的重要性和紧迫性，亦了解贵局对廉政建设的相关要求，因此我单位承诺如下：</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1.我单位本招标项目所提供的货物或服务未侵犯知识产权。</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2.我单位参与本项目投标前三年内，在经营活动中没有违法记录。</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3.我单位参与本项目政府采购活动时不存在被有关部门禁止参与政府采购活动且在有效期内的情况。</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4.我单位具备《中华人民共和国政府采购法》第二十二条第一款的条件。</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5.我单位未被列入失信被执行人、税收违法案件当事人名单、政府采购严重违法失信行为记录名单。</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6.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7.我单位如果中标，做到诚实守信，依照本项目招标文件需求内容、签署的采购合同及本单位在投标中所作的一切承诺履约。</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9.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10.我单位承诺不非法转包、分包。</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11.我单位承诺未参与本项目的采购需求、技术指标、商务指标等内容的设定，不存在对其他投标单位不公平的行为。</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11.我单位承诺不对采购人进行贿赂，进行有偿报答。</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12.我单位承诺不对采购人进行任何形式的利益输送。</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13.我单位承诺不对采购人进行宴请和娱乐等消费活动。</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14.我单位承诺不对采购人进行赠送各种礼品、现金、有价证券、中介费、好处费等行为。</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以上承诺，如有违反，愿依照国家相关法律处理，并承担由此给采购人带来的损失。</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ascii="仿宋_GB2312" w:hAnsi="仿宋" w:eastAsia="仿宋_GB2312" w:cs="Times New Roman"/>
          <w:color w:val="000000"/>
          <w:sz w:val="32"/>
          <w:szCs w:val="32"/>
        </w:rPr>
      </w:pPr>
    </w:p>
    <w:p>
      <w:pPr>
        <w:pStyle w:val="2"/>
        <w:pageBreakBefore w:val="0"/>
        <w:kinsoku/>
        <w:wordWrap/>
        <w:overflowPunct/>
        <w:topLinePunct w:val="0"/>
        <w:autoSpaceDE/>
        <w:autoSpaceDN/>
        <w:bidi w:val="0"/>
        <w:snapToGrid/>
        <w:spacing w:line="560" w:lineRule="exact"/>
        <w:ind w:firstLine="320" w:firstLineChars="100"/>
        <w:textAlignment w:val="auto"/>
        <w:outlineLvl w:val="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 xml:space="preserve">                              承诺单位（公司）盖章：</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 xml:space="preserve">                                   年   月   日 </w:t>
      </w:r>
    </w:p>
    <w:p>
      <w:pPr>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br w:type="page"/>
      </w:r>
    </w:p>
    <w:p>
      <w:pPr>
        <w:pStyle w:val="2"/>
        <w:spacing w:line="560" w:lineRule="exact"/>
        <w:outlineLvl w:val="0"/>
        <w:rPr>
          <w:rFonts w:ascii="黑体" w:hAnsi="黑体" w:eastAsia="黑体" w:cs="黑体"/>
          <w:color w:val="000000"/>
          <w:sz w:val="32"/>
          <w:szCs w:val="32"/>
        </w:rPr>
      </w:pPr>
      <w:r>
        <w:rPr>
          <w:rFonts w:hint="eastAsia" w:ascii="黑体" w:hAnsi="黑体" w:eastAsia="黑体" w:cs="黑体"/>
          <w:color w:val="000000"/>
          <w:sz w:val="32"/>
          <w:szCs w:val="32"/>
        </w:rPr>
        <w:t>附件2</w:t>
      </w:r>
    </w:p>
    <w:p>
      <w:pPr>
        <w:autoSpaceDE w:val="0"/>
        <w:autoSpaceDN w:val="0"/>
        <w:adjustRightInd w:val="0"/>
        <w:spacing w:line="579"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政府采购违法行为风险知悉确认书</w:t>
      </w:r>
    </w:p>
    <w:p>
      <w:pPr>
        <w:spacing w:line="579" w:lineRule="exact"/>
        <w:ind w:firstLine="640" w:firstLineChars="200"/>
        <w:rPr>
          <w:rFonts w:ascii="仿宋_GB2312" w:hAnsi="仿宋_GB2312" w:eastAsia="仿宋_GB2312" w:cs="仿宋_GB2312"/>
          <w:sz w:val="32"/>
          <w:szCs w:val="32"/>
        </w:rPr>
      </w:pP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val="en-US" w:eastAsia="zh-CN"/>
        </w:rPr>
        <w:t>本公司在投标前已充分知悉以下情形为参与政府采购活动时的重大风险事项，并承诺已对下述风险提示事项重点排查，做到严谨、诚信、依法依规参与政府采购活动。</w:t>
      </w:r>
    </w:p>
    <w:p>
      <w:pPr>
        <w:pStyle w:val="2"/>
        <w:pageBreakBefore w:val="0"/>
        <w:kinsoku/>
        <w:wordWrap/>
        <w:overflowPunct/>
        <w:topLinePunct w:val="0"/>
        <w:autoSpaceDE/>
        <w:autoSpaceDN/>
        <w:bidi w:val="0"/>
        <w:snapToGrid/>
        <w:spacing w:line="560" w:lineRule="exact"/>
        <w:ind w:firstLine="645" w:firstLineChars="201"/>
        <w:textAlignment w:val="auto"/>
        <w:outlineLvl w:val="0"/>
        <w:rPr>
          <w:rFonts w:hint="eastAsia" w:ascii="仿宋_GB2312" w:hAnsi="仿宋" w:eastAsia="仿宋_GB2312" w:cs="Times New Roman"/>
          <w:b/>
          <w:bCs/>
          <w:color w:val="000000"/>
          <w:sz w:val="32"/>
          <w:szCs w:val="32"/>
          <w:lang w:val="en-US" w:eastAsia="zh-CN"/>
        </w:rPr>
      </w:pPr>
      <w:r>
        <w:rPr>
          <w:rFonts w:hint="eastAsia" w:ascii="仿宋_GB2312" w:hAnsi="仿宋" w:eastAsia="仿宋_GB2312" w:cs="Times New Roman"/>
          <w:b/>
          <w:bCs/>
          <w:color w:val="000000"/>
          <w:sz w:val="32"/>
          <w:szCs w:val="32"/>
          <w:lang w:val="en-US" w:eastAsia="zh-CN"/>
        </w:rPr>
        <w:t>一、本公司已充分知悉“隐瞒真实情况，提供虚假资料”的法定情形，相关情形包括但不限于：</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（一）通过转让或者租借等方式从其他单位获取资格或者资质证书投标的。</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（二）由其他单位或者其他单位负责人在投标供应商编制的投标文件上加盖印章或者签字的。</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（三）项目负责人或者主要技术人员不是本单位人员的。</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（四）投标保证金不是从投标供应商基本账户转出的。</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（五）其他隐瞒真实情况、提供虚假资料的行为。</w:t>
      </w:r>
    </w:p>
    <w:p>
      <w:pPr>
        <w:pStyle w:val="2"/>
        <w:pageBreakBefore w:val="0"/>
        <w:kinsoku/>
        <w:wordWrap/>
        <w:overflowPunct/>
        <w:topLinePunct w:val="0"/>
        <w:autoSpaceDE/>
        <w:autoSpaceDN/>
        <w:bidi w:val="0"/>
        <w:snapToGrid/>
        <w:spacing w:line="560" w:lineRule="exact"/>
        <w:ind w:firstLine="645" w:firstLineChars="201"/>
        <w:textAlignment w:val="auto"/>
        <w:outlineLvl w:val="0"/>
        <w:rPr>
          <w:rFonts w:hint="eastAsia" w:ascii="仿宋_GB2312" w:hAnsi="仿宋" w:eastAsia="仿宋_GB2312" w:cs="Times New Roman"/>
          <w:b/>
          <w:bCs/>
          <w:color w:val="000000"/>
          <w:sz w:val="32"/>
          <w:szCs w:val="32"/>
          <w:lang w:val="en-US" w:eastAsia="zh-CN"/>
        </w:rPr>
      </w:pPr>
      <w:r>
        <w:rPr>
          <w:rFonts w:hint="eastAsia" w:ascii="仿宋_GB2312" w:hAnsi="仿宋" w:eastAsia="仿宋_GB2312" w:cs="Times New Roman"/>
          <w:b/>
          <w:bCs/>
          <w:color w:val="000000"/>
          <w:sz w:val="32"/>
          <w:szCs w:val="32"/>
          <w:lang w:val="en-US" w:eastAsia="zh-CN"/>
        </w:rPr>
        <w:t>二、本公司已充分知悉“与其他采购参加人串通投标”的法定情形，相关情形包括但不限于：</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 xml:space="preserve">（一）投标供应商之间相互约定给予未中标的供应商利益补偿。 </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（二）不同投标供应商的法定代表人、主要经营负责人、项目投标授权代表人、项目负责人、主要技术人员为同一人、属同一单位或者在同一单位缴纳社会保险。</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（三）不同投标供应商的投标文件由同一单位或者同一人编制，或者由同一人分阶段参与编制的。</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（四）不同投标供应商的投标文件或部分投标文件相互混装。</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（五）不同投标供应商的投标文件内容存在非正常一致。</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（六）由同一单位工作人员为两家以上（含两家）供应商进行同一项投标活动的。</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（七）不同投标人的投标报价呈规律性差异。</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（八）不同投标人的投标保证金从同一单位或者个人的账户转出。</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（九）主管部门依照法律、法规认定的其他情形。</w:t>
      </w:r>
    </w:p>
    <w:p>
      <w:pPr>
        <w:pStyle w:val="2"/>
        <w:pageBreakBefore w:val="0"/>
        <w:kinsoku/>
        <w:wordWrap/>
        <w:overflowPunct/>
        <w:topLinePunct w:val="0"/>
        <w:autoSpaceDE/>
        <w:autoSpaceDN/>
        <w:bidi w:val="0"/>
        <w:snapToGrid/>
        <w:spacing w:line="560" w:lineRule="exact"/>
        <w:ind w:firstLine="645" w:firstLineChars="201"/>
        <w:textAlignment w:val="auto"/>
        <w:outlineLvl w:val="0"/>
        <w:rPr>
          <w:rFonts w:hint="eastAsia" w:ascii="仿宋_GB2312" w:hAnsi="仿宋" w:eastAsia="仿宋_GB2312" w:cs="Times New Roman"/>
          <w:b/>
          <w:bCs/>
          <w:color w:val="000000"/>
          <w:sz w:val="32"/>
          <w:szCs w:val="32"/>
          <w:lang w:val="en-US" w:eastAsia="zh-CN"/>
        </w:rPr>
      </w:pPr>
      <w:r>
        <w:rPr>
          <w:rFonts w:hint="eastAsia" w:ascii="仿宋_GB2312" w:hAnsi="仿宋" w:eastAsia="仿宋_GB2312" w:cs="Times New Roman"/>
          <w:b/>
          <w:bCs/>
          <w:color w:val="000000"/>
          <w:sz w:val="32"/>
          <w:szCs w:val="32"/>
          <w:lang w:val="en-US" w:eastAsia="zh-CN"/>
        </w:rPr>
        <w:t>三、本公司已充分知悉下列情形所对应的法律风险，并在投标前已对相关风险事项进行排查。</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（一）对于</w:t>
      </w:r>
      <w:r>
        <w:rPr>
          <w:rFonts w:hint="eastAsia" w:ascii="仿宋_GB2312" w:hAnsi="仿宋" w:eastAsia="仿宋_GB2312" w:cs="Times New Roman"/>
          <w:color w:val="000000"/>
          <w:sz w:val="32"/>
          <w:szCs w:val="32"/>
          <w:lang w:eastAsia="zh-CN"/>
        </w:rPr>
        <w:t>从</w:t>
      </w:r>
      <w:r>
        <w:rPr>
          <w:rFonts w:hint="eastAsia" w:ascii="仿宋_GB2312" w:hAnsi="仿宋" w:eastAsia="仿宋_GB2312" w:cs="Times New Roman"/>
          <w:color w:val="000000"/>
          <w:sz w:val="32"/>
          <w:szCs w:val="32"/>
          <w:lang w:val="en-US" w:eastAsia="zh-CN"/>
        </w:rPr>
        <w:t>其他主体</w:t>
      </w:r>
      <w:r>
        <w:rPr>
          <w:rFonts w:hint="eastAsia" w:ascii="仿宋_GB2312" w:hAnsi="仿宋" w:eastAsia="仿宋_GB2312" w:cs="Times New Roman"/>
          <w:color w:val="000000"/>
          <w:sz w:val="32"/>
          <w:szCs w:val="32"/>
          <w:lang w:eastAsia="zh-CN"/>
        </w:rPr>
        <w:t>获取</w:t>
      </w:r>
      <w:r>
        <w:rPr>
          <w:rFonts w:hint="eastAsia" w:ascii="仿宋_GB2312" w:hAnsi="仿宋" w:eastAsia="仿宋_GB2312" w:cs="Times New Roman"/>
          <w:color w:val="000000"/>
          <w:sz w:val="32"/>
          <w:szCs w:val="32"/>
          <w:lang w:val="en-US" w:eastAsia="zh-CN"/>
        </w:rPr>
        <w:t>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 xml:space="preserve">（三）对于涉及安全生产、特种作业、抢险救灾、防疫等政府采购项目，供应商实施提供虚假资料、串通投标等违法行为的，主管部门将依法从严处理。 </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（四）供应商应严格规范项目授权代表、员工参与招标投标的行为，加强对投标文件的审核。项目授权代表、员工</w:t>
      </w:r>
      <w:r>
        <w:rPr>
          <w:rFonts w:hint="eastAsia" w:ascii="仿宋_GB2312" w:hAnsi="仿宋" w:eastAsia="仿宋_GB2312" w:cs="Times New Roman"/>
          <w:color w:val="000000"/>
          <w:sz w:val="32"/>
          <w:szCs w:val="32"/>
          <w:lang w:eastAsia="zh-CN"/>
        </w:rPr>
        <w:t>编制、上传</w:t>
      </w:r>
      <w:r>
        <w:rPr>
          <w:rFonts w:hint="eastAsia" w:ascii="仿宋_GB2312" w:hAnsi="仿宋" w:eastAsia="仿宋_GB2312" w:cs="Times New Roman"/>
          <w:color w:val="000000"/>
          <w:sz w:val="32"/>
          <w:szCs w:val="32"/>
          <w:lang w:val="en-US" w:eastAsia="zh-CN"/>
        </w:rPr>
        <w:t>投标文件</w:t>
      </w:r>
      <w:r>
        <w:rPr>
          <w:rFonts w:hint="eastAsia" w:ascii="仿宋_GB2312" w:hAnsi="仿宋" w:eastAsia="仿宋_GB2312" w:cs="Times New Roman"/>
          <w:color w:val="000000"/>
          <w:sz w:val="32"/>
          <w:szCs w:val="32"/>
          <w:lang w:eastAsia="zh-CN"/>
        </w:rPr>
        <w:t>等行为</w:t>
      </w:r>
      <w:r>
        <w:rPr>
          <w:rFonts w:hint="eastAsia" w:ascii="仿宋_GB2312" w:hAnsi="仿宋" w:eastAsia="仿宋_GB2312" w:cs="Times New Roman"/>
          <w:color w:val="000000"/>
          <w:sz w:val="32"/>
          <w:szCs w:val="32"/>
          <w:lang w:val="en-US" w:eastAsia="zh-CN"/>
        </w:rPr>
        <w:t>违反政府采购法律法规或招标文件要求的，投标供应商应当依法承担相应法律责任。</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pStyle w:val="2"/>
        <w:pageBreakBefore w:val="0"/>
        <w:kinsoku/>
        <w:wordWrap/>
        <w:overflowPunct/>
        <w:topLinePunct w:val="0"/>
        <w:autoSpaceDE/>
        <w:autoSpaceDN/>
        <w:bidi w:val="0"/>
        <w:snapToGrid/>
        <w:spacing w:line="560" w:lineRule="exact"/>
        <w:ind w:firstLine="643"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（六）单位负责人为同一人或者存在直接控股、管理关系的不同供应商，不得参加同一合同项下的政府采购活动。相关情形</w:t>
      </w:r>
      <w:r>
        <w:rPr>
          <w:rFonts w:hint="eastAsia" w:ascii="仿宋_GB2312" w:hAnsi="仿宋" w:eastAsia="仿宋_GB2312" w:cs="Times New Roman"/>
          <w:color w:val="000000"/>
          <w:sz w:val="32"/>
          <w:szCs w:val="32"/>
          <w:lang w:eastAsia="zh-CN"/>
        </w:rPr>
        <w:t>如</w:t>
      </w:r>
      <w:r>
        <w:rPr>
          <w:rFonts w:hint="eastAsia" w:ascii="仿宋_GB2312" w:hAnsi="仿宋" w:eastAsia="仿宋_GB2312" w:cs="Times New Roman"/>
          <w:color w:val="000000"/>
          <w:sz w:val="32"/>
          <w:szCs w:val="32"/>
          <w:lang w:val="en-US" w:eastAsia="zh-CN"/>
        </w:rPr>
        <w:t>查实，依法作投标无效处理；涉嫌串通投标等违法行为的，主管部门将依法调查处理。</w:t>
      </w:r>
    </w:p>
    <w:p>
      <w:pPr>
        <w:pStyle w:val="2"/>
        <w:pageBreakBefore w:val="0"/>
        <w:kinsoku/>
        <w:wordWrap/>
        <w:overflowPunct/>
        <w:topLinePunct w:val="0"/>
        <w:autoSpaceDE/>
        <w:autoSpaceDN/>
        <w:bidi w:val="0"/>
        <w:snapToGrid/>
        <w:spacing w:line="560" w:lineRule="exact"/>
        <w:ind w:firstLine="645" w:firstLineChars="201"/>
        <w:textAlignment w:val="auto"/>
        <w:outlineLvl w:val="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b/>
          <w:bCs/>
          <w:color w:val="000000"/>
          <w:sz w:val="32"/>
          <w:szCs w:val="32"/>
          <w:lang w:val="en-US" w:eastAsia="zh-CN"/>
        </w:rPr>
        <w:t>四、本公司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ascii="仿宋_GB2312" w:hAnsi="仿宋_GB2312" w:eastAsia="仿宋_GB2312" w:cs="仿宋_GB2312"/>
          <w:sz w:val="24"/>
          <w:szCs w:val="24"/>
        </w:rPr>
      </w:pPr>
      <w:r>
        <w:rPr>
          <w:rFonts w:hint="eastAsia" w:ascii="仿宋_GB2312" w:hAnsi="仿宋" w:eastAsia="仿宋_GB2312" w:cs="Times New Roman"/>
          <w:color w:val="000000"/>
          <w:sz w:val="32"/>
          <w:szCs w:val="32"/>
          <w:lang w:val="en-US" w:eastAsia="zh-CN"/>
        </w:rPr>
        <w:t>以下文字请投标供应商抄写并确认：“本公司已仔细阅读《政府采购违法行为风险知悉确认书》，充分知悉违法行为的法律后果，并承诺将严谨、诚信、依法依规参与政府采购活动”。</w:t>
      </w:r>
    </w:p>
    <w:p>
      <w:pPr>
        <w:spacing w:line="579" w:lineRule="exact"/>
        <w:rPr>
          <w:rFonts w:ascii="仿宋_GB2312" w:hAnsi="仿宋_GB2312" w:eastAsia="仿宋_GB2312" w:cs="仿宋_GB2312"/>
          <w:sz w:val="32"/>
          <w:szCs w:val="32"/>
          <w:highlight w:val="yellow"/>
        </w:rPr>
      </w:pPr>
    </w:p>
    <w:p>
      <w:pPr>
        <w:spacing w:line="579"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负责人/投标授权代表签名：</w:t>
      </w:r>
    </w:p>
    <w:p>
      <w:pPr>
        <w:spacing w:line="579" w:lineRule="exact"/>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知悉人（公章）：</w:t>
      </w:r>
    </w:p>
    <w:p>
      <w:pPr>
        <w:spacing w:line="579" w:lineRule="exact"/>
        <w:rPr>
          <w:rFonts w:hint="eastAsia" w:ascii="仿宋_GB2312" w:hAnsi="仿宋" w:eastAsia="仿宋_GB2312" w:cs="Times New Roman"/>
          <w:color w:val="000000"/>
          <w:sz w:val="32"/>
          <w:szCs w:val="32"/>
        </w:rPr>
      </w:pPr>
      <w:r>
        <w:rPr>
          <w:rFonts w:hint="eastAsia" w:ascii="仿宋_GB2312" w:hAnsi="仿宋_GB2312" w:eastAsia="仿宋_GB2312" w:cs="仿宋_GB2312"/>
          <w:sz w:val="32"/>
          <w:szCs w:val="32"/>
        </w:rPr>
        <w:t xml:space="preserve">                    日期：</w:t>
      </w: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8439185"/>
      <w:docPartObj>
        <w:docPartGallery w:val="autotext"/>
      </w:docPartObj>
    </w:sdtPr>
    <w:sdtContent>
      <w:p>
        <w:pPr>
          <w:pStyle w:val="5"/>
          <w:jc w:val="center"/>
        </w:pPr>
        <w:r>
          <w:fldChar w:fldCharType="begin"/>
        </w:r>
        <w:r>
          <w:instrText xml:space="preserve">PAGE   \* MERGEFORMAT</w:instrText>
        </w:r>
        <w:r>
          <w:fldChar w:fldCharType="separate"/>
        </w:r>
        <w:r>
          <w:rPr>
            <w:lang w:val="zh-CN"/>
          </w:rPr>
          <w:t>6</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2F1"/>
    <w:rsid w:val="000506EF"/>
    <w:rsid w:val="000709AB"/>
    <w:rsid w:val="000D3917"/>
    <w:rsid w:val="001141C8"/>
    <w:rsid w:val="001228C0"/>
    <w:rsid w:val="0017157E"/>
    <w:rsid w:val="00191135"/>
    <w:rsid w:val="001C58A5"/>
    <w:rsid w:val="001C67E2"/>
    <w:rsid w:val="001D0038"/>
    <w:rsid w:val="001F1D47"/>
    <w:rsid w:val="002066A1"/>
    <w:rsid w:val="00212078"/>
    <w:rsid w:val="00213FD0"/>
    <w:rsid w:val="00251708"/>
    <w:rsid w:val="002552A3"/>
    <w:rsid w:val="0026389D"/>
    <w:rsid w:val="00293659"/>
    <w:rsid w:val="00293B8B"/>
    <w:rsid w:val="002A3BF5"/>
    <w:rsid w:val="002C7C39"/>
    <w:rsid w:val="002E10FA"/>
    <w:rsid w:val="00344EAE"/>
    <w:rsid w:val="003601BB"/>
    <w:rsid w:val="00383F0C"/>
    <w:rsid w:val="00387EF2"/>
    <w:rsid w:val="003B0494"/>
    <w:rsid w:val="003E2CA0"/>
    <w:rsid w:val="003F18BD"/>
    <w:rsid w:val="0040405E"/>
    <w:rsid w:val="00420B4F"/>
    <w:rsid w:val="004302F1"/>
    <w:rsid w:val="00436293"/>
    <w:rsid w:val="0045282C"/>
    <w:rsid w:val="00491258"/>
    <w:rsid w:val="00492CFB"/>
    <w:rsid w:val="00495CAA"/>
    <w:rsid w:val="004B1BC4"/>
    <w:rsid w:val="004B473B"/>
    <w:rsid w:val="004E0188"/>
    <w:rsid w:val="0055175A"/>
    <w:rsid w:val="00565F26"/>
    <w:rsid w:val="00574535"/>
    <w:rsid w:val="005928D6"/>
    <w:rsid w:val="005F58E6"/>
    <w:rsid w:val="00662146"/>
    <w:rsid w:val="00667FA5"/>
    <w:rsid w:val="00690C80"/>
    <w:rsid w:val="006A2AE1"/>
    <w:rsid w:val="006B28A0"/>
    <w:rsid w:val="006D0E02"/>
    <w:rsid w:val="006D6625"/>
    <w:rsid w:val="006D76AF"/>
    <w:rsid w:val="006F4CCE"/>
    <w:rsid w:val="00754328"/>
    <w:rsid w:val="00754E58"/>
    <w:rsid w:val="0078248F"/>
    <w:rsid w:val="00802CDB"/>
    <w:rsid w:val="00832DEF"/>
    <w:rsid w:val="0085215B"/>
    <w:rsid w:val="00852C23"/>
    <w:rsid w:val="008878DC"/>
    <w:rsid w:val="00896E63"/>
    <w:rsid w:val="008A276E"/>
    <w:rsid w:val="008A58DC"/>
    <w:rsid w:val="008B6AC5"/>
    <w:rsid w:val="008D55A5"/>
    <w:rsid w:val="009174EB"/>
    <w:rsid w:val="00922BF7"/>
    <w:rsid w:val="00944095"/>
    <w:rsid w:val="00987B36"/>
    <w:rsid w:val="0099691A"/>
    <w:rsid w:val="009C3C71"/>
    <w:rsid w:val="009D18D0"/>
    <w:rsid w:val="009F2A46"/>
    <w:rsid w:val="00A502B1"/>
    <w:rsid w:val="00A54709"/>
    <w:rsid w:val="00AB3E4C"/>
    <w:rsid w:val="00AC3562"/>
    <w:rsid w:val="00AD0A74"/>
    <w:rsid w:val="00AF7128"/>
    <w:rsid w:val="00B16270"/>
    <w:rsid w:val="00B306FD"/>
    <w:rsid w:val="00B3430F"/>
    <w:rsid w:val="00B40479"/>
    <w:rsid w:val="00B54FCF"/>
    <w:rsid w:val="00B825BD"/>
    <w:rsid w:val="00B86BE4"/>
    <w:rsid w:val="00B93B9D"/>
    <w:rsid w:val="00BB0312"/>
    <w:rsid w:val="00BB6402"/>
    <w:rsid w:val="00BD3B40"/>
    <w:rsid w:val="00BF0E70"/>
    <w:rsid w:val="00C20E3B"/>
    <w:rsid w:val="00C24D9A"/>
    <w:rsid w:val="00C32E0D"/>
    <w:rsid w:val="00C37E78"/>
    <w:rsid w:val="00C51738"/>
    <w:rsid w:val="00C80F6A"/>
    <w:rsid w:val="00C92FCD"/>
    <w:rsid w:val="00CA2CC9"/>
    <w:rsid w:val="00CC0E9B"/>
    <w:rsid w:val="00CF1D7A"/>
    <w:rsid w:val="00D56F32"/>
    <w:rsid w:val="00D611F4"/>
    <w:rsid w:val="00D923B5"/>
    <w:rsid w:val="00DB585F"/>
    <w:rsid w:val="00DD5B00"/>
    <w:rsid w:val="00E37D0C"/>
    <w:rsid w:val="00E8485A"/>
    <w:rsid w:val="00EF546E"/>
    <w:rsid w:val="00F10258"/>
    <w:rsid w:val="00F116BB"/>
    <w:rsid w:val="00F62B9D"/>
    <w:rsid w:val="05BE0CFB"/>
    <w:rsid w:val="07D00C7B"/>
    <w:rsid w:val="08A35C90"/>
    <w:rsid w:val="099B6D15"/>
    <w:rsid w:val="0F8D6C81"/>
    <w:rsid w:val="11596CEE"/>
    <w:rsid w:val="12A903C1"/>
    <w:rsid w:val="18365A0D"/>
    <w:rsid w:val="1D692AC8"/>
    <w:rsid w:val="1E4D65C5"/>
    <w:rsid w:val="23D07B39"/>
    <w:rsid w:val="285078FD"/>
    <w:rsid w:val="29783281"/>
    <w:rsid w:val="2B7456D7"/>
    <w:rsid w:val="2D8802D5"/>
    <w:rsid w:val="30524AEF"/>
    <w:rsid w:val="39E859BD"/>
    <w:rsid w:val="3A597690"/>
    <w:rsid w:val="3D9517CD"/>
    <w:rsid w:val="3DD67C52"/>
    <w:rsid w:val="3EC867B4"/>
    <w:rsid w:val="409B378E"/>
    <w:rsid w:val="43394B64"/>
    <w:rsid w:val="43F774F5"/>
    <w:rsid w:val="4AB30FA0"/>
    <w:rsid w:val="4B870BC2"/>
    <w:rsid w:val="4C35795C"/>
    <w:rsid w:val="4CA10FEC"/>
    <w:rsid w:val="4DD4777C"/>
    <w:rsid w:val="4FD63FD3"/>
    <w:rsid w:val="516F2CC3"/>
    <w:rsid w:val="56EA6222"/>
    <w:rsid w:val="573D6C49"/>
    <w:rsid w:val="57431F99"/>
    <w:rsid w:val="5C744823"/>
    <w:rsid w:val="5DC32E61"/>
    <w:rsid w:val="5F7E93B1"/>
    <w:rsid w:val="5FE22FDD"/>
    <w:rsid w:val="63424201"/>
    <w:rsid w:val="637151BD"/>
    <w:rsid w:val="679A58D9"/>
    <w:rsid w:val="6A2B6915"/>
    <w:rsid w:val="6B3E765F"/>
    <w:rsid w:val="6BD60689"/>
    <w:rsid w:val="6CC311A2"/>
    <w:rsid w:val="72C5322C"/>
    <w:rsid w:val="7C3F787C"/>
    <w:rsid w:val="7DD411B6"/>
    <w:rsid w:val="7FBE7FF7"/>
    <w:rsid w:val="AFFA1904"/>
    <w:rsid w:val="BBF73BC0"/>
    <w:rsid w:val="BE5EB11B"/>
    <w:rsid w:val="D5CFBA34"/>
    <w:rsid w:val="D5DA93F8"/>
    <w:rsid w:val="DF5D59B1"/>
    <w:rsid w:val="EEDF82A2"/>
    <w:rsid w:val="F1F5654E"/>
    <w:rsid w:val="FB739E7B"/>
    <w:rsid w:val="FBDF67CB"/>
    <w:rsid w:val="FCFF0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widowControl w:val="0"/>
      <w:spacing w:before="240" w:after="240" w:line="360" w:lineRule="auto"/>
      <w:ind w:firstLine="200" w:firstLineChars="200"/>
      <w:jc w:val="both"/>
      <w:outlineLvl w:val="0"/>
    </w:pPr>
    <w:rPr>
      <w:rFonts w:eastAsia="仿宋_GB2312"/>
      <w:b/>
      <w:bCs/>
      <w:kern w:val="44"/>
      <w:sz w:val="30"/>
      <w:szCs w:val="44"/>
      <w:lang w:val="zh-CN"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8"/>
    <w:qFormat/>
    <w:uiPriority w:val="0"/>
    <w:pPr>
      <w:widowControl w:val="0"/>
      <w:jc w:val="both"/>
    </w:pPr>
    <w:rPr>
      <w:rFonts w:ascii="宋体" w:hAnsi="Courier New" w:cs="Courier New"/>
      <w:szCs w:val="21"/>
    </w:rPr>
  </w:style>
  <w:style w:type="paragraph" w:styleId="4">
    <w:name w:val="Body Text"/>
    <w:basedOn w:val="1"/>
    <w:next w:val="1"/>
    <w:qFormat/>
    <w:uiPriority w:val="0"/>
    <w:pPr>
      <w:spacing w:line="360" w:lineRule="auto"/>
    </w:pPr>
    <w:rPr>
      <w:b/>
      <w:bCs/>
      <w:sz w:val="24"/>
    </w:rPr>
  </w:style>
  <w:style w:type="paragraph" w:styleId="5">
    <w:name w:val="footer"/>
    <w:basedOn w:val="1"/>
    <w:link w:val="11"/>
    <w:unhideWhenUsed/>
    <w:qFormat/>
    <w:uiPriority w:val="99"/>
    <w:pPr>
      <w:tabs>
        <w:tab w:val="center" w:pos="4153"/>
        <w:tab w:val="right" w:pos="8306"/>
      </w:tabs>
      <w:snapToGrid w:val="0"/>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unhideWhenUsed/>
    <w:qFormat/>
    <w:uiPriority w:val="0"/>
    <w:pPr>
      <w:widowControl w:val="0"/>
      <w:spacing w:after="120" w:line="480" w:lineRule="auto"/>
      <w:jc w:val="both"/>
    </w:pPr>
    <w:rPr>
      <w:szCs w:val="24"/>
      <w:lang w:val="zh-CN" w:eastAsia="zh-CN"/>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ＲＡ!!WZ!!"/>
    <w:qFormat/>
    <w:uiPriority w:val="0"/>
    <w:pPr>
      <w:widowControl w:val="0"/>
      <w:spacing w:line="360" w:lineRule="auto"/>
      <w:ind w:firstLine="480" w:firstLineChars="200"/>
    </w:pPr>
    <w:rPr>
      <w:rFonts w:ascii="宋体" w:hAnsi="宋体" w:eastAsia="宋体" w:cs="宋体"/>
      <w:kern w:val="0"/>
      <w:sz w:val="24"/>
      <w:szCs w:val="24"/>
      <w:lang w:val="en-US" w:eastAsia="zh-CN" w:bidi="ar-SA"/>
    </w:rPr>
  </w:style>
  <w:style w:type="paragraph" w:customStyle="1" w:styleId="14">
    <w:name w:val="Ｒ５.1、"/>
    <w:next w:val="13"/>
    <w:qFormat/>
    <w:uiPriority w:val="0"/>
    <w:pPr>
      <w:widowControl w:val="0"/>
      <w:ind w:firstLine="450" w:firstLineChars="150"/>
      <w:outlineLvl w:val="4"/>
    </w:pPr>
    <w:rPr>
      <w:rFonts w:ascii="华文细黑" w:hAnsi="华文细黑" w:eastAsia="华文细黑" w:cs="华文细黑"/>
      <w:b/>
      <w:bCs/>
      <w:kern w:val="2"/>
      <w:sz w:val="30"/>
      <w:szCs w:val="30"/>
      <w:lang w:val="en-US" w:eastAsia="zh-CN" w:bidi="ar-SA"/>
    </w:rPr>
  </w:style>
  <w:style w:type="character" w:customStyle="1" w:styleId="15">
    <w:name w:val="Ｒ标.加粗"/>
    <w:qFormat/>
    <w:uiPriority w:val="0"/>
    <w:rPr>
      <w:b/>
      <w:lang w:val="sq-AL"/>
    </w:rPr>
  </w:style>
  <w:style w:type="character" w:customStyle="1" w:styleId="16">
    <w:name w:val="标题 1 字符"/>
    <w:basedOn w:val="9"/>
    <w:link w:val="3"/>
    <w:qFormat/>
    <w:uiPriority w:val="0"/>
    <w:rPr>
      <w:rFonts w:ascii="Times New Roman" w:hAnsi="Times New Roman" w:eastAsia="仿宋_GB2312" w:cs="Times New Roman"/>
      <w:b/>
      <w:bCs/>
      <w:kern w:val="44"/>
      <w:sz w:val="30"/>
      <w:szCs w:val="44"/>
      <w:lang w:val="zh-CN" w:eastAsia="zh-CN"/>
    </w:rPr>
  </w:style>
  <w:style w:type="character" w:customStyle="1" w:styleId="17">
    <w:name w:val="fontstyle01"/>
    <w:qFormat/>
    <w:uiPriority w:val="0"/>
    <w:rPr>
      <w:rFonts w:hint="eastAsia" w:ascii="宋体" w:hAnsi="宋体" w:eastAsia="宋体"/>
      <w:color w:val="000000"/>
      <w:sz w:val="22"/>
      <w:szCs w:val="22"/>
    </w:rPr>
  </w:style>
  <w:style w:type="character" w:customStyle="1" w:styleId="18">
    <w:name w:val="纯文本 字符"/>
    <w:basedOn w:val="9"/>
    <w:link w:val="2"/>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6941</Words>
  <Characters>7132</Characters>
  <Lines>19</Lines>
  <Paragraphs>5</Paragraphs>
  <TotalTime>0</TotalTime>
  <ScaleCrop>false</ScaleCrop>
  <LinksUpToDate>false</LinksUpToDate>
  <CharactersWithSpaces>7281</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2019-11-17T02:08:00Z</dcterms:created>
  <dc:creator>Windows 用户</dc:creator>
  <cp:lastModifiedBy>mei</cp:lastModifiedBy>
  <cp:lastPrinted>2022-03-05T06:55:00Z</cp:lastPrinted>
  <dcterms:modified xsi:type="dcterms:W3CDTF">2026-08-13T10:07:26Z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KSOTemplateDocerSaveRecord">
    <vt:lpwstr>eyJoZGlkIjoiMTk2ZTk0NDRkOTBmZjJhNjEyYWZkZTc5ZDUzMjFlYTMiLCJ1c2VySWQiOiI0NTcwNjg0MzgifQ==</vt:lpwstr>
  </property>
  <property fmtid="{D5CDD505-2E9C-101B-9397-08002B2CF9AE}" pid="4" name="ICV">
    <vt:lpwstr>7617FF900CDC41789F2ACDA908A13BBD_12</vt:lpwstr>
  </property>
</Properties>
</file>