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95" w:hanging="199" w:hangingChars="62"/>
        <w:jc w:val="center"/>
        <w:rPr>
          <w:rFonts w:hint="eastAsia" w:ascii="宋体" w:hAnsi="宋体" w:eastAsia="宋体" w:cs="宋体"/>
          <w:b/>
          <w:sz w:val="32"/>
          <w:szCs w:val="32"/>
        </w:rPr>
      </w:pPr>
      <w:r>
        <w:rPr>
          <w:rFonts w:hint="eastAsia" w:ascii="宋体" w:hAnsi="宋体" w:eastAsia="宋体" w:cs="宋体"/>
          <w:b/>
          <w:sz w:val="32"/>
          <w:szCs w:val="32"/>
        </w:rPr>
        <w:t>深圳大鹏半岛国家地质自然公园管理处</w:t>
      </w:r>
    </w:p>
    <w:p>
      <w:pPr>
        <w:ind w:left="-26" w:leftChars="-95" w:hanging="173" w:hangingChars="62"/>
        <w:jc w:val="center"/>
        <w:rPr>
          <w:rFonts w:hint="eastAsia" w:ascii="宋体" w:hAnsi="宋体" w:cs="宋体"/>
          <w:b/>
          <w:sz w:val="32"/>
          <w:szCs w:val="32"/>
          <w:lang w:val="en-US" w:eastAsia="zh-CN"/>
        </w:rPr>
      </w:pPr>
      <w:r>
        <w:rPr>
          <w:rFonts w:hint="eastAsia" w:ascii="仿宋_GB2312" w:hAnsi="宋体" w:eastAsia="仿宋_GB2312" w:cs="宋体"/>
          <w:b w:val="0"/>
          <w:bCs w:val="0"/>
          <w:sz w:val="28"/>
          <w:szCs w:val="28"/>
          <w:lang w:val="en-US" w:eastAsia="zh-CN"/>
        </w:rPr>
        <w:t>“</w:t>
      </w:r>
      <w:r>
        <w:rPr>
          <w:rFonts w:hint="eastAsia" w:ascii="宋体" w:hAnsi="宋体" w:eastAsia="宋体" w:cs="宋体"/>
          <w:b/>
          <w:bCs w:val="0"/>
          <w:sz w:val="32"/>
          <w:szCs w:val="32"/>
          <w:lang w:val="en-US" w:eastAsia="zh-CN"/>
        </w:rPr>
        <w:t>繁盛的中生代”恐龙蛋</w:t>
      </w:r>
      <w:r>
        <w:rPr>
          <w:rFonts w:hint="eastAsia" w:ascii="宋体" w:hAnsi="宋体" w:eastAsia="宋体" w:cs="宋体"/>
          <w:b/>
          <w:sz w:val="32"/>
          <w:szCs w:val="32"/>
          <w:lang w:val="en-US" w:eastAsia="zh-CN"/>
        </w:rPr>
        <w:t>项目需</w:t>
      </w:r>
      <w:r>
        <w:rPr>
          <w:rFonts w:hint="eastAsia" w:ascii="宋体" w:hAnsi="宋体" w:cs="宋体"/>
          <w:b/>
          <w:sz w:val="32"/>
          <w:szCs w:val="32"/>
          <w:lang w:val="en-US" w:eastAsia="zh-CN"/>
        </w:rPr>
        <w:t>求</w:t>
      </w:r>
    </w:p>
    <w:p>
      <w:pPr>
        <w:ind w:leftChars="-95" w:hanging="130" w:hangingChars="62"/>
        <w:jc w:val="center"/>
        <w:outlineLvl w:val="9"/>
        <w:rPr>
          <w:rFonts w:hint="eastAsia" w:ascii="仿宋" w:hAnsi="仿宋" w:eastAsia="仿宋"/>
          <w:b/>
          <w:szCs w:val="21"/>
          <w:lang w:eastAsia="zh-CN"/>
        </w:rPr>
      </w:pPr>
    </w:p>
    <w:tbl>
      <w:tblPr>
        <w:tblStyle w:val="5"/>
        <w:tblW w:w="9051"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3292"/>
        <w:gridCol w:w="1487"/>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38"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w:t>
            </w:r>
          </w:p>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名称</w:t>
            </w:r>
          </w:p>
        </w:tc>
        <w:tc>
          <w:tcPr>
            <w:tcW w:w="7713" w:type="dxa"/>
            <w:gridSpan w:val="3"/>
            <w:noWrap w:val="0"/>
            <w:vAlign w:val="center"/>
          </w:tcPr>
          <w:p>
            <w:pPr>
              <w:spacing w:line="320" w:lineRule="exact"/>
              <w:jc w:val="center"/>
              <w:rPr>
                <w:rFonts w:hint="default" w:ascii="仿宋" w:hAnsi="仿宋" w:eastAsia="仿宋" w:cs="仿宋"/>
                <w:sz w:val="24"/>
                <w:szCs w:val="24"/>
                <w:lang w:val="en-US"/>
              </w:rPr>
            </w:pPr>
            <w:r>
              <w:rPr>
                <w:rFonts w:hint="eastAsia" w:ascii="仿宋_GB2312" w:hAnsi="宋体" w:eastAsia="仿宋_GB2312" w:cs="宋体"/>
                <w:b w:val="0"/>
                <w:bCs w:val="0"/>
                <w:sz w:val="28"/>
                <w:szCs w:val="28"/>
                <w:lang w:val="en-US" w:eastAsia="zh-CN"/>
              </w:rPr>
              <w:t>“繁盛的中生代”恐龙蛋主题展览项目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38"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采购单位名称</w:t>
            </w:r>
          </w:p>
        </w:tc>
        <w:tc>
          <w:tcPr>
            <w:tcW w:w="3292" w:type="dxa"/>
            <w:noWrap w:val="0"/>
            <w:vAlign w:val="center"/>
          </w:tcPr>
          <w:p>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深圳大鹏半岛国家地质自然</w:t>
            </w:r>
          </w:p>
          <w:p>
            <w:pPr>
              <w:spacing w:line="360" w:lineRule="exact"/>
              <w:jc w:val="center"/>
              <w:rPr>
                <w:rFonts w:hint="eastAsia" w:ascii="仿宋" w:hAnsi="仿宋" w:eastAsia="仿宋" w:cs="仿宋"/>
                <w:sz w:val="24"/>
                <w:szCs w:val="24"/>
              </w:rPr>
            </w:pPr>
            <w:r>
              <w:rPr>
                <w:rFonts w:hint="eastAsia" w:ascii="仿宋" w:hAnsi="仿宋" w:eastAsia="仿宋" w:cs="仿宋"/>
                <w:color w:val="000000"/>
                <w:sz w:val="24"/>
                <w:szCs w:val="24"/>
              </w:rPr>
              <w:t>公园管理处</w:t>
            </w:r>
          </w:p>
        </w:tc>
        <w:tc>
          <w:tcPr>
            <w:tcW w:w="148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934" w:type="dxa"/>
            <w:noWrap w:val="0"/>
            <w:vAlign w:val="center"/>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38"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292" w:type="dxa"/>
            <w:noWrap w:val="0"/>
            <w:vAlign w:val="center"/>
          </w:tcPr>
          <w:p>
            <w:pPr>
              <w:spacing w:line="360" w:lineRule="exact"/>
              <w:jc w:val="center"/>
              <w:rPr>
                <w:rFonts w:hint="eastAsia" w:ascii="仿宋" w:hAnsi="仿宋" w:eastAsia="仿宋" w:cs="仿宋"/>
                <w:sz w:val="24"/>
                <w:szCs w:val="24"/>
              </w:rPr>
            </w:pPr>
          </w:p>
        </w:tc>
        <w:tc>
          <w:tcPr>
            <w:tcW w:w="148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资金来源</w:t>
            </w:r>
          </w:p>
        </w:tc>
        <w:tc>
          <w:tcPr>
            <w:tcW w:w="2934"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color w:val="000000"/>
                <w:sz w:val="24"/>
                <w:szCs w:val="24"/>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38"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财政预算限额（元）</w:t>
            </w:r>
          </w:p>
        </w:tc>
        <w:tc>
          <w:tcPr>
            <w:tcW w:w="7713" w:type="dxa"/>
            <w:gridSpan w:val="3"/>
            <w:noWrap w:val="0"/>
            <w:vAlign w:val="center"/>
          </w:tcPr>
          <w:p>
            <w:pPr>
              <w:spacing w:line="360" w:lineRule="exact"/>
              <w:jc w:val="center"/>
              <w:rPr>
                <w:rFonts w:hint="default" w:ascii="仿宋" w:hAnsi="仿宋" w:eastAsia="仿宋" w:cs="仿宋"/>
                <w:sz w:val="24"/>
                <w:szCs w:val="24"/>
                <w:lang w:val="en-US"/>
              </w:rPr>
            </w:pPr>
            <w:r>
              <w:rPr>
                <w:rFonts w:hint="eastAsia" w:ascii="仿宋" w:hAnsi="仿宋" w:eastAsia="仿宋" w:cs="仿宋"/>
                <w:color w:val="000000"/>
                <w:sz w:val="24"/>
                <w:szCs w:val="24"/>
                <w:lang w:val="en-US" w:eastAsia="zh-CN"/>
              </w:rPr>
              <w:t>35000元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38"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7713" w:type="dxa"/>
            <w:gridSpan w:val="3"/>
            <w:noWrap w:val="0"/>
            <w:vAlign w:val="center"/>
          </w:tcPr>
          <w:p>
            <w:pPr>
              <w:spacing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为不断丰富展览推陈出新，不断丰富展陈藏品种类，现计划在地球探秘厅“繁盛的中生代”展区展示本馆藏品恐龙蛋34枚，以满足游客参观体验的迫切需求。本次展览需将恐龙蛋与现有场景有机结合，模拟展示复原其原始环境，突出氛围营造，将展品与环境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38"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7713" w:type="dxa"/>
            <w:gridSpan w:val="3"/>
            <w:noWrap w:val="0"/>
            <w:vAlign w:val="center"/>
          </w:tcPr>
          <w:p>
            <w:pPr>
              <w:spacing w:line="3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38" w:type="dxa"/>
            <w:noWrap w:val="0"/>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投标人</w:t>
            </w:r>
          </w:p>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资质要求</w:t>
            </w:r>
          </w:p>
        </w:tc>
        <w:tc>
          <w:tcPr>
            <w:tcW w:w="7713" w:type="dxa"/>
            <w:gridSpan w:val="3"/>
            <w:noWrap w:val="0"/>
            <w:vAlign w:val="top"/>
          </w:tcPr>
          <w:p>
            <w:pPr>
              <w:spacing w:line="360" w:lineRule="exact"/>
              <w:jc w:val="left"/>
              <w:rPr>
                <w:rFonts w:hint="eastAsia" w:ascii="仿宋" w:hAnsi="仿宋" w:eastAsia="仿宋" w:cs="仿宋"/>
                <w:color w:val="auto"/>
                <w:kern w:val="0"/>
                <w:sz w:val="24"/>
                <w:szCs w:val="24"/>
              </w:rPr>
            </w:pPr>
            <w:r>
              <w:rPr>
                <w:rFonts w:hint="eastAsia" w:ascii="仿宋" w:hAnsi="仿宋" w:eastAsia="仿宋" w:cs="仿宋"/>
                <w:b/>
                <w:color w:val="auto"/>
                <w:kern w:val="0"/>
                <w:sz w:val="24"/>
                <w:szCs w:val="24"/>
              </w:rPr>
              <w:t>注意：提供明确、具体的资格要求（设置的投标人资格要求必须提交有法律法规依据，且不具备</w:t>
            </w:r>
            <w:r>
              <w:rPr>
                <w:rFonts w:hint="eastAsia" w:ascii="仿宋_GB2312" w:hAnsi="宋体" w:eastAsia="仿宋_GB2312" w:cs="宋体"/>
                <w:b w:val="0"/>
                <w:color w:val="auto"/>
                <w:kern w:val="2"/>
                <w:sz w:val="28"/>
                <w:szCs w:val="28"/>
              </w:rPr>
              <w:t>倾向性</w:t>
            </w:r>
            <w:r>
              <w:rPr>
                <w:rFonts w:hint="eastAsia" w:ascii="仿宋" w:hAnsi="仿宋" w:eastAsia="仿宋" w:cs="仿宋"/>
                <w:b/>
                <w:color w:val="auto"/>
                <w:kern w:val="0"/>
                <w:sz w:val="24"/>
                <w:szCs w:val="24"/>
              </w:rPr>
              <w:t>，否则，不予受理。）</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投标人必须是在中华人民共和国境内注册的、具有合法经营资格的独立法人单位，提供营业执照复印件（加盖公章）</w:t>
            </w:r>
            <w:r>
              <w:rPr>
                <w:rFonts w:hint="eastAsia" w:ascii="仿宋" w:hAnsi="仿宋" w:eastAsia="仿宋" w:cs="仿宋"/>
                <w:color w:val="auto"/>
                <w:kern w:val="0"/>
                <w:sz w:val="24"/>
                <w:szCs w:val="24"/>
                <w:lang w:eastAsia="zh-CN"/>
              </w:rPr>
              <w:t>。</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本项目不接受联合体投标，不允许分包，（不接受投标人选用进口产品参与投标）</w:t>
            </w:r>
            <w:r>
              <w:rPr>
                <w:rFonts w:hint="eastAsia" w:ascii="仿宋" w:hAnsi="仿宋" w:eastAsia="仿宋" w:cs="仿宋"/>
                <w:color w:val="auto"/>
                <w:kern w:val="0"/>
                <w:sz w:val="24"/>
                <w:szCs w:val="24"/>
                <w:lang w:val="en-US" w:eastAsia="zh-CN"/>
              </w:rPr>
              <w:t>。</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投标人须提供《政府采购投标及履约承诺函》（见附件），加盖投标人公章。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38" w:type="dxa"/>
            <w:noWrap w:val="0"/>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bCs/>
                <w:sz w:val="24"/>
                <w:szCs w:val="24"/>
              </w:rPr>
              <w:t>需求内容</w:t>
            </w:r>
          </w:p>
        </w:tc>
        <w:tc>
          <w:tcPr>
            <w:tcW w:w="7713" w:type="dxa"/>
            <w:gridSpan w:val="3"/>
            <w:noWrap w:val="0"/>
            <w:vAlign w:val="top"/>
          </w:tcPr>
          <w:p>
            <w:pPr>
              <w:widowControl/>
              <w:numPr>
                <w:ilvl w:val="0"/>
                <w:numId w:val="0"/>
              </w:numPr>
              <w:spacing w:line="440" w:lineRule="exact"/>
              <w:jc w:val="left"/>
              <w:rPr>
                <w:rFonts w:hint="eastAsia" w:ascii="仿宋" w:hAnsi="仿宋" w:eastAsia="仿宋" w:cs="仿宋_GB2312"/>
                <w:kern w:val="2"/>
                <w:sz w:val="24"/>
                <w:szCs w:val="24"/>
              </w:rPr>
            </w:pPr>
            <w:r>
              <w:rPr>
                <w:rFonts w:hint="eastAsia" w:ascii="仿宋" w:hAnsi="仿宋" w:eastAsia="仿宋" w:cs="仿宋_GB2312"/>
                <w:kern w:val="2"/>
                <w:sz w:val="24"/>
                <w:szCs w:val="24"/>
              </w:rPr>
              <w:t>*1、报价要求</w:t>
            </w:r>
          </w:p>
          <w:p>
            <w:pPr>
              <w:widowControl/>
              <w:numPr>
                <w:ilvl w:val="0"/>
                <w:numId w:val="0"/>
              </w:numPr>
              <w:spacing w:line="440" w:lineRule="exact"/>
              <w:jc w:val="left"/>
              <w:rPr>
                <w:rFonts w:hint="eastAsia" w:ascii="仿宋" w:hAnsi="仿宋" w:eastAsia="仿宋" w:cs="仿宋_GB2312"/>
                <w:kern w:val="2"/>
                <w:sz w:val="24"/>
                <w:szCs w:val="24"/>
                <w:lang w:val="en-US" w:eastAsia="zh-CN"/>
              </w:rPr>
            </w:pPr>
            <w:r>
              <w:rPr>
                <w:rFonts w:hint="eastAsia" w:ascii="仿宋" w:hAnsi="仿宋" w:eastAsia="仿宋" w:cs="仿宋_GB2312"/>
                <w:kern w:val="2"/>
                <w:sz w:val="24"/>
                <w:szCs w:val="24"/>
                <w:lang w:val="en-US" w:eastAsia="zh-CN"/>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pPr>
              <w:widowControl/>
              <w:numPr>
                <w:ilvl w:val="0"/>
                <w:numId w:val="0"/>
              </w:numPr>
              <w:spacing w:line="440" w:lineRule="exact"/>
              <w:jc w:val="left"/>
              <w:rPr>
                <w:rFonts w:hint="eastAsia" w:ascii="仿宋" w:hAnsi="仿宋" w:eastAsia="仿宋" w:cs="仿宋_GB2312"/>
                <w:kern w:val="2"/>
                <w:sz w:val="24"/>
                <w:szCs w:val="24"/>
                <w:lang w:val="en-US" w:eastAsia="zh-CN"/>
              </w:rPr>
            </w:pPr>
            <w:r>
              <w:rPr>
                <w:rFonts w:hint="eastAsia" w:ascii="仿宋" w:hAnsi="仿宋" w:eastAsia="仿宋" w:cs="仿宋_GB2312"/>
                <w:kern w:val="2"/>
                <w:sz w:val="24"/>
                <w:szCs w:val="24"/>
                <w:lang w:val="en-US" w:eastAsia="zh-CN"/>
              </w:rPr>
              <w:t>（2）投标供应商应当根据本企业的成本自行决定报价，但不得以低于其企业成本的报价投标。</w:t>
            </w:r>
          </w:p>
          <w:p>
            <w:pPr>
              <w:widowControl/>
              <w:numPr>
                <w:ilvl w:val="0"/>
                <w:numId w:val="0"/>
              </w:numPr>
              <w:spacing w:line="440" w:lineRule="exact"/>
              <w:jc w:val="left"/>
              <w:rPr>
                <w:rFonts w:hint="eastAsia" w:ascii="仿宋" w:hAnsi="仿宋" w:eastAsia="仿宋" w:cs="仿宋_GB2312"/>
                <w:kern w:val="2"/>
                <w:sz w:val="24"/>
                <w:szCs w:val="24"/>
                <w:lang w:val="en-US" w:eastAsia="zh-CN"/>
              </w:rPr>
            </w:pPr>
            <w:r>
              <w:rPr>
                <w:rFonts w:hint="eastAsia" w:ascii="仿宋" w:hAnsi="仿宋" w:eastAsia="仿宋" w:cs="仿宋_GB2312"/>
                <w:kern w:val="2"/>
                <w:sz w:val="24"/>
                <w:szCs w:val="24"/>
                <w:lang w:val="en-US" w:eastAsia="zh-CN"/>
              </w:rPr>
              <w:t>（3）投标供应商的报价不得超过项目预算金额。</w:t>
            </w:r>
          </w:p>
          <w:p>
            <w:pPr>
              <w:widowControl/>
              <w:numPr>
                <w:ilvl w:val="0"/>
                <w:numId w:val="0"/>
              </w:numPr>
              <w:spacing w:line="440" w:lineRule="exact"/>
              <w:jc w:val="left"/>
              <w:rPr>
                <w:rFonts w:hint="eastAsia" w:ascii="仿宋" w:hAnsi="仿宋" w:eastAsia="仿宋" w:cs="仿宋_GB2312"/>
                <w:kern w:val="2"/>
                <w:sz w:val="24"/>
                <w:szCs w:val="24"/>
                <w:lang w:val="en-US" w:eastAsia="zh-CN"/>
              </w:rPr>
            </w:pPr>
            <w:r>
              <w:rPr>
                <w:rFonts w:hint="eastAsia" w:ascii="仿宋" w:hAnsi="仿宋" w:eastAsia="仿宋" w:cs="仿宋_GB2312"/>
                <w:kern w:val="2"/>
                <w:sz w:val="24"/>
                <w:szCs w:val="24"/>
                <w:lang w:val="en-US" w:eastAsia="zh-CN"/>
              </w:rPr>
              <w:t>（4）投标供应商的报价，应当是本项目采购范围和采购文件及合同条款上所列的各项内容中所述的全部，不得以任何理由予以重复。</w:t>
            </w:r>
          </w:p>
          <w:p>
            <w:pPr>
              <w:widowControl/>
              <w:numPr>
                <w:ilvl w:val="0"/>
                <w:numId w:val="0"/>
              </w:numPr>
              <w:spacing w:line="440" w:lineRule="exact"/>
              <w:jc w:val="left"/>
              <w:rPr>
                <w:rFonts w:hint="eastAsia" w:ascii="仿宋" w:hAnsi="仿宋" w:eastAsia="仿宋" w:cs="仿宋_GB2312"/>
                <w:kern w:val="2"/>
                <w:sz w:val="24"/>
                <w:szCs w:val="24"/>
                <w:lang w:val="en-US" w:eastAsia="zh-CN"/>
              </w:rPr>
            </w:pPr>
            <w:r>
              <w:rPr>
                <w:rFonts w:hint="eastAsia" w:ascii="仿宋" w:hAnsi="仿宋" w:eastAsia="仿宋" w:cs="仿宋_GB2312"/>
                <w:kern w:val="2"/>
                <w:sz w:val="24"/>
                <w:szCs w:val="24"/>
                <w:lang w:val="en-US" w:eastAsia="zh-CN"/>
              </w:rPr>
              <w:t>（5）除非采购人通过修改采购文件予以更正，否则，投标供应商应毫无例外地按响应文件所列的清单中项目和数量填报综合单价和合价。投标供应商未填综合单价或合价的项目，在项目实施后一律不予支付，并视作该项费用已包括在其它有价款的综合单价或合价内，</w:t>
            </w:r>
            <w:r>
              <w:rPr>
                <w:rFonts w:hint="eastAsia" w:ascii="仿宋" w:hAnsi="仿宋" w:eastAsia="仿宋" w:cs="仿宋_GB2312"/>
                <w:kern w:val="2"/>
                <w:sz w:val="24"/>
                <w:szCs w:val="24"/>
              </w:rPr>
              <w:t>投标方不得再以任何理由主张追加该部分费用</w:t>
            </w:r>
            <w:r>
              <w:rPr>
                <w:rFonts w:hint="eastAsia" w:ascii="仿宋" w:hAnsi="仿宋" w:eastAsia="仿宋" w:cs="仿宋_GB2312"/>
                <w:kern w:val="2"/>
                <w:sz w:val="24"/>
                <w:szCs w:val="24"/>
                <w:lang w:eastAsia="zh-CN"/>
              </w:rPr>
              <w:t>，</w:t>
            </w:r>
            <w:r>
              <w:rPr>
                <w:rFonts w:hint="eastAsia" w:ascii="仿宋" w:hAnsi="仿宋" w:eastAsia="仿宋" w:cs="仿宋_GB2312"/>
                <w:kern w:val="2"/>
                <w:sz w:val="24"/>
                <w:szCs w:val="24"/>
              </w:rPr>
              <w:t>相关损失由投标方自行承担</w:t>
            </w:r>
            <w:r>
              <w:rPr>
                <w:rFonts w:hint="eastAsia" w:ascii="仿宋" w:hAnsi="仿宋" w:eastAsia="仿宋" w:cs="仿宋_GB2312"/>
                <w:kern w:val="2"/>
                <w:sz w:val="24"/>
                <w:szCs w:val="24"/>
                <w:lang w:val="en-US" w:eastAsia="zh-CN"/>
              </w:rPr>
              <w:t>。</w:t>
            </w:r>
          </w:p>
          <w:p>
            <w:pPr>
              <w:widowControl/>
              <w:numPr>
                <w:ilvl w:val="0"/>
                <w:numId w:val="0"/>
              </w:numPr>
              <w:spacing w:line="440" w:lineRule="exact"/>
              <w:jc w:val="left"/>
              <w:rPr>
                <w:rFonts w:hint="eastAsia" w:ascii="仿宋" w:hAnsi="仿宋" w:eastAsia="仿宋" w:cs="仿宋_GB2312"/>
                <w:kern w:val="2"/>
                <w:sz w:val="24"/>
                <w:szCs w:val="24"/>
                <w:lang w:val="en-US" w:eastAsia="zh-CN"/>
              </w:rPr>
            </w:pPr>
            <w:r>
              <w:rPr>
                <w:rFonts w:hint="eastAsia" w:ascii="仿宋" w:hAnsi="仿宋" w:eastAsia="仿宋" w:cs="仿宋_GB2312"/>
                <w:kern w:val="2"/>
                <w:sz w:val="24"/>
                <w:szCs w:val="24"/>
                <w:lang w:val="en-US" w:eastAsia="zh-CN"/>
              </w:rPr>
              <w:t>（6）投标供应商应先到项目地点踏勘以充分了解项目的位置、情况、道路及任何其它足以影响投标报价的情况，任何因忽视或误解项目情况而导致的索赔或服务期限延长申请将不获批准。</w:t>
            </w:r>
          </w:p>
          <w:p>
            <w:pPr>
              <w:widowControl/>
              <w:numPr>
                <w:ilvl w:val="0"/>
                <w:numId w:val="0"/>
              </w:numPr>
              <w:spacing w:line="440" w:lineRule="exact"/>
              <w:jc w:val="left"/>
              <w:rPr>
                <w:rFonts w:hint="eastAsia" w:ascii="仿宋" w:hAnsi="仿宋" w:eastAsia="仿宋" w:cs="仿宋_GB2312"/>
                <w:kern w:val="2"/>
                <w:sz w:val="24"/>
                <w:szCs w:val="24"/>
                <w:lang w:val="en-US" w:eastAsia="zh-CN"/>
              </w:rPr>
            </w:pPr>
            <w:r>
              <w:rPr>
                <w:rFonts w:hint="eastAsia" w:ascii="仿宋" w:hAnsi="仿宋" w:eastAsia="仿宋" w:cs="仿宋_GB2312"/>
                <w:kern w:val="2"/>
                <w:sz w:val="24"/>
                <w:szCs w:val="24"/>
                <w:lang w:val="en-US" w:eastAsia="zh-CN"/>
              </w:rPr>
              <w:t>（7）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numPr>
                <w:ilvl w:val="0"/>
                <w:numId w:val="0"/>
              </w:numPr>
              <w:spacing w:line="440" w:lineRule="exact"/>
              <w:jc w:val="left"/>
              <w:rPr>
                <w:rFonts w:hint="eastAsia" w:ascii="仿宋" w:hAnsi="仿宋" w:eastAsia="仿宋" w:cs="仿宋_GB2312"/>
                <w:kern w:val="2"/>
                <w:sz w:val="24"/>
                <w:szCs w:val="24"/>
              </w:rPr>
            </w:pPr>
            <w:r>
              <w:rPr>
                <w:rFonts w:hint="eastAsia" w:ascii="仿宋" w:hAnsi="仿宋" w:eastAsia="仿宋" w:cs="仿宋_GB2312"/>
                <w:kern w:val="2"/>
                <w:sz w:val="24"/>
                <w:szCs w:val="24"/>
              </w:rPr>
              <w:t>*2、付款方式</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 xml:space="preserve">服务完成后由甲方验收合格，甲方收到乙方提供的发票后支付100%。 </w:t>
            </w:r>
          </w:p>
          <w:p>
            <w:pPr>
              <w:widowControl/>
              <w:numPr>
                <w:ilvl w:val="0"/>
                <w:numId w:val="0"/>
              </w:numPr>
              <w:spacing w:line="440" w:lineRule="exact"/>
              <w:jc w:val="left"/>
              <w:rPr>
                <w:rFonts w:hint="eastAsia" w:ascii="仿宋" w:hAnsi="仿宋" w:eastAsia="仿宋" w:cs="仿宋_GB2312"/>
                <w:kern w:val="2"/>
                <w:sz w:val="24"/>
                <w:szCs w:val="24"/>
                <w:lang w:val="en-US" w:eastAsia="zh-CN"/>
              </w:rPr>
            </w:pPr>
            <w:r>
              <w:rPr>
                <w:rFonts w:hint="eastAsia" w:ascii="仿宋" w:hAnsi="仿宋" w:eastAsia="仿宋" w:cs="仿宋_GB2312"/>
                <w:kern w:val="2"/>
                <w:sz w:val="24"/>
                <w:szCs w:val="24"/>
              </w:rPr>
              <w:t>*3、履约保证金</w:t>
            </w:r>
            <w:r>
              <w:rPr>
                <w:rFonts w:hint="eastAsia" w:ascii="仿宋" w:hAnsi="仿宋" w:eastAsia="仿宋" w:cs="仿宋_GB2312"/>
                <w:kern w:val="2"/>
                <w:sz w:val="24"/>
                <w:szCs w:val="24"/>
                <w:lang w:val="en-US" w:eastAsia="zh-CN"/>
              </w:rPr>
              <w:t xml:space="preserve">  </w:t>
            </w:r>
          </w:p>
          <w:p>
            <w:pPr>
              <w:widowControl/>
              <w:numPr>
                <w:ilvl w:val="0"/>
                <w:numId w:val="0"/>
              </w:numPr>
              <w:spacing w:line="440" w:lineRule="exact"/>
              <w:jc w:val="left"/>
              <w:rPr>
                <w:rFonts w:hint="eastAsia" w:ascii="仿宋" w:hAnsi="仿宋" w:eastAsia="仿宋" w:cs="仿宋_GB2312"/>
                <w:kern w:val="2"/>
                <w:sz w:val="24"/>
                <w:szCs w:val="24"/>
                <w:lang w:val="en-US" w:eastAsia="zh-CN"/>
              </w:rPr>
            </w:pPr>
            <w:r>
              <w:rPr>
                <w:rFonts w:hint="eastAsia" w:ascii="仿宋" w:hAnsi="仿宋" w:eastAsia="仿宋" w:cs="仿宋_GB2312"/>
                <w:kern w:val="2"/>
                <w:sz w:val="24"/>
                <w:szCs w:val="24"/>
                <w:lang w:val="en-US" w:eastAsia="zh-CN"/>
              </w:rPr>
              <w:t>无。</w:t>
            </w:r>
          </w:p>
          <w:p>
            <w:pPr>
              <w:widowControl/>
              <w:numPr>
                <w:ilvl w:val="0"/>
                <w:numId w:val="0"/>
              </w:numPr>
              <w:spacing w:line="440" w:lineRule="exact"/>
              <w:jc w:val="left"/>
              <w:rPr>
                <w:rFonts w:hint="eastAsia" w:ascii="仿宋" w:hAnsi="仿宋" w:eastAsia="仿宋" w:cs="仿宋_GB2312"/>
                <w:kern w:val="2"/>
                <w:sz w:val="24"/>
                <w:szCs w:val="24"/>
                <w:lang w:val="en-US" w:eastAsia="zh-CN"/>
              </w:rPr>
            </w:pPr>
            <w:r>
              <w:rPr>
                <w:rFonts w:hint="eastAsia" w:ascii="仿宋" w:hAnsi="仿宋" w:eastAsia="仿宋" w:cs="仿宋_GB2312"/>
                <w:kern w:val="2"/>
                <w:sz w:val="24"/>
                <w:szCs w:val="24"/>
              </w:rPr>
              <w:t>*4、违约责任</w:t>
            </w:r>
            <w:r>
              <w:rPr>
                <w:rFonts w:hint="eastAsia" w:ascii="仿宋" w:hAnsi="仿宋" w:eastAsia="仿宋" w:cs="仿宋_GB2312"/>
                <w:kern w:val="2"/>
                <w:sz w:val="24"/>
                <w:szCs w:val="24"/>
                <w:lang w:val="en-US" w:eastAsia="zh-CN"/>
              </w:rPr>
              <w:t xml:space="preserve">   </w:t>
            </w:r>
          </w:p>
          <w:p>
            <w:pPr>
              <w:widowControl/>
              <w:numPr>
                <w:ilvl w:val="0"/>
                <w:numId w:val="0"/>
              </w:numPr>
              <w:spacing w:line="440" w:lineRule="exact"/>
              <w:jc w:val="left"/>
              <w:rPr>
                <w:rFonts w:hint="eastAsia" w:ascii="仿宋" w:hAnsi="仿宋" w:eastAsia="仿宋" w:cs="仿宋_GB2312"/>
                <w:kern w:val="2"/>
                <w:sz w:val="24"/>
                <w:szCs w:val="24"/>
                <w:lang w:val="en-US" w:eastAsia="zh-CN"/>
              </w:rPr>
            </w:pPr>
            <w:r>
              <w:rPr>
                <w:rFonts w:hint="eastAsia" w:ascii="仿宋" w:hAnsi="仿宋" w:eastAsia="仿宋" w:cs="仿宋_GB2312"/>
                <w:kern w:val="2"/>
                <w:sz w:val="24"/>
                <w:szCs w:val="24"/>
                <w:lang w:val="en-US" w:eastAsia="zh-CN"/>
              </w:rPr>
              <w:t>具体以合同约定为准。</w:t>
            </w:r>
          </w:p>
          <w:p>
            <w:pPr>
              <w:widowControl/>
              <w:numPr>
                <w:ilvl w:val="0"/>
                <w:numId w:val="0"/>
              </w:numPr>
              <w:spacing w:line="440" w:lineRule="exact"/>
              <w:jc w:val="left"/>
              <w:rPr>
                <w:rFonts w:hint="eastAsia" w:ascii="仿宋" w:hAnsi="仿宋" w:eastAsia="仿宋" w:cs="仿宋_GB2312"/>
                <w:kern w:val="2"/>
                <w:sz w:val="24"/>
                <w:szCs w:val="24"/>
              </w:rPr>
            </w:pPr>
            <w:r>
              <w:rPr>
                <w:rFonts w:hint="eastAsia" w:ascii="仿宋" w:hAnsi="仿宋" w:eastAsia="仿宋" w:cs="仿宋_GB2312"/>
                <w:kern w:val="2"/>
                <w:sz w:val="24"/>
                <w:szCs w:val="24"/>
              </w:rPr>
              <w:t>*5、服务质量监督和项目验收要求</w:t>
            </w:r>
          </w:p>
          <w:p>
            <w:pPr>
              <w:keepNext w:val="0"/>
              <w:keepLines w:val="0"/>
              <w:widowControl/>
              <w:numPr>
                <w:ilvl w:val="0"/>
                <w:numId w:val="0"/>
              </w:numPr>
              <w:suppressLineNumbers w:val="0"/>
              <w:spacing w:line="440" w:lineRule="exact"/>
              <w:jc w:val="left"/>
              <w:rPr>
                <w:rFonts w:hint="eastAsia" w:ascii="仿宋" w:hAnsi="仿宋" w:eastAsia="仿宋" w:cs="仿宋_GB2312"/>
                <w:kern w:val="2"/>
                <w:sz w:val="24"/>
                <w:szCs w:val="24"/>
              </w:rPr>
            </w:pPr>
            <w:r>
              <w:rPr>
                <w:rFonts w:hint="eastAsia" w:ascii="仿宋" w:hAnsi="仿宋" w:eastAsia="仿宋" w:cs="仿宋_GB2312"/>
                <w:i w:val="0"/>
                <w:iCs w:val="0"/>
                <w:caps w:val="0"/>
                <w:spacing w:val="0"/>
                <w:kern w:val="2"/>
                <w:sz w:val="24"/>
                <w:szCs w:val="24"/>
                <w:shd w:val="clear"/>
                <w:lang w:val="en-US" w:eastAsia="zh-CN" w:bidi="ar"/>
              </w:rPr>
              <w:t>1、展柜整体造型与场景融合度高，柜体白色漆面平整光滑、无划痕、无拼接缝隙；玻璃表面洁净无指纹，钢化玻璃无气泡、无划痕，抗暴性能达标。</w:t>
            </w:r>
          </w:p>
          <w:p>
            <w:pPr>
              <w:widowControl/>
              <w:numPr>
                <w:ilvl w:val="0"/>
                <w:numId w:val="0"/>
              </w:numPr>
              <w:spacing w:line="440" w:lineRule="exact"/>
              <w:jc w:val="left"/>
              <w:rPr>
                <w:rFonts w:hint="eastAsia" w:ascii="仿宋" w:hAnsi="仿宋" w:eastAsia="仿宋" w:cs="仿宋"/>
                <w:color w:val="auto"/>
                <w:sz w:val="24"/>
                <w:szCs w:val="24"/>
              </w:rPr>
            </w:pPr>
            <w:r>
              <w:rPr>
                <w:rFonts w:hint="eastAsia" w:ascii="仿宋" w:hAnsi="仿宋" w:eastAsia="仿宋" w:cs="仿宋_GB2312"/>
                <w:kern w:val="2"/>
                <w:sz w:val="24"/>
                <w:szCs w:val="24"/>
                <w:lang w:val="en-US" w:eastAsia="zh-CN"/>
              </w:rPr>
              <w:t>2、</w:t>
            </w:r>
            <w:r>
              <w:rPr>
                <w:rFonts w:hint="eastAsia" w:ascii="仿宋" w:hAnsi="仿宋" w:eastAsia="仿宋" w:cs="仿宋_GB2312"/>
                <w:i w:val="0"/>
                <w:iCs w:val="0"/>
                <w:caps w:val="0"/>
                <w:spacing w:val="0"/>
                <w:kern w:val="2"/>
                <w:sz w:val="24"/>
                <w:szCs w:val="24"/>
                <w:shd w:val="clear"/>
                <w:lang w:val="en-US" w:eastAsia="zh-CN" w:bidi="ar"/>
              </w:rPr>
              <w:t>柜内小型复原场景精致度高，仿真植物与恐龙时期特点高度吻合，无廉价塑料感；恐龙蛋摆放稳固，数量及位置符合设计方案，整体营造出逼真的原始自然环境氛围。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8" w:type="dxa"/>
            <w:noWrap w:val="0"/>
            <w:vAlign w:val="center"/>
          </w:tcPr>
          <w:p>
            <w:pPr>
              <w:spacing w:line="36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服务内容清单</w:t>
            </w:r>
          </w:p>
        </w:tc>
        <w:tc>
          <w:tcPr>
            <w:tcW w:w="7713" w:type="dxa"/>
            <w:gridSpan w:val="3"/>
            <w:noWrap w:val="0"/>
            <w:vAlign w:val="top"/>
          </w:tcPr>
          <w:tbl>
            <w:tblPr>
              <w:tblStyle w:val="6"/>
              <w:tblW w:w="7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73"/>
              <w:gridCol w:w="4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序号</w:t>
                  </w:r>
                </w:p>
              </w:tc>
              <w:tc>
                <w:tcPr>
                  <w:tcW w:w="2173"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服务内容</w:t>
                  </w:r>
                </w:p>
              </w:tc>
              <w:tc>
                <w:tcPr>
                  <w:tcW w:w="4619"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w:t>
                  </w:r>
                </w:p>
              </w:tc>
              <w:tc>
                <w:tcPr>
                  <w:tcW w:w="2173" w:type="dxa"/>
                  <w:vAlign w:val="center"/>
                </w:tcPr>
                <w:p>
                  <w:pPr>
                    <w:numPr>
                      <w:ilvl w:val="0"/>
                      <w:numId w:val="0"/>
                    </w:numPr>
                    <w:spacing w:line="440" w:lineRule="exact"/>
                    <w:jc w:val="cente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lang w:val="en-US" w:eastAsia="zh-CN"/>
                    </w:rPr>
                    <w:t>玻璃展柜制作</w:t>
                  </w:r>
                </w:p>
              </w:tc>
              <w:tc>
                <w:tcPr>
                  <w:tcW w:w="4619" w:type="dxa"/>
                  <w:vMerge w:val="restart"/>
                  <w:vAlign w:val="center"/>
                </w:tcPr>
                <w:p>
                  <w:pPr>
                    <w:numPr>
                      <w:ilvl w:val="0"/>
                      <w:numId w:val="1"/>
                    </w:numPr>
                    <w:spacing w:line="440" w:lineRule="exact"/>
                    <w:jc w:val="both"/>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不少于长4.5米地面玻璃展柜，包含展柜灯光效果展示，柜体部分为白色，展柜设计造型长宽高需与场景相结合，展柜玻璃特性须具备一定的抗暴性（钢化玻璃）。</w:t>
                  </w:r>
                </w:p>
                <w:p>
                  <w:pPr>
                    <w:numPr>
                      <w:ilvl w:val="0"/>
                      <w:numId w:val="1"/>
                    </w:numPr>
                    <w:spacing w:line="440" w:lineRule="exact"/>
                    <w:jc w:val="both"/>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lang w:val="en-US" w:eastAsia="zh-CN"/>
                    </w:rPr>
                    <w:t>营造环境的仿真植物须与其时期特点相符，模拟原始自然环境、营造氛围，柜内摆放恐龙蛋数量按照柜内场景需求，柜外场景中恐龙蛋摆放需与场景相协调。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705"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w:t>
                  </w:r>
                </w:p>
              </w:tc>
              <w:tc>
                <w:tcPr>
                  <w:tcW w:w="2173" w:type="dxa"/>
                  <w:vAlign w:val="center"/>
                </w:tcPr>
                <w:p>
                  <w:pPr>
                    <w:numPr>
                      <w:ilvl w:val="0"/>
                      <w:numId w:val="0"/>
                    </w:numPr>
                    <w:spacing w:line="440" w:lineRule="exact"/>
                    <w:jc w:val="cente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lang w:val="en-US" w:eastAsia="zh-CN"/>
                    </w:rPr>
                    <w:t>场景氛围营造、仿真植物、</w:t>
                  </w:r>
                </w:p>
              </w:tc>
              <w:tc>
                <w:tcPr>
                  <w:tcW w:w="4619" w:type="dxa"/>
                  <w:vMerge w:val="continue"/>
                  <w:vAlign w:val="center"/>
                </w:tcPr>
                <w:p>
                  <w:pPr>
                    <w:numPr>
                      <w:ilvl w:val="0"/>
                      <w:numId w:val="0"/>
                    </w:numPr>
                    <w:spacing w:line="440" w:lineRule="exact"/>
                    <w:jc w:val="center"/>
                    <w:rPr>
                      <w:rFonts w:hint="eastAsia" w:ascii="仿宋" w:hAnsi="仿宋" w:eastAsia="仿宋"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3</w:t>
                  </w:r>
                </w:p>
              </w:tc>
              <w:tc>
                <w:tcPr>
                  <w:tcW w:w="2173" w:type="dxa"/>
                  <w:vAlign w:val="center"/>
                </w:tcPr>
                <w:p>
                  <w:pPr>
                    <w:numPr>
                      <w:ilvl w:val="0"/>
                      <w:numId w:val="0"/>
                    </w:numPr>
                    <w:spacing w:line="440" w:lineRule="exact"/>
                    <w:jc w:val="cente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lang w:val="en-US" w:eastAsia="zh-CN"/>
                    </w:rPr>
                    <w:t>运输、人工及税费等</w:t>
                  </w:r>
                </w:p>
              </w:tc>
              <w:tc>
                <w:tcPr>
                  <w:tcW w:w="4619" w:type="dxa"/>
                  <w:vMerge w:val="continue"/>
                  <w:vAlign w:val="center"/>
                </w:tcPr>
                <w:p>
                  <w:pPr>
                    <w:numPr>
                      <w:ilvl w:val="0"/>
                      <w:numId w:val="0"/>
                    </w:numPr>
                    <w:spacing w:line="440" w:lineRule="exact"/>
                    <w:jc w:val="center"/>
                    <w:rPr>
                      <w:rFonts w:hint="eastAsia" w:ascii="仿宋" w:hAnsi="仿宋" w:eastAsia="仿宋" w:cs="仿宋_GB2312"/>
                      <w:sz w:val="24"/>
                      <w:szCs w:val="24"/>
                      <w:vertAlign w:val="baseline"/>
                      <w:lang w:val="en-US" w:eastAsia="zh-CN"/>
                    </w:rPr>
                  </w:pPr>
                </w:p>
              </w:tc>
            </w:tr>
          </w:tbl>
          <w:p>
            <w:pPr>
              <w:spacing w:line="360" w:lineRule="exact"/>
              <w:jc w:val="left"/>
              <w:rPr>
                <w:rFonts w:hint="eastAsia" w:ascii="仿宋" w:hAnsi="仿宋" w:eastAsia="仿宋"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38" w:type="dxa"/>
            <w:noWrap w:val="0"/>
            <w:vAlign w:val="center"/>
          </w:tcPr>
          <w:p>
            <w:pPr>
              <w:spacing w:line="32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具体技术要求</w:t>
            </w:r>
          </w:p>
        </w:tc>
        <w:tc>
          <w:tcPr>
            <w:tcW w:w="7713" w:type="dxa"/>
            <w:gridSpan w:val="3"/>
            <w:noWrap w:val="0"/>
            <w:vAlign w:val="top"/>
          </w:tcPr>
          <w:p>
            <w:pPr>
              <w:numPr>
                <w:ilvl w:val="-1"/>
                <w:numId w:val="0"/>
              </w:numPr>
              <w:spacing w:line="440" w:lineRule="exact"/>
              <w:jc w:val="left"/>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场景前方设计不少于长4.5米地面玻璃展柜（白玻），包含展柜灯光效果展示，柜体部分为白色，展柜设计造型长宽高需与场景相结合，展柜玻璃特性须具备一定的抗暴性（钢化玻璃）。展柜内灯光设施开关，接电与其提供相应辅材，由服务单位负责。</w:t>
            </w:r>
          </w:p>
          <w:p>
            <w:pPr>
              <w:numPr>
                <w:ilvl w:val="-1"/>
                <w:numId w:val="0"/>
              </w:numPr>
              <w:spacing w:line="440" w:lineRule="exact"/>
              <w:ind w:firstLine="0" w:firstLineChars="0"/>
              <w:jc w:val="left"/>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2、展柜内以小型复原场景方式与恐龙蛋的陈列相得益彰，营造环境的仿真植物须与其时期特点相符，模拟原始自然环境、营造氛围，柜内摆放恐龙蛋数量按照柜内场景需求，柜外场景中恐龙蛋摆放需与场景相协调。</w:t>
            </w:r>
          </w:p>
          <w:p>
            <w:pPr>
              <w:numPr>
                <w:ilvl w:val="-1"/>
                <w:numId w:val="0"/>
              </w:numPr>
              <w:spacing w:line="320" w:lineRule="exact"/>
              <w:ind w:left="0" w:leftChars="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3、供货商负责供货、安装、调试、验收合格及质保服务。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38" w:type="dxa"/>
            <w:noWrap w:val="0"/>
            <w:vAlign w:val="center"/>
          </w:tcPr>
          <w:p>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商务</w:t>
            </w:r>
          </w:p>
          <w:p>
            <w:pPr>
              <w:spacing w:line="32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需求</w:t>
            </w:r>
          </w:p>
        </w:tc>
        <w:tc>
          <w:tcPr>
            <w:tcW w:w="7713" w:type="dxa"/>
            <w:gridSpan w:val="3"/>
            <w:noWrap w:val="0"/>
            <w:vAlign w:val="top"/>
          </w:tcPr>
          <w:p>
            <w:p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1、服务地点：深圳市大鹏新区南澳街道新大社区地质公园路1号。</w:t>
            </w:r>
          </w:p>
          <w:p>
            <w:pPr>
              <w:numPr>
                <w:ilvl w:val="0"/>
                <w:numId w:val="0"/>
              </w:num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2、服务时间：合同签订后20个自然日内完成服务内容。</w:t>
            </w:r>
          </w:p>
          <w:p>
            <w:p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3、项目成果：</w:t>
            </w:r>
            <w:bookmarkStart w:id="0" w:name="_GoBack"/>
            <w:bookmarkEnd w:id="0"/>
          </w:p>
          <w:p>
            <w:p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（1）制化玻璃展柜系统：建成4.5米以上白色钢化玻璃展柜，灯光及接电辅材配置齐全，抗暴性与安全性达标。</w:t>
            </w:r>
          </w:p>
          <w:p>
            <w:p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_GB2312"/>
                <w:sz w:val="24"/>
                <w:szCs w:val="24"/>
                <w:lang w:val="en-US" w:eastAsia="zh-CN"/>
              </w:rPr>
              <w:t>场景氛围营造</w:t>
            </w:r>
            <w:r>
              <w:rPr>
                <w:rFonts w:hint="eastAsia" w:ascii="仿宋" w:hAnsi="仿宋" w:eastAsia="仿宋" w:cs="仿宋"/>
                <w:color w:val="auto"/>
                <w:sz w:val="24"/>
                <w:szCs w:val="24"/>
                <w:lang w:val="en-US" w:eastAsia="zh-CN"/>
              </w:rPr>
              <w:t>：完成柜内外恐龙蛋陈列与仿真植物造景，高度还原原始自然环境，内外场景过渡协调。</w:t>
            </w:r>
          </w:p>
        </w:tc>
      </w:tr>
    </w:tbl>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E722A"/>
    <w:multiLevelType w:val="singleLevel"/>
    <w:tmpl w:val="657E722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BmYzY3MmM2Nzk4M2IzODBjYzM0NzlkYzZiNTMifQ=="/>
  </w:docVars>
  <w:rsids>
    <w:rsidRoot w:val="7DF419B8"/>
    <w:rsid w:val="000801D6"/>
    <w:rsid w:val="02C76C9E"/>
    <w:rsid w:val="02D80E4A"/>
    <w:rsid w:val="03880C19"/>
    <w:rsid w:val="05B16FE4"/>
    <w:rsid w:val="075C7020"/>
    <w:rsid w:val="082B55BE"/>
    <w:rsid w:val="092A0515"/>
    <w:rsid w:val="095C1FE8"/>
    <w:rsid w:val="096F2804"/>
    <w:rsid w:val="0BDD9619"/>
    <w:rsid w:val="0BE335C5"/>
    <w:rsid w:val="0C28597F"/>
    <w:rsid w:val="0CE52937"/>
    <w:rsid w:val="0F1D46D8"/>
    <w:rsid w:val="12AE23B5"/>
    <w:rsid w:val="12BB03C6"/>
    <w:rsid w:val="131E2669"/>
    <w:rsid w:val="133F6421"/>
    <w:rsid w:val="14160BB3"/>
    <w:rsid w:val="14856738"/>
    <w:rsid w:val="15CE400A"/>
    <w:rsid w:val="16AF0347"/>
    <w:rsid w:val="16EC5336"/>
    <w:rsid w:val="19782D58"/>
    <w:rsid w:val="19A57BD3"/>
    <w:rsid w:val="1A032E57"/>
    <w:rsid w:val="1D13223F"/>
    <w:rsid w:val="1E352E48"/>
    <w:rsid w:val="1E40742E"/>
    <w:rsid w:val="1EF92460"/>
    <w:rsid w:val="1F0F6857"/>
    <w:rsid w:val="1FE75D09"/>
    <w:rsid w:val="2021575F"/>
    <w:rsid w:val="2229215A"/>
    <w:rsid w:val="23723533"/>
    <w:rsid w:val="23D16BA0"/>
    <w:rsid w:val="24466D8E"/>
    <w:rsid w:val="264C74E4"/>
    <w:rsid w:val="266E04A3"/>
    <w:rsid w:val="26CDB16B"/>
    <w:rsid w:val="28B7048D"/>
    <w:rsid w:val="29D76730"/>
    <w:rsid w:val="2B6B7E4B"/>
    <w:rsid w:val="2C9D01BD"/>
    <w:rsid w:val="2D0C1674"/>
    <w:rsid w:val="2D8F684C"/>
    <w:rsid w:val="2DF7EB3B"/>
    <w:rsid w:val="2F07BFAE"/>
    <w:rsid w:val="2F6D7DAE"/>
    <w:rsid w:val="310061F3"/>
    <w:rsid w:val="32A35663"/>
    <w:rsid w:val="36327D7A"/>
    <w:rsid w:val="378E4F91"/>
    <w:rsid w:val="37EFA99C"/>
    <w:rsid w:val="38A51D7C"/>
    <w:rsid w:val="3A7E25B0"/>
    <w:rsid w:val="3AB85F64"/>
    <w:rsid w:val="3AFDAA15"/>
    <w:rsid w:val="3B5817B8"/>
    <w:rsid w:val="3C8F00E9"/>
    <w:rsid w:val="3CD045EF"/>
    <w:rsid w:val="3CD148FB"/>
    <w:rsid w:val="3D9F3C4C"/>
    <w:rsid w:val="3EAFF369"/>
    <w:rsid w:val="3EFEC785"/>
    <w:rsid w:val="3FB4815B"/>
    <w:rsid w:val="3FFF87A0"/>
    <w:rsid w:val="41636052"/>
    <w:rsid w:val="41C163EC"/>
    <w:rsid w:val="42D975C5"/>
    <w:rsid w:val="45DB3E8A"/>
    <w:rsid w:val="46890388"/>
    <w:rsid w:val="47BF1C45"/>
    <w:rsid w:val="489973AA"/>
    <w:rsid w:val="49295994"/>
    <w:rsid w:val="493D1461"/>
    <w:rsid w:val="4A4473E5"/>
    <w:rsid w:val="4AEB3076"/>
    <w:rsid w:val="4C445E1B"/>
    <w:rsid w:val="4C572A08"/>
    <w:rsid w:val="4CEE4DC5"/>
    <w:rsid w:val="50E955CA"/>
    <w:rsid w:val="53481C31"/>
    <w:rsid w:val="53DF697E"/>
    <w:rsid w:val="53ED65D0"/>
    <w:rsid w:val="54A540EC"/>
    <w:rsid w:val="55EC1E85"/>
    <w:rsid w:val="57E35015"/>
    <w:rsid w:val="58472064"/>
    <w:rsid w:val="58884A0E"/>
    <w:rsid w:val="59DF81BE"/>
    <w:rsid w:val="5A051DDA"/>
    <w:rsid w:val="5AFA6752"/>
    <w:rsid w:val="5B5189F4"/>
    <w:rsid w:val="5B770AB5"/>
    <w:rsid w:val="5C2458BC"/>
    <w:rsid w:val="5D13395A"/>
    <w:rsid w:val="5D7F23CD"/>
    <w:rsid w:val="5DB6511B"/>
    <w:rsid w:val="5E785D0C"/>
    <w:rsid w:val="5F1A7A93"/>
    <w:rsid w:val="5F7B8F77"/>
    <w:rsid w:val="5FFB34AB"/>
    <w:rsid w:val="5FFB8D46"/>
    <w:rsid w:val="5FFBA00A"/>
    <w:rsid w:val="5FFF5C4E"/>
    <w:rsid w:val="600C0321"/>
    <w:rsid w:val="62115573"/>
    <w:rsid w:val="634F6EC2"/>
    <w:rsid w:val="653B6D24"/>
    <w:rsid w:val="653C47A6"/>
    <w:rsid w:val="655D061A"/>
    <w:rsid w:val="658D0EC6"/>
    <w:rsid w:val="65C8438A"/>
    <w:rsid w:val="673FC3BF"/>
    <w:rsid w:val="6783053E"/>
    <w:rsid w:val="69BCBCD5"/>
    <w:rsid w:val="6A3B6B8B"/>
    <w:rsid w:val="6AC83AF3"/>
    <w:rsid w:val="6AD53752"/>
    <w:rsid w:val="6B7248D5"/>
    <w:rsid w:val="6CA3330D"/>
    <w:rsid w:val="6CC6267F"/>
    <w:rsid w:val="6E2860C8"/>
    <w:rsid w:val="6E7D3CA6"/>
    <w:rsid w:val="6EB58FB9"/>
    <w:rsid w:val="6EBF7865"/>
    <w:rsid w:val="6EE66EE3"/>
    <w:rsid w:val="6FFF4B35"/>
    <w:rsid w:val="706F5BB2"/>
    <w:rsid w:val="71CF4892"/>
    <w:rsid w:val="71DD61F2"/>
    <w:rsid w:val="7387538D"/>
    <w:rsid w:val="747BDA21"/>
    <w:rsid w:val="752C594B"/>
    <w:rsid w:val="759F4605"/>
    <w:rsid w:val="760011A7"/>
    <w:rsid w:val="77142E86"/>
    <w:rsid w:val="77770878"/>
    <w:rsid w:val="77C23986"/>
    <w:rsid w:val="77ECCBDE"/>
    <w:rsid w:val="79FFC352"/>
    <w:rsid w:val="7A5073C6"/>
    <w:rsid w:val="7BFF483C"/>
    <w:rsid w:val="7C5B3A94"/>
    <w:rsid w:val="7CBF4D51"/>
    <w:rsid w:val="7D1FA804"/>
    <w:rsid w:val="7D6BD2D7"/>
    <w:rsid w:val="7D7FFF71"/>
    <w:rsid w:val="7DB85FFB"/>
    <w:rsid w:val="7DF419B8"/>
    <w:rsid w:val="7ECFECC2"/>
    <w:rsid w:val="7F672CA9"/>
    <w:rsid w:val="7F7BB39D"/>
    <w:rsid w:val="7FAD37B5"/>
    <w:rsid w:val="7FC8BB25"/>
    <w:rsid w:val="7FFFB480"/>
    <w:rsid w:val="9ECE406A"/>
    <w:rsid w:val="A7F6E7EA"/>
    <w:rsid w:val="B3FB5B88"/>
    <w:rsid w:val="B6CFB2E7"/>
    <w:rsid w:val="BCFD2782"/>
    <w:rsid w:val="BE59F70D"/>
    <w:rsid w:val="BE8D18A3"/>
    <w:rsid w:val="BEEF2D7C"/>
    <w:rsid w:val="BF1B57EB"/>
    <w:rsid w:val="BF7AE9CA"/>
    <w:rsid w:val="BF7B720F"/>
    <w:rsid w:val="BFBA067F"/>
    <w:rsid w:val="BFFF29FA"/>
    <w:rsid w:val="D9646518"/>
    <w:rsid w:val="DA37537C"/>
    <w:rsid w:val="DBFAA44B"/>
    <w:rsid w:val="DBFF2913"/>
    <w:rsid w:val="DF5FB6E9"/>
    <w:rsid w:val="DFF7B81D"/>
    <w:rsid w:val="DFFD67DA"/>
    <w:rsid w:val="DFFF96C9"/>
    <w:rsid w:val="E7B7A8E1"/>
    <w:rsid w:val="E8EFCE62"/>
    <w:rsid w:val="EA7BDCDF"/>
    <w:rsid w:val="EACF2474"/>
    <w:rsid w:val="EB2B97BD"/>
    <w:rsid w:val="EE770D05"/>
    <w:rsid w:val="EF36FB34"/>
    <w:rsid w:val="EF9F7855"/>
    <w:rsid w:val="EFB71575"/>
    <w:rsid w:val="EFD0BA3C"/>
    <w:rsid w:val="F3DF1678"/>
    <w:rsid w:val="F3FDC9FC"/>
    <w:rsid w:val="F6F7C34C"/>
    <w:rsid w:val="F77FB56D"/>
    <w:rsid w:val="F9FFCCD7"/>
    <w:rsid w:val="FA75CA94"/>
    <w:rsid w:val="FABF826D"/>
    <w:rsid w:val="FBDFBA34"/>
    <w:rsid w:val="FCDBD923"/>
    <w:rsid w:val="FDDCABD2"/>
    <w:rsid w:val="FEF70AA7"/>
    <w:rsid w:val="FEFF47E6"/>
    <w:rsid w:val="FF7AE67C"/>
    <w:rsid w:val="FFAD6C09"/>
    <w:rsid w:val="FFAFBD2D"/>
    <w:rsid w:val="FFDF5801"/>
    <w:rsid w:val="FFF7ABA3"/>
    <w:rsid w:val="FFFF6B57"/>
    <w:rsid w:val="FFFF6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760"/>
      </w:tabs>
    </w:pPr>
    <w:rPr>
      <w:rFonts w:ascii="宋体" w:hAnsi="宋体"/>
      <w:sz w:val="28"/>
      <w:szCs w:val="20"/>
    </w:rPr>
  </w:style>
  <w:style w:type="paragraph" w:styleId="3">
    <w:name w:val="Normal Indent"/>
    <w:basedOn w:val="1"/>
    <w:next w:val="2"/>
    <w:qFormat/>
    <w:uiPriority w:val="0"/>
    <w:pPr>
      <w:ind w:firstLine="420" w:firstLineChars="200"/>
    </w:pPr>
    <w:rPr>
      <w:szCs w:val="24"/>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1635</Words>
  <Characters>1745</Characters>
  <Lines>0</Lines>
  <Paragraphs>0</Paragraphs>
  <TotalTime>2</TotalTime>
  <ScaleCrop>false</ScaleCrop>
  <LinksUpToDate>false</LinksUpToDate>
  <CharactersWithSpaces>1760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2023-05-18T19:05:00Z</dcterms:created>
  <dc:creator>admin</dc:creator>
  <cp:lastModifiedBy>huawei</cp:lastModifiedBy>
  <cp:lastPrinted>2026-07-03T18:31:00Z</cp:lastPrinted>
  <dcterms:modified xsi:type="dcterms:W3CDTF">2026-07-16T09:40:35Z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ACBC63DE6D0D44FBAB7FD300A0901070</vt:lpwstr>
  </property>
</Properties>
</file>