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9F79B">
      <w:pPr>
        <w:pStyle w:val="12"/>
        <w:widowControl/>
        <w:spacing w:beforeAutospacing="0" w:afterAutospacing="0" w:line="560" w:lineRule="exact"/>
        <w:jc w:val="center"/>
        <w:rPr>
          <w:rFonts w:hint="eastAsia" w:ascii="黑体" w:hAnsi="黑体" w:eastAsia="黑体" w:cs="黑体"/>
          <w:b/>
          <w:bCs/>
          <w:color w:val="000000"/>
          <w:sz w:val="44"/>
          <w:szCs w:val="44"/>
        </w:rPr>
      </w:pPr>
      <w:r>
        <w:rPr>
          <w:rFonts w:hint="eastAsia" w:ascii="黑体" w:hAnsi="黑体" w:eastAsia="黑体" w:cs="黑体"/>
          <w:b/>
          <w:bCs/>
          <w:color w:val="000000"/>
          <w:sz w:val="44"/>
          <w:szCs w:val="44"/>
        </w:rPr>
        <w:t>《南山管理局2026年建设项目全流程地籍调查及数据更新》项目采购需求文件</w:t>
      </w:r>
    </w:p>
    <w:p w14:paraId="666ED9B3">
      <w:pPr>
        <w:spacing w:line="560" w:lineRule="exact"/>
        <w:jc w:val="center"/>
        <w:rPr>
          <w:rFonts w:hint="eastAsia" w:ascii="方正楷体_GBK" w:hAnsi="方正楷体_GBK" w:eastAsia="方正楷体_GBK" w:cs="方正楷体_GBK"/>
          <w:sz w:val="28"/>
          <w:szCs w:val="28"/>
        </w:rPr>
      </w:pPr>
      <w:r>
        <w:rPr>
          <w:rFonts w:hint="default" w:ascii="方正楷体_GBK" w:hAnsi="方正楷体_GBK" w:eastAsia="方正楷体_GBK" w:cs="方正楷体_GBK"/>
          <w:sz w:val="28"/>
          <w:szCs w:val="28"/>
          <w:lang w:val="en-US"/>
        </w:rPr>
        <w:t>（</w:t>
      </w:r>
      <w:r>
        <w:rPr>
          <w:rFonts w:hint="eastAsia" w:ascii="方正楷体_GBK" w:hAnsi="方正楷体_GBK" w:eastAsia="方正楷体_GBK" w:cs="方正楷体_GBK"/>
          <w:sz w:val="28"/>
          <w:szCs w:val="28"/>
        </w:rPr>
        <w:t>自行采购</w:t>
      </w:r>
      <w:r>
        <w:rPr>
          <w:rFonts w:hint="default" w:ascii="方正楷体_GBK" w:hAnsi="方正楷体_GBK" w:eastAsia="方正楷体_GBK" w:cs="方正楷体_GBK"/>
          <w:sz w:val="28"/>
          <w:szCs w:val="28"/>
          <w:lang w:val="en-US"/>
        </w:rPr>
        <w:t>）</w:t>
      </w:r>
    </w:p>
    <w:p w14:paraId="5EB68637">
      <w:pPr>
        <w:pStyle w:val="12"/>
        <w:widowControl/>
        <w:spacing w:beforeAutospacing="0" w:afterAutospacing="0" w:line="560" w:lineRule="exact"/>
        <w:jc w:val="center"/>
        <w:rPr>
          <w:rFonts w:hint="eastAsia" w:ascii="黑体" w:hAnsi="黑体" w:eastAsia="黑体" w:cs="黑体"/>
          <w:b/>
          <w:bCs/>
          <w:color w:val="000000"/>
          <w:sz w:val="44"/>
          <w:szCs w:val="44"/>
        </w:rPr>
      </w:pPr>
    </w:p>
    <w:p w14:paraId="2FFEC0E5">
      <w:pPr>
        <w:adjustRightInd w:val="0"/>
        <w:spacing w:line="480" w:lineRule="exact"/>
        <w:ind w:firstLine="643" w:firstLineChars="200"/>
        <w:outlineLvl w:val="0"/>
        <w:rPr>
          <w:rFonts w:hint="eastAsia" w:ascii="黑体" w:hAnsi="黑体" w:eastAsia="黑体" w:cs="Times New Roman"/>
          <w:b/>
          <w:color w:val="000000"/>
          <w:sz w:val="32"/>
          <w:szCs w:val="32"/>
        </w:rPr>
      </w:pPr>
      <w:r>
        <w:rPr>
          <w:rFonts w:hint="eastAsia" w:ascii="黑体" w:hAnsi="黑体" w:eastAsia="黑体" w:cs="Times New Roman"/>
          <w:b/>
          <w:color w:val="000000"/>
          <w:sz w:val="32"/>
          <w:szCs w:val="32"/>
        </w:rPr>
        <w:t>一、采购项目概况</w:t>
      </w:r>
    </w:p>
    <w:p w14:paraId="1FDEB034">
      <w:pPr>
        <w:pStyle w:val="27"/>
        <w:spacing w:before="62" w:afterLines="0"/>
        <w:rPr>
          <w:rFonts w:hint="eastAsia" w:cs="Times New Roman"/>
        </w:rPr>
      </w:pPr>
      <w:r>
        <w:rPr>
          <w:rFonts w:hint="eastAsia"/>
        </w:rPr>
        <w:t>（</w:t>
      </w:r>
      <w:r>
        <w:rPr>
          <w:rFonts w:hint="eastAsia" w:cs="Times New Roman"/>
        </w:rPr>
        <w:t>一）项目名称</w:t>
      </w:r>
    </w:p>
    <w:p w14:paraId="6F3F3C07">
      <w:pPr>
        <w:pStyle w:val="27"/>
        <w:spacing w:before="62" w:afterLines="0"/>
        <w:rPr>
          <w:rFonts w:hint="eastAsia" w:cs="Times New Roman"/>
        </w:rPr>
      </w:pPr>
      <w:r>
        <w:rPr>
          <w:rFonts w:hint="eastAsia" w:cs="Times New Roman"/>
        </w:rPr>
        <w:t>南山管理局2026年建设项目全流程地籍调查及数据更新</w:t>
      </w:r>
    </w:p>
    <w:p w14:paraId="022067D5">
      <w:pPr>
        <w:pStyle w:val="27"/>
        <w:spacing w:before="62" w:afterLines="0"/>
        <w:rPr>
          <w:rFonts w:hint="eastAsia" w:cs="Times New Roman"/>
        </w:rPr>
      </w:pPr>
      <w:r>
        <w:rPr>
          <w:rFonts w:hint="eastAsia" w:cs="Times New Roman"/>
        </w:rPr>
        <w:t>（二）项目背景</w:t>
      </w:r>
    </w:p>
    <w:p w14:paraId="7D300BC5">
      <w:pPr>
        <w:pStyle w:val="27"/>
        <w:spacing w:before="62" w:afterLines="0"/>
        <w:rPr>
          <w:rFonts w:hint="eastAsia"/>
        </w:rPr>
      </w:pPr>
      <w:r>
        <w:rPr>
          <w:rFonts w:hint="eastAsia"/>
        </w:rPr>
        <w:t>2020年5月，自然资源部联合国家税务总局、中国银保监会出台《关于协同推进“互联网＋不动产登记”方便企业和群众办事的意见》（自然资发〔2020〕83号），首次提出“建设项目用地预审与规划选址、农转用审批、建设用地规划许可、土地供应、建设工程规划许可、确权登记等土地、规划管理各环节要规范开展地籍调查”，并要求深化应用不动产单元代码，健全地籍调查工作机制，确保调查作业协同衔接，地籍成果共享共用。</w:t>
      </w:r>
    </w:p>
    <w:p w14:paraId="29D350AF">
      <w:pPr>
        <w:pStyle w:val="27"/>
        <w:spacing w:before="62" w:afterLines="0"/>
        <w:rPr>
          <w:rFonts w:hint="eastAsia"/>
        </w:rPr>
      </w:pPr>
      <w:r>
        <w:rPr>
          <w:rFonts w:hint="eastAsia"/>
        </w:rPr>
        <w:t>自然资源部于2023年10月印发《关于进一步做好地籍调查工作的通知》（自然资发〔2023〕195号），提出以权利归属为核心的新时代地籍</w:t>
      </w:r>
      <w:r>
        <w:rPr>
          <w:rFonts w:hint="default"/>
          <w:lang w:val="en-US"/>
        </w:rPr>
        <w:t>工作，</w:t>
      </w:r>
      <w:r>
        <w:rPr>
          <w:rFonts w:hint="eastAsia"/>
        </w:rPr>
        <w:t>为审批、供应等自然资源相关管理环节提供基础支撑，构成“两统一”产权底板，要求进一步规范地籍调查、加强地籍管理，不断提高地籍工作质量和服务水平。同年12月，自然资源部联合国务院国资委、国家税务总局、国家金融监督管理总局印发《关于进一步提升不动产登记便利度促进营商环境优化的通知》（自然资发〔2024〕9号）</w:t>
      </w:r>
      <w:r>
        <w:rPr>
          <w:rFonts w:hint="default"/>
          <w:lang w:val="en-US"/>
        </w:rPr>
        <w:t>，要求</w:t>
      </w:r>
      <w:r>
        <w:rPr>
          <w:rFonts w:hint="eastAsia"/>
        </w:rPr>
        <w:t>创新项目建设全生命周期登记服务，主动向前延伸不动产登记服务，提前对接开展地籍调查，打通上游相关业务环节，逐步实现土地供应、规划许可、不动产登记等信息共享、并行办理，实现“交地即交证”“交房即交证”。</w:t>
      </w:r>
    </w:p>
    <w:p w14:paraId="71E087C3">
      <w:pPr>
        <w:pStyle w:val="27"/>
        <w:spacing w:before="62" w:afterLines="0"/>
        <w:rPr>
          <w:rFonts w:hint="eastAsia"/>
        </w:rPr>
      </w:pPr>
      <w:r>
        <w:rPr>
          <w:rFonts w:hint="eastAsia"/>
        </w:rPr>
        <w:t>2024年，自然资源部相继出台重要文件，进一步强化地籍管理和不动产登记工作。《自然资源部关于加快编制地籍图的通知》（自然资办函〔2024〕1481号）要求建立健全地籍数据库，分类型、分层次、分步骤推动构建全域覆盖、要素齐全、现势有效的地籍“一张图”，9月，自然资源部印发《关于以“多规合一”为基础推进规划用地“多审合一、多证合一”改革的通知》（自然资函〔2024〕709号），明确提出在土地供应前编制不动产单元代码，并纳入市、县用途管制数据库，实现规划审批、土地供应、不动产登记全流程信息共享、一码关联和联合监管。</w:t>
      </w:r>
    </w:p>
    <w:p w14:paraId="597FB6C2">
      <w:pPr>
        <w:pStyle w:val="27"/>
        <w:spacing w:before="62" w:afterLines="0"/>
        <w:rPr>
          <w:rFonts w:hint="eastAsia"/>
        </w:rPr>
      </w:pPr>
      <w:r>
        <w:rPr>
          <w:rFonts w:hint="eastAsia"/>
        </w:rPr>
        <w:t xml:space="preserve">为全面落实自然资源部关于深化地籍调查管理、加强不动产单元代码应用、推进数据共享与业务协同的工作部署，广东省自然资源厅于2024年6月出台《关于进一步做好地籍调查工作的实施方案》（粤自然资发〔2024〕8号），要求梳理自然资源全生命周期管理工作，健全地籍调查工作机制，规范地籍调查行为，实现地籍调查和业务管理协同推进，并将我市列为省级地籍调查示范点，为改革探索提供实践平台。 </w:t>
      </w:r>
    </w:p>
    <w:p w14:paraId="76065CAC">
      <w:pPr>
        <w:pStyle w:val="27"/>
        <w:spacing w:before="62" w:afterLines="0"/>
        <w:rPr>
          <w:rFonts w:hint="eastAsia"/>
          <w:lang w:eastAsia="zh-CN"/>
        </w:rPr>
      </w:pPr>
      <w:r>
        <w:rPr>
          <w:rFonts w:hint="eastAsia"/>
        </w:rPr>
        <w:t>为贯彻落实自然资源部《关于进一步做好地籍调查工作的通知》（自然资发〔2023〕195号）和广东省自然资源厅《关于进一步做好地籍调查工作的实施方案》（粤自然资发〔2024〕8号）要求，我市作为省级地籍调查示范点，在推进地籍调查工作中发现，我市虽已在建设项目全周期建立了涵盖土地勘测定界、地界放点测量、宗地附图制作、不动产权籍调查、开工验线测量等工作的业务体系，有效支撑了农转用审批、土地供应和不动产登记等业务</w:t>
      </w:r>
      <w:r>
        <w:rPr>
          <w:rFonts w:hint="eastAsia"/>
          <w:lang w:eastAsia="zh-CN"/>
        </w:rPr>
        <w:t>，但仍存在以下突出问题：一是工作系统性不足，各阶段地籍调查工作仍采取分散、零星的方式进行，未能严格遵循“先权属调查后不动产测绘”的工作规范；二是数据管理碎片化，各环节调查成果分散存储、未能及时入库更新；三是共享应用不充分，制约了调查成果的共享共用和业务协同效率；四是全链条追溯困难，难以实现土地管理全过程的精准监管。</w:t>
      </w:r>
    </w:p>
    <w:p w14:paraId="3B292340">
      <w:pPr>
        <w:pStyle w:val="27"/>
        <w:spacing w:before="62" w:afterLines="0"/>
        <w:rPr>
          <w:rFonts w:hint="eastAsia" w:eastAsia="仿宋_GB2312"/>
          <w:lang w:eastAsia="zh-CN"/>
        </w:rPr>
      </w:pPr>
      <w:r>
        <w:rPr>
          <w:rFonts w:hint="eastAsia"/>
          <w:lang w:eastAsia="zh-CN"/>
        </w:rPr>
        <w:t>针对这些问题，我市在土地管理领域出台的《关于进一步加强土地管理全链条统筹建立高质量土地管理体系的工作方案》（深规划资源发〔2025〕68号）中，从土地全生命周期管理的角度对地籍调查工作提出了明确要求，明确“通过地籍调查划分设定不动产单元和编制不动产单元代码，建立全链条‘一码串联’追溯机制，实现用地全程可溯，提高科学决策</w:t>
      </w:r>
      <w:r>
        <w:rPr>
          <w:rFonts w:hint="default"/>
          <w:lang w:val="en-US" w:eastAsia="zh-CN"/>
        </w:rPr>
        <w:t>效率</w:t>
      </w:r>
      <w:r>
        <w:rPr>
          <w:rFonts w:hint="eastAsia"/>
          <w:lang w:eastAsia="zh-CN"/>
        </w:rPr>
        <w:t>”，同时研究制定了《关于进一步做好地籍调查工作的通知》（报审稿），要求构建覆盖建设项目的规划选址、用地报批、土地供应、规划许可、竣工验收五个阶段的全链条地籍调查体系，制定统一技术标准、开展全流程地籍调查，建立动态更新</w:t>
      </w:r>
      <w:r>
        <w:rPr>
          <w:rFonts w:hint="default"/>
          <w:lang w:val="en-US" w:eastAsia="zh-CN"/>
        </w:rPr>
        <w:t>的地籍</w:t>
      </w:r>
      <w:r>
        <w:rPr>
          <w:rFonts w:hint="eastAsia"/>
          <w:lang w:eastAsia="zh-CN"/>
        </w:rPr>
        <w:t>调查数据库，推行不动产单元一码串联，实现地籍调查流程规范化、成果标准化，为自然资源管理和不动产登记提供精准、高效的地籍数据支撑。</w:t>
      </w:r>
    </w:p>
    <w:p w14:paraId="6C2BF271">
      <w:pPr>
        <w:pStyle w:val="27"/>
        <w:spacing w:before="156" w:beforeLines="50" w:after="156" w:afterLines="50"/>
        <w:ind w:firstLine="560" w:firstLineChars="200"/>
        <w:outlineLvl w:val="1"/>
        <w:rPr>
          <w:rFonts w:hint="eastAsia"/>
        </w:rPr>
      </w:pPr>
      <w:r>
        <w:rPr>
          <w:rFonts w:hint="eastAsia"/>
        </w:rPr>
        <w:t>（三）项目工作内容</w:t>
      </w:r>
    </w:p>
    <w:p w14:paraId="39BD95F4">
      <w:pPr>
        <w:pStyle w:val="27"/>
        <w:spacing w:before="62" w:afterLines="0"/>
        <w:rPr>
          <w:rFonts w:hint="eastAsia"/>
          <w:lang w:val="en-US" w:eastAsia="zh-CN"/>
        </w:rPr>
      </w:pPr>
      <w:r>
        <w:rPr>
          <w:rFonts w:hint="eastAsia"/>
          <w:lang w:val="en-US" w:eastAsia="zh-CN"/>
        </w:rPr>
        <w:t>主要是贯彻落实部、省、市关于在建设项目全生命周期开展地籍调查的总体部署，结合南山区自然资源管理及确权登记的具体需求，系统开展建设项目审批各阶段的地籍调查工作，确保调查成果有效支撑建设项目审批及登记业务，同步推进相邻宗地地籍调查成果更新。工作内容主要包括：</w:t>
      </w:r>
    </w:p>
    <w:p w14:paraId="54985EC2">
      <w:pPr>
        <w:pStyle w:val="27"/>
        <w:spacing w:before="62" w:afterLines="0"/>
        <w:rPr>
          <w:rFonts w:hint="eastAsia"/>
          <w:lang w:val="en-US" w:eastAsia="zh-CN"/>
        </w:rPr>
      </w:pPr>
      <w:r>
        <w:rPr>
          <w:rFonts w:hint="eastAsia"/>
          <w:lang w:val="en-US" w:eastAsia="zh-CN"/>
        </w:rPr>
        <w:t>1.准备工作。包括资料数据收集、分析、整理，撰写技术设计等工作，形成技术方案。</w:t>
      </w:r>
    </w:p>
    <w:p w14:paraId="0C0EB712">
      <w:pPr>
        <w:pStyle w:val="27"/>
        <w:spacing w:before="62" w:afterLines="0"/>
        <w:rPr>
          <w:rFonts w:hint="eastAsia"/>
          <w:lang w:val="en-US" w:eastAsia="zh-CN"/>
        </w:rPr>
      </w:pPr>
      <w:r>
        <w:rPr>
          <w:rFonts w:hint="eastAsia"/>
          <w:lang w:val="en-US" w:eastAsia="zh-CN"/>
        </w:rPr>
        <w:t>2.建设项目地籍调查。开展规划选址、用地报批、土地供应、规划许可、竣工验收5个阶段的地籍调查。具体如下：</w:t>
      </w:r>
    </w:p>
    <w:p w14:paraId="7C1C3C30">
      <w:pPr>
        <w:pStyle w:val="27"/>
        <w:spacing w:before="62" w:afterLines="0"/>
        <w:rPr>
          <w:rFonts w:hint="eastAsia"/>
          <w:lang w:val="en-US" w:eastAsia="zh-CN"/>
        </w:rPr>
      </w:pPr>
      <w:r>
        <w:rPr>
          <w:rFonts w:hint="eastAsia"/>
          <w:lang w:val="en-US" w:eastAsia="zh-CN"/>
        </w:rPr>
        <w:t>（1）规划选址地籍调查。在初步划定选址范围的基础上，结合规划选址需求，开展地籍调查，包括实地踏勘、权属核查、现状核实、编制地籍调查表和地籍调查报告等工作。</w:t>
      </w:r>
    </w:p>
    <w:p w14:paraId="0A1748C7">
      <w:pPr>
        <w:pStyle w:val="27"/>
        <w:spacing w:before="62" w:afterLines="0"/>
        <w:rPr>
          <w:rFonts w:hint="eastAsia"/>
          <w:lang w:val="en-US" w:eastAsia="zh-CN"/>
        </w:rPr>
      </w:pPr>
      <w:r>
        <w:rPr>
          <w:rFonts w:hint="eastAsia"/>
          <w:lang w:val="en-US" w:eastAsia="zh-CN"/>
        </w:rPr>
        <w:t>（2）用地报批阶段地籍调查。在拟用地红线基本稳定后，结合用地报批及农转用审批需求，将拟用地范围放样到实地，开展地籍调查，包括权属及现状复核、土地勘测定界、预设土地不动产单元并预编码、更新补充地籍调查表和地籍调查报告等。</w:t>
      </w:r>
    </w:p>
    <w:p w14:paraId="3BAE0866">
      <w:pPr>
        <w:pStyle w:val="27"/>
        <w:spacing w:before="62" w:afterLines="0"/>
        <w:rPr>
          <w:rFonts w:hint="eastAsia"/>
          <w:lang w:val="en-US" w:eastAsia="zh-CN"/>
        </w:rPr>
      </w:pPr>
      <w:r>
        <w:rPr>
          <w:rFonts w:hint="eastAsia"/>
          <w:lang w:val="en-US" w:eastAsia="zh-CN"/>
        </w:rPr>
        <w:t>（3）土地供应阶段地籍调查。在用地范围确定或取得用地批复后，结合土地供应及登记需求，开展地籍调查，形成宗地附图、正式设立土地不动产单元并编码、更新补充地籍调查表和地籍调查报告等。对供应、收回、历史遗留等用地的重要界址点、特征点、拐点等进行坐标放样并设置界标，现场确认后交桩。</w:t>
      </w:r>
    </w:p>
    <w:p w14:paraId="4CBC221A">
      <w:pPr>
        <w:pStyle w:val="27"/>
        <w:spacing w:before="62" w:afterLines="0"/>
        <w:rPr>
          <w:rFonts w:hint="eastAsia"/>
          <w:lang w:val="en-US" w:eastAsia="zh-CN"/>
        </w:rPr>
      </w:pPr>
      <w:r>
        <w:rPr>
          <w:rFonts w:hint="eastAsia"/>
          <w:lang w:val="en-US" w:eastAsia="zh-CN"/>
        </w:rPr>
        <w:t>（4）规划许可阶段地籍调查。在项目建设过程中，充分衔接利用“多测合一”（预售测绘）成果，开展地籍调查，包括预设房地一体不动产单元并预编码、更新补充地籍调查表和地籍调查报告等。</w:t>
      </w:r>
    </w:p>
    <w:p w14:paraId="7D8B4496">
      <w:pPr>
        <w:pStyle w:val="27"/>
        <w:spacing w:before="62" w:afterLines="0"/>
        <w:rPr>
          <w:rFonts w:hint="eastAsia"/>
          <w:lang w:val="en-US" w:eastAsia="zh-CN"/>
        </w:rPr>
      </w:pPr>
      <w:r>
        <w:rPr>
          <w:rFonts w:hint="eastAsia"/>
          <w:lang w:val="en-US" w:eastAsia="zh-CN"/>
        </w:rPr>
        <w:t>（5）竣工验收阶段地籍调查。在建设项目达到竣工条件后，充分衔接利用“多测合一”（竣工测绘）成果，开展地籍调查，包括正式设立房地一体不动产单元并编码、更新补充地籍调查表和地籍调查报告等。</w:t>
      </w:r>
    </w:p>
    <w:p w14:paraId="5629F40C">
      <w:pPr>
        <w:pStyle w:val="27"/>
        <w:spacing w:before="62" w:afterLines="0"/>
        <w:rPr>
          <w:rFonts w:hint="eastAsia"/>
          <w:lang w:val="en-US" w:eastAsia="zh-CN"/>
        </w:rPr>
      </w:pPr>
      <w:r>
        <w:rPr>
          <w:rFonts w:hint="eastAsia"/>
          <w:lang w:val="en-US" w:eastAsia="zh-CN"/>
        </w:rPr>
        <w:t>3.地籍调查成果更新。对涉及界址变化的邻宗开展地籍调查成果更新，主要包括：一是开展全流程地籍调查时，同步启动相关宗地地籍调查成果更新；二是部分收回土地的，应依据收地协议或决定同步启动相关宗地地籍调查成果更新。</w:t>
      </w:r>
    </w:p>
    <w:p w14:paraId="02F85849">
      <w:pPr>
        <w:pStyle w:val="27"/>
        <w:spacing w:before="62" w:afterLines="0"/>
        <w:rPr>
          <w:rFonts w:hint="eastAsia"/>
          <w:lang w:val="en-US" w:eastAsia="zh-CN"/>
        </w:rPr>
      </w:pPr>
      <w:r>
        <w:rPr>
          <w:rFonts w:hint="eastAsia"/>
          <w:lang w:val="en-US" w:eastAsia="zh-CN"/>
        </w:rPr>
        <w:t>4.地籍调查成果归档。各阶段地籍调查成果整理并通过审核后，以项目/宗地为单位完成归档。</w:t>
      </w:r>
    </w:p>
    <w:p w14:paraId="3B02C107">
      <w:pPr>
        <w:pStyle w:val="27"/>
        <w:spacing w:before="62" w:afterLines="0"/>
        <w:rPr>
          <w:rFonts w:hint="eastAsia" w:cs="Times New Roman"/>
          <w:lang w:val="en-US" w:eastAsia="zh-CN"/>
        </w:rPr>
      </w:pPr>
      <w:r>
        <w:rPr>
          <w:rFonts w:hint="eastAsia"/>
          <w:lang w:eastAsia="zh-CN"/>
        </w:rPr>
        <w:t>服务</w:t>
      </w:r>
      <w:r>
        <w:rPr>
          <w:rFonts w:hint="eastAsia" w:cs="Times New Roman"/>
          <w:lang w:val="en-US" w:eastAsia="zh-CN"/>
        </w:rPr>
        <w:t>时间：项目拟于近期启动，工期一年，具体时间以合同约定为准。遇有特殊情况，经甲乙双方协商后服务期限可适当延长，以合同约定为准。</w:t>
      </w:r>
      <w:bookmarkStart w:id="0" w:name="_GoBack"/>
      <w:bookmarkEnd w:id="0"/>
    </w:p>
    <w:p w14:paraId="1B57B7C2">
      <w:pPr>
        <w:pStyle w:val="27"/>
        <w:spacing w:before="62" w:afterLines="0"/>
        <w:rPr>
          <w:rFonts w:hint="eastAsia" w:cs="Times New Roman"/>
          <w:lang w:val="en-US" w:eastAsia="zh-CN"/>
        </w:rPr>
      </w:pPr>
      <w:r>
        <w:rPr>
          <w:rFonts w:hint="eastAsia" w:cs="Times New Roman"/>
          <w:lang w:val="en-US" w:eastAsia="zh-CN"/>
        </w:rPr>
        <w:t>（四）项目主要依据</w:t>
      </w:r>
    </w:p>
    <w:p w14:paraId="33EC4B4E">
      <w:pPr>
        <w:pStyle w:val="27"/>
        <w:spacing w:before="62" w:afterLines="0"/>
        <w:rPr>
          <w:rFonts w:hint="eastAsia" w:ascii="仿宋_GB2312" w:hAnsi="宋体" w:eastAsia="仿宋_GB2312" w:cs="仿宋_GB2312"/>
          <w:bCs/>
          <w:sz w:val="28"/>
          <w:szCs w:val="28"/>
          <w:lang w:val="en-US" w:eastAsia="zh-CN"/>
        </w:rPr>
      </w:pPr>
      <w:r>
        <w:rPr>
          <w:rFonts w:hint="eastAsia" w:cs="Times New Roman"/>
          <w:lang w:val="en-US" w:eastAsia="zh-CN"/>
        </w:rPr>
        <w:t>《自然资源部 国家税务总局 中国银保监会关于协同推进“互联网+不动产登记”方便企业和群众</w:t>
      </w:r>
      <w:r>
        <w:rPr>
          <w:rFonts w:hint="eastAsia" w:ascii="仿宋_GB2312" w:hAnsi="宋体" w:eastAsia="仿宋_GB2312" w:cs="仿宋_GB2312"/>
          <w:bCs/>
          <w:sz w:val="28"/>
          <w:szCs w:val="28"/>
        </w:rPr>
        <w:t>办事的意见》（自然资发〔2020〕83号）</w:t>
      </w:r>
      <w:r>
        <w:rPr>
          <w:rFonts w:hint="eastAsia" w:hAnsi="宋体" w:cs="仿宋_GB2312"/>
          <w:bCs/>
          <w:sz w:val="28"/>
          <w:szCs w:val="28"/>
          <w:lang w:eastAsia="zh-CN"/>
        </w:rPr>
        <w:t>、</w:t>
      </w:r>
      <w:r>
        <w:rPr>
          <w:rFonts w:hint="eastAsia" w:ascii="仿宋_GB2312" w:hAnsi="宋体" w:eastAsia="仿宋_GB2312" w:cs="仿宋_GB2312"/>
          <w:bCs/>
          <w:sz w:val="28"/>
          <w:szCs w:val="28"/>
        </w:rPr>
        <w:t>《自然资源部关于进一步做好地籍调查工作的通知》（自然资发〔2023〕195号）</w:t>
      </w:r>
      <w:r>
        <w:rPr>
          <w:rFonts w:hint="eastAsia" w:hAnsi="宋体" w:cs="仿宋_GB2312"/>
          <w:bCs/>
          <w:sz w:val="28"/>
          <w:szCs w:val="28"/>
          <w:lang w:eastAsia="zh-CN"/>
        </w:rPr>
        <w:t>等文件。</w:t>
      </w:r>
    </w:p>
    <w:p w14:paraId="581CA42A">
      <w:pPr>
        <w:widowControl/>
        <w:spacing w:line="480" w:lineRule="exact"/>
        <w:ind w:firstLine="560" w:firstLineChars="200"/>
        <w:rPr>
          <w:rFonts w:hint="eastAsia" w:ascii="仿宋_GB2312" w:hAnsi="宋体" w:eastAsia="仿宋_GB2312" w:cs="仿宋_GB2312"/>
          <w:bCs/>
          <w:sz w:val="28"/>
          <w:szCs w:val="28"/>
        </w:rPr>
      </w:pPr>
      <w:r>
        <w:rPr>
          <w:rFonts w:hint="eastAsia" w:ascii="仿宋_GB2312" w:hAnsi="宋体" w:eastAsia="仿宋_GB2312" w:cs="仿宋_GB2312"/>
          <w:bCs/>
          <w:sz w:val="28"/>
          <w:szCs w:val="28"/>
        </w:rPr>
        <w:t>（五）资金来源</w:t>
      </w:r>
    </w:p>
    <w:p w14:paraId="5E782E1A">
      <w:pPr>
        <w:widowControl/>
        <w:spacing w:line="480" w:lineRule="exact"/>
        <w:ind w:firstLine="560" w:firstLineChars="200"/>
        <w:rPr>
          <w:rFonts w:hint="eastAsia" w:ascii="仿宋_GB2312" w:hAnsi="宋体" w:eastAsia="仿宋_GB2312" w:cs="仿宋_GB2312"/>
          <w:bCs/>
          <w:sz w:val="28"/>
          <w:szCs w:val="28"/>
        </w:rPr>
      </w:pPr>
      <w:r>
        <w:rPr>
          <w:rFonts w:hint="eastAsia" w:ascii="仿宋_GB2312" w:hAnsi="宋体" w:eastAsia="仿宋_GB2312" w:cs="仿宋_GB2312"/>
          <w:bCs/>
          <w:sz w:val="28"/>
          <w:szCs w:val="28"/>
        </w:rPr>
        <w:t>从</w:t>
      </w:r>
      <w:r>
        <w:rPr>
          <w:rFonts w:hint="eastAsia" w:ascii="仿宋_GB2312" w:hAnsi="宋体" w:eastAsia="仿宋_GB2312" w:cs="仿宋_GB2312"/>
          <w:bCs/>
          <w:sz w:val="28"/>
          <w:szCs w:val="28"/>
          <w:lang w:eastAsia="zh-CN"/>
        </w:rPr>
        <w:t>市部门预算</w:t>
      </w:r>
      <w:r>
        <w:rPr>
          <w:rFonts w:hint="eastAsia" w:ascii="仿宋_GB2312" w:hAnsi="宋体" w:eastAsia="仿宋_GB2312" w:cs="仿宋_GB2312"/>
          <w:bCs/>
          <w:sz w:val="28"/>
          <w:szCs w:val="28"/>
        </w:rPr>
        <w:t>中列支。</w:t>
      </w:r>
    </w:p>
    <w:p w14:paraId="52BF9FF1">
      <w:pPr>
        <w:widowControl/>
        <w:spacing w:line="480" w:lineRule="exact"/>
        <w:ind w:firstLine="560" w:firstLineChars="200"/>
        <w:rPr>
          <w:rFonts w:hint="eastAsia" w:ascii="仿宋_GB2312" w:hAnsi="宋体" w:eastAsia="仿宋_GB2312" w:cs="仿宋_GB2312"/>
          <w:bCs/>
          <w:sz w:val="28"/>
          <w:szCs w:val="28"/>
        </w:rPr>
      </w:pPr>
      <w:r>
        <w:rPr>
          <w:rFonts w:hint="eastAsia" w:ascii="仿宋_GB2312" w:hAnsi="宋体" w:eastAsia="仿宋_GB2312" w:cs="仿宋_GB2312"/>
          <w:bCs/>
          <w:sz w:val="28"/>
          <w:szCs w:val="28"/>
        </w:rPr>
        <w:t>（六）项目预算</w:t>
      </w:r>
    </w:p>
    <w:p w14:paraId="4B50E016">
      <w:pPr>
        <w:widowControl/>
        <w:spacing w:line="480" w:lineRule="exact"/>
        <w:ind w:firstLine="560" w:firstLineChars="200"/>
        <w:rPr>
          <w:rFonts w:hint="eastAsia" w:ascii="仿宋_GB2312" w:hAnsi="宋体" w:eastAsia="仿宋_GB2312" w:cs="仿宋_GB2312"/>
          <w:bCs/>
          <w:sz w:val="28"/>
          <w:szCs w:val="28"/>
        </w:rPr>
      </w:pPr>
      <w:r>
        <w:rPr>
          <w:rFonts w:hint="eastAsia" w:ascii="仿宋_GB2312" w:hAnsi="宋体" w:eastAsia="仿宋_GB2312" w:cs="仿宋_GB2312"/>
          <w:bCs/>
          <w:sz w:val="28"/>
          <w:szCs w:val="28"/>
        </w:rPr>
        <w:t>人民币</w:t>
      </w:r>
      <w:r>
        <w:rPr>
          <w:rFonts w:hint="eastAsia" w:ascii="仿宋_GB2312" w:hAnsi="宋体" w:eastAsia="仿宋_GB2312" w:cs="仿宋_GB2312"/>
          <w:bCs/>
          <w:sz w:val="28"/>
          <w:szCs w:val="28"/>
          <w:lang w:eastAsia="zh-CN"/>
        </w:rPr>
        <w:t>玖</w:t>
      </w:r>
      <w:r>
        <w:rPr>
          <w:rFonts w:hint="eastAsia" w:ascii="仿宋_GB2312" w:hAnsi="宋体" w:eastAsia="仿宋_GB2312" w:cs="仿宋_GB2312"/>
          <w:bCs/>
          <w:sz w:val="28"/>
          <w:szCs w:val="28"/>
        </w:rPr>
        <w:t>拾万元整（小写：人民币</w:t>
      </w:r>
      <w:r>
        <w:rPr>
          <w:rFonts w:hint="eastAsia" w:ascii="仿宋_GB2312" w:hAnsi="宋体" w:eastAsia="仿宋_GB2312" w:cs="仿宋_GB2312"/>
          <w:bCs/>
          <w:sz w:val="28"/>
          <w:szCs w:val="28"/>
          <w:lang w:val="en-US" w:eastAsia="zh-CN"/>
        </w:rPr>
        <w:t>90</w:t>
      </w:r>
      <w:r>
        <w:rPr>
          <w:rFonts w:hint="eastAsia" w:ascii="仿宋_GB2312" w:hAnsi="宋体" w:eastAsia="仿宋_GB2312" w:cs="仿宋_GB2312"/>
          <w:bCs/>
          <w:sz w:val="28"/>
          <w:szCs w:val="28"/>
        </w:rPr>
        <w:t>万元）。</w:t>
      </w:r>
    </w:p>
    <w:p w14:paraId="09629B87">
      <w:pPr>
        <w:widowControl/>
        <w:spacing w:line="480" w:lineRule="exact"/>
        <w:ind w:firstLine="560" w:firstLineChars="200"/>
        <w:rPr>
          <w:rFonts w:hint="eastAsia" w:ascii="仿宋_GB2312" w:hAnsi="宋体" w:eastAsia="仿宋_GB2312" w:cs="仿宋_GB2312"/>
          <w:bCs/>
          <w:sz w:val="28"/>
          <w:szCs w:val="28"/>
        </w:rPr>
      </w:pPr>
      <w:r>
        <w:rPr>
          <w:rFonts w:hint="eastAsia" w:ascii="仿宋_GB2312" w:hAnsi="宋体" w:eastAsia="仿宋_GB2312" w:cs="仿宋_GB2312"/>
          <w:bCs/>
          <w:sz w:val="28"/>
          <w:szCs w:val="28"/>
        </w:rPr>
        <w:t>（七）采购单位</w:t>
      </w:r>
    </w:p>
    <w:p w14:paraId="00E9E3F8">
      <w:pPr>
        <w:widowControl/>
        <w:spacing w:line="480" w:lineRule="exact"/>
        <w:ind w:firstLine="560" w:firstLineChars="200"/>
        <w:rPr>
          <w:rFonts w:hint="eastAsia" w:ascii="仿宋_GB2312" w:hAnsi="宋体" w:eastAsia="仿宋_GB2312" w:cs="仿宋_GB2312"/>
          <w:bCs/>
          <w:sz w:val="28"/>
          <w:szCs w:val="28"/>
        </w:rPr>
      </w:pPr>
      <w:r>
        <w:rPr>
          <w:rFonts w:hint="eastAsia" w:ascii="仿宋_GB2312" w:hAnsi="宋体" w:eastAsia="仿宋_GB2312" w:cs="仿宋_GB2312"/>
          <w:bCs/>
          <w:sz w:val="28"/>
          <w:szCs w:val="28"/>
        </w:rPr>
        <w:t>深圳市规划和自然资源局南山管理局。</w:t>
      </w:r>
    </w:p>
    <w:p w14:paraId="23DDD85B">
      <w:pPr>
        <w:widowControl/>
        <w:spacing w:line="480" w:lineRule="exact"/>
        <w:ind w:firstLine="560" w:firstLineChars="200"/>
        <w:rPr>
          <w:rFonts w:hint="eastAsia" w:ascii="仿宋_GB2312" w:hAnsi="宋体" w:eastAsia="仿宋_GB2312" w:cs="仿宋_GB2312"/>
          <w:bCs/>
          <w:sz w:val="28"/>
          <w:szCs w:val="28"/>
        </w:rPr>
      </w:pPr>
      <w:r>
        <w:rPr>
          <w:rFonts w:hint="eastAsia" w:ascii="仿宋_GB2312" w:hAnsi="宋体" w:eastAsia="仿宋_GB2312" w:cs="仿宋_GB2312"/>
          <w:bCs/>
          <w:sz w:val="28"/>
          <w:szCs w:val="28"/>
        </w:rPr>
        <w:t>（八）经办人姓名及联系方式</w:t>
      </w:r>
    </w:p>
    <w:p w14:paraId="377BE32E">
      <w:pPr>
        <w:widowControl/>
        <w:spacing w:line="480" w:lineRule="exact"/>
        <w:ind w:firstLine="560" w:firstLineChars="200"/>
        <w:rPr>
          <w:rFonts w:hint="eastAsia" w:ascii="仿宋_GB2312" w:hAnsi="宋体" w:eastAsia="仿宋_GB2312" w:cs="仿宋_GB2312"/>
          <w:bCs/>
          <w:sz w:val="28"/>
          <w:szCs w:val="28"/>
        </w:rPr>
      </w:pPr>
      <w:r>
        <w:rPr>
          <w:rFonts w:hint="eastAsia" w:ascii="仿宋_GB2312" w:hAnsi="宋体" w:eastAsia="仿宋_GB2312" w:cs="仿宋_GB2312"/>
          <w:bCs/>
          <w:sz w:val="28"/>
          <w:szCs w:val="28"/>
          <w:lang w:eastAsia="zh-CN"/>
        </w:rPr>
        <w:t>周深柯</w:t>
      </w:r>
      <w:r>
        <w:rPr>
          <w:rFonts w:hint="eastAsia" w:ascii="仿宋_GB2312" w:hAnsi="宋体" w:eastAsia="仿宋_GB2312" w:cs="仿宋_GB2312"/>
          <w:bCs/>
          <w:sz w:val="28"/>
          <w:szCs w:val="28"/>
        </w:rPr>
        <w:t>：0755-2697</w:t>
      </w:r>
      <w:r>
        <w:rPr>
          <w:rFonts w:hint="eastAsia" w:ascii="仿宋_GB2312" w:hAnsi="宋体" w:eastAsia="仿宋_GB2312" w:cs="仿宋_GB2312"/>
          <w:bCs/>
          <w:sz w:val="28"/>
          <w:szCs w:val="28"/>
          <w:lang w:val="en-US" w:eastAsia="zh-CN"/>
        </w:rPr>
        <w:t>2086</w:t>
      </w:r>
      <w:r>
        <w:rPr>
          <w:rFonts w:hint="eastAsia" w:ascii="仿宋_GB2312" w:hAnsi="宋体" w:eastAsia="仿宋_GB2312" w:cs="仿宋_GB2312"/>
          <w:bCs/>
          <w:sz w:val="28"/>
          <w:szCs w:val="28"/>
        </w:rPr>
        <w:t>。</w:t>
      </w:r>
    </w:p>
    <w:p w14:paraId="7A939219">
      <w:pPr>
        <w:adjustRightInd w:val="0"/>
        <w:spacing w:line="480" w:lineRule="exact"/>
        <w:ind w:firstLine="643" w:firstLineChars="200"/>
        <w:outlineLvl w:val="0"/>
        <w:rPr>
          <w:rFonts w:hint="eastAsia" w:ascii="黑体" w:hAnsi="黑体" w:eastAsia="黑体" w:cs="Times New Roman"/>
          <w:b/>
          <w:color w:val="000000"/>
          <w:sz w:val="32"/>
          <w:szCs w:val="32"/>
        </w:rPr>
      </w:pPr>
      <w:r>
        <w:rPr>
          <w:rFonts w:hint="eastAsia" w:ascii="黑体" w:hAnsi="黑体" w:eastAsia="黑体" w:cs="Times New Roman"/>
          <w:b/>
          <w:color w:val="000000"/>
          <w:sz w:val="32"/>
          <w:szCs w:val="32"/>
        </w:rPr>
        <w:t>二、项目管理和服务要求</w:t>
      </w:r>
    </w:p>
    <w:p w14:paraId="7781349E">
      <w:pPr>
        <w:spacing w:line="48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（一）项目管理要求：</w:t>
      </w:r>
    </w:p>
    <w:p w14:paraId="1609EE65">
      <w:pPr>
        <w:spacing w:line="48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1.实施要求：</w:t>
      </w:r>
    </w:p>
    <w:p w14:paraId="418DC526">
      <w:pPr>
        <w:spacing w:line="48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为确保本项目管理规范，实施有力，投标人应成立项目组。投标人需详细列明参与本项目的工作人员（含项目负责人）名单，并相应附上相应的佐证材料，包括学历证明、职称证书、获奖证书等，上述人员在项目实施过程中不得随意更换，如确需更换，必须先取得采购人同意。</w:t>
      </w:r>
    </w:p>
    <w:p w14:paraId="51FA733D">
      <w:pPr>
        <w:spacing w:line="48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（2）中标人应及时对项目组人员进行必要的专业培训，确保项目组成员充分掌握完成本项目所需要的专业知识，确保项目质量。</w:t>
      </w:r>
    </w:p>
    <w:p w14:paraId="20785339">
      <w:pPr>
        <w:spacing w:line="48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（3）中标人应按合同要求按时、保质保量推进本项目工作；中标人应按采购人要求完成全流程地籍调查工作并提交相关成果。</w:t>
      </w:r>
    </w:p>
    <w:p w14:paraId="1A291D22">
      <w:pPr>
        <w:spacing w:line="48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2.成果形式：</w:t>
      </w:r>
    </w:p>
    <w:p w14:paraId="5C4467C9">
      <w:pPr>
        <w:spacing w:line="48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（1）技术方案，其他成果，PDF格式，电子、纸质，数量1；</w:t>
      </w:r>
    </w:p>
    <w:p w14:paraId="6130964C">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（2）图件成果（包</w:t>
      </w:r>
      <w:r>
        <w:rPr>
          <w:rFonts w:hint="eastAsia" w:ascii="仿宋_GB2312" w:hAnsi="仿宋" w:eastAsia="仿宋_GB2312" w:cs="仿宋"/>
          <w:sz w:val="28"/>
          <w:szCs w:val="28"/>
        </w:rPr>
        <w:t>括规划选址</w:t>
      </w:r>
      <w:r>
        <w:rPr>
          <w:rFonts w:hint="default" w:ascii="仿宋_GB2312" w:hAnsi="仿宋" w:eastAsia="仿宋_GB2312" w:cs="仿宋"/>
          <w:sz w:val="28"/>
          <w:szCs w:val="28"/>
          <w:lang w:val="en-US"/>
        </w:rPr>
        <w:t>图件</w:t>
      </w:r>
      <w:r>
        <w:rPr>
          <w:rFonts w:hint="eastAsia" w:ascii="仿宋_GB2312" w:hAnsi="仿宋" w:eastAsia="仿宋_GB2312" w:cs="仿宋"/>
          <w:sz w:val="28"/>
          <w:szCs w:val="28"/>
        </w:rPr>
        <w:t>、宗地附图等），其他成果，PDF格式，电子、纸质，数量1；</w:t>
      </w:r>
    </w:p>
    <w:p w14:paraId="2F1F2727">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（3）</w:t>
      </w:r>
      <w:r>
        <w:rPr>
          <w:rFonts w:hint="eastAsia" w:ascii="仿宋_GB2312" w:hAnsi="仿宋" w:eastAsia="仿宋_GB2312" w:cs="仿宋"/>
          <w:sz w:val="28"/>
          <w:szCs w:val="28"/>
        </w:rPr>
        <w:t>地籍调查表，其他成果，PDF格式，电子、纸质，数量1；</w:t>
      </w:r>
    </w:p>
    <w:p w14:paraId="7640AD13">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（4）</w:t>
      </w:r>
      <w:r>
        <w:rPr>
          <w:rFonts w:hint="eastAsia" w:ascii="仿宋_GB2312" w:hAnsi="仿宋" w:eastAsia="仿宋_GB2312" w:cs="仿宋"/>
          <w:sz w:val="28"/>
          <w:szCs w:val="28"/>
        </w:rPr>
        <w:t>报告成果（包括土地勘测定界报告、地界放点测量报告、地籍调查报告等），其他成果，PDF格式，电子、纸质，数量1；</w:t>
      </w:r>
    </w:p>
    <w:p w14:paraId="12B1C308">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地籍调查成果更新数据库，SHP格式，电子，数量1，数据计划应用于地籍信息系统。</w:t>
      </w:r>
    </w:p>
    <w:p w14:paraId="3208984D">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3</w:t>
      </w:r>
      <w:r>
        <w:rPr>
          <w:rFonts w:hint="eastAsia" w:ascii="仿宋_GB2312" w:hAnsi="仿宋" w:eastAsia="仿宋_GB2312" w:cs="仿宋"/>
          <w:sz w:val="28"/>
          <w:szCs w:val="28"/>
        </w:rPr>
        <w:t>.</w:t>
      </w:r>
      <w:r>
        <w:rPr>
          <w:rFonts w:hint="eastAsia" w:ascii="仿宋_GB2312" w:hAnsi="仿宋" w:eastAsia="仿宋_GB2312" w:cs="仿宋"/>
          <w:sz w:val="28"/>
          <w:szCs w:val="28"/>
          <w:lang w:eastAsia="zh-CN"/>
        </w:rPr>
        <w:t>项目</w:t>
      </w:r>
      <w:r>
        <w:rPr>
          <w:rFonts w:hint="eastAsia" w:ascii="仿宋_GB2312" w:hAnsi="仿宋" w:eastAsia="仿宋_GB2312" w:cs="仿宋"/>
          <w:sz w:val="28"/>
          <w:szCs w:val="28"/>
        </w:rPr>
        <w:t>质量要求或标准</w:t>
      </w:r>
    </w:p>
    <w:p w14:paraId="24447684">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本项目严格执行国家和深圳市关于地籍调查、房产测量、土地勘测定界、地籍数据库标准等相关的技术标准与规范，主要包括：</w:t>
      </w:r>
    </w:p>
    <w:p w14:paraId="5832E2F7">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1</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《地籍调查规程》（GB/T 42547-2023）</w:t>
      </w:r>
    </w:p>
    <w:p w14:paraId="562C909E">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2</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《城镇地籍数据库标准》（TD/T 1015-2024）</w:t>
      </w:r>
    </w:p>
    <w:p w14:paraId="601CB123">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3</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《深圳市地籍调查规程》（深规划资源发﹝2020﹞49号）</w:t>
      </w:r>
    </w:p>
    <w:p w14:paraId="0AACDBDB">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4</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《城市测量规范》（CJJ/T 8-2011）</w:t>
      </w:r>
    </w:p>
    <w:p w14:paraId="39C6E284">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《房产测量规范 第1单元：房产测量规定》（GB/T 17986.1-2000）</w:t>
      </w:r>
    </w:p>
    <w:p w14:paraId="36963C7C">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6</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《房屋建筑面积测绘技术规范》（SZJG 22-2015）</w:t>
      </w:r>
    </w:p>
    <w:p w14:paraId="7568503B">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7</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《土地勘测定界规程》（TD/T 1008-2007）</w:t>
      </w:r>
    </w:p>
    <w:p w14:paraId="0B606417">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8</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《实景三维数据倾斜摄影测量技术规程》（CH/T 3026-2023）</w:t>
      </w:r>
    </w:p>
    <w:p w14:paraId="262C798B">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9</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《基础地理信息数字成果 1 :500 1:1000 1 :2000 数字线划图》（CH/T 9008.1-2010）</w:t>
      </w:r>
    </w:p>
    <w:p w14:paraId="761ECEDD">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10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测绘成果质量检查与验收</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（GB/T 24356-2023）</w:t>
      </w:r>
    </w:p>
    <w:p w14:paraId="1B70320D">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4</w:t>
      </w:r>
      <w:r>
        <w:rPr>
          <w:rFonts w:hint="eastAsia" w:ascii="仿宋_GB2312" w:hAnsi="仿宋" w:eastAsia="仿宋_GB2312" w:cs="仿宋"/>
          <w:sz w:val="28"/>
          <w:szCs w:val="28"/>
        </w:rPr>
        <w:t>.验收办法</w:t>
      </w:r>
    </w:p>
    <w:p w14:paraId="09B56771">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由深圳市规划和自然资源局南山管理局专题会对中标单位完成的项目成果进行审查。</w:t>
      </w:r>
    </w:p>
    <w:p w14:paraId="60F7CA1D">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（二）项目服务要求</w:t>
      </w:r>
    </w:p>
    <w:p w14:paraId="198587A7">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本项目涉及建设项目全生命周期审批及登记各类业务，业务范围广、任务重、时间紧，故项目组成员应满足以下要求：</w:t>
      </w:r>
    </w:p>
    <w:p w14:paraId="74AECAD7">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一是具备一定的地籍调查、房产测量等工作经验，熟悉深圳市建设用地审批流程及要求、登记要求等情况；</w:t>
      </w:r>
    </w:p>
    <w:p w14:paraId="0FC5E82E">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二是项目组成员不少于</w:t>
      </w:r>
      <w:r>
        <w:rPr>
          <w:rFonts w:hint="eastAsia" w:ascii="仿宋_GB2312" w:hAnsi="仿宋" w:eastAsia="仿宋_GB2312" w:cs="仿宋"/>
          <w:sz w:val="28"/>
          <w:szCs w:val="28"/>
          <w:lang w:val="en-US" w:eastAsia="zh-CN"/>
        </w:rPr>
        <w:t>8</w:t>
      </w:r>
      <w:r>
        <w:rPr>
          <w:rFonts w:hint="eastAsia" w:ascii="仿宋_GB2312" w:hAnsi="仿宋" w:eastAsia="仿宋_GB2312" w:cs="仿宋"/>
          <w:sz w:val="28"/>
          <w:szCs w:val="28"/>
        </w:rPr>
        <w:t>人，且应相对固定，尤其是项目负责人。</w:t>
      </w:r>
    </w:p>
    <w:p w14:paraId="1B0DF6ED">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（三）售后服务要求：</w:t>
      </w:r>
    </w:p>
    <w:p w14:paraId="493A9FF1">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自最终成果提交采购人之后即进入售后服务期，售后服务期为1年，在售后服务期内，承接方需继续提供相关技术服务，安排专人负责，提供真实有效的联系方式，</w:t>
      </w:r>
      <w:r>
        <w:rPr>
          <w:rFonts w:hint="default" w:ascii="仿宋_GB2312" w:hAnsi="仿宋" w:eastAsia="仿宋_GB2312" w:cs="仿宋"/>
          <w:sz w:val="28"/>
          <w:szCs w:val="28"/>
          <w:lang w:val="en-US"/>
        </w:rPr>
        <w:t>保持通信畅通</w:t>
      </w:r>
      <w:r>
        <w:rPr>
          <w:rFonts w:hint="eastAsia" w:ascii="仿宋_GB2312" w:hAnsi="仿宋" w:eastAsia="仿宋_GB2312" w:cs="仿宋"/>
          <w:sz w:val="28"/>
          <w:szCs w:val="28"/>
        </w:rPr>
        <w:t>，并继续配合采购人开展与本项目相关的成果完善、专业咨询等工作，按采购人要求完成</w:t>
      </w:r>
      <w:r>
        <w:rPr>
          <w:rFonts w:hint="default" w:ascii="仿宋_GB2312" w:hAnsi="仿宋" w:eastAsia="仿宋_GB2312" w:cs="仿宋"/>
          <w:sz w:val="28"/>
          <w:szCs w:val="28"/>
          <w:lang w:val="en-US"/>
        </w:rPr>
        <w:t>其他</w:t>
      </w:r>
      <w:r>
        <w:rPr>
          <w:rFonts w:hint="eastAsia" w:ascii="仿宋_GB2312" w:hAnsi="仿宋" w:eastAsia="仿宋_GB2312" w:cs="仿宋"/>
          <w:sz w:val="28"/>
          <w:szCs w:val="28"/>
        </w:rPr>
        <w:t>售后服务。</w:t>
      </w:r>
    </w:p>
    <w:p w14:paraId="422BCDED">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（四）其他要求：</w:t>
      </w:r>
    </w:p>
    <w:p w14:paraId="2E2B4234">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1.投标人应确保投标文件中的信息真实、有效。</w:t>
      </w:r>
    </w:p>
    <w:p w14:paraId="5DEF23E0">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2.中标人不得将项目分包或转包给任何单位和个人，否则采购人有权立即终止合同，并要求中标人赔偿相应损失。</w:t>
      </w:r>
    </w:p>
    <w:p w14:paraId="26AF46BC">
      <w:pPr>
        <w:adjustRightInd w:val="0"/>
        <w:spacing w:line="480" w:lineRule="exact"/>
        <w:ind w:firstLine="560" w:firstLineChars="200"/>
        <w:rPr>
          <w:rFonts w:hint="eastAsia" w:ascii="仿宋_GB2312" w:hAnsi="仿宋" w:eastAsia="仿宋_GB2312" w:cs="仿宋"/>
          <w:sz w:val="32"/>
          <w:szCs w:val="32"/>
        </w:rPr>
      </w:pPr>
      <w:r>
        <w:rPr>
          <w:rFonts w:hint="eastAsia" w:ascii="仿宋_GB2312" w:hAnsi="仿宋" w:eastAsia="仿宋_GB2312" w:cs="仿宋"/>
          <w:sz w:val="28"/>
          <w:szCs w:val="28"/>
        </w:rPr>
        <w:t>3.由采购人提供的与本项目有关的所有资料均被视为保密的，不得泄露给任何人、企业或公司，资料的保密性不因合同终止而改变；中标人在项目中所获得或接触到的任何内部数据资料、形成的工作成果，未经采购人同意，不得向第三方透露；实施本项目的一切程序都应符合国家安全、保密的有关规定和标准。</w:t>
      </w:r>
    </w:p>
    <w:p w14:paraId="23A16DA4">
      <w:pPr>
        <w:adjustRightInd w:val="0"/>
        <w:spacing w:line="480" w:lineRule="exact"/>
        <w:ind w:firstLine="643" w:firstLineChars="200"/>
        <w:outlineLvl w:val="0"/>
        <w:rPr>
          <w:rFonts w:hint="eastAsia" w:ascii="黑体" w:hAnsi="黑体" w:eastAsia="黑体" w:cs="Times New Roman"/>
          <w:b/>
          <w:color w:val="000000"/>
          <w:sz w:val="32"/>
          <w:szCs w:val="32"/>
        </w:rPr>
      </w:pPr>
      <w:r>
        <w:rPr>
          <w:rFonts w:hint="eastAsia" w:ascii="黑体" w:hAnsi="黑体" w:eastAsia="黑体" w:cs="Times New Roman"/>
          <w:b/>
          <w:color w:val="000000"/>
          <w:sz w:val="32"/>
          <w:szCs w:val="32"/>
        </w:rPr>
        <w:t>三、供应商资格要求</w:t>
      </w:r>
    </w:p>
    <w:p w14:paraId="6585319B">
      <w:pPr>
        <w:adjustRightInd w:val="0"/>
        <w:spacing w:line="480" w:lineRule="exact"/>
        <w:ind w:firstLine="560" w:firstLineChars="200"/>
        <w:outlineLvl w:val="1"/>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（一）满足《中华人民共和国政府采购法》第二十二条的规定；</w:t>
      </w:r>
    </w:p>
    <w:p w14:paraId="36B2304F">
      <w:pPr>
        <w:adjustRightInd w:val="0"/>
        <w:spacing w:line="480" w:lineRule="exact"/>
        <w:ind w:firstLine="560" w:firstLineChars="200"/>
        <w:outlineLvl w:val="1"/>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（二）落实政府采购政策需满足的资格要求：本项目不属于专门面向中小企业采购的项目；</w:t>
      </w:r>
    </w:p>
    <w:p w14:paraId="0F60D889">
      <w:pPr>
        <w:adjustRightInd w:val="0"/>
        <w:spacing w:line="480" w:lineRule="exact"/>
        <w:ind w:firstLine="560" w:firstLineChars="200"/>
        <w:outlineLvl w:val="1"/>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（三）具有独立法人资格或具有独立承担民事责任的能力的</w:t>
      </w:r>
      <w:r>
        <w:rPr>
          <w:rFonts w:hint="default" w:ascii="仿宋_GB2312" w:hAnsi="仿宋" w:eastAsia="仿宋_GB2312" w:cs="仿宋"/>
          <w:sz w:val="28"/>
          <w:szCs w:val="28"/>
          <w:lang w:val="en-US" w:eastAsia="zh-CN"/>
        </w:rPr>
        <w:t>其他组织</w:t>
      </w:r>
      <w:r>
        <w:rPr>
          <w:rFonts w:hint="eastAsia" w:ascii="仿宋_GB2312" w:hAnsi="仿宋" w:eastAsia="仿宋_GB2312" w:cs="仿宋"/>
          <w:sz w:val="28"/>
          <w:szCs w:val="28"/>
          <w:lang w:eastAsia="zh-CN"/>
        </w:rPr>
        <w:t>。提供法人或其他组织的营业执照或事业单位法人证书或社会团体法人登记证书复印件，如投标人为自然人的提供自然人身份证明复印件；如国家另有规定的，则从其规定；</w:t>
      </w:r>
    </w:p>
    <w:p w14:paraId="7C263E00">
      <w:pPr>
        <w:adjustRightInd w:val="0"/>
        <w:spacing w:line="480" w:lineRule="exact"/>
        <w:ind w:firstLine="560" w:firstLineChars="200"/>
        <w:outlineLvl w:val="1"/>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（四）投标人须按要求签署《政府采购投标及履约承诺函》；</w:t>
      </w:r>
    </w:p>
    <w:p w14:paraId="32F34028">
      <w:pPr>
        <w:adjustRightInd w:val="0"/>
        <w:spacing w:line="480" w:lineRule="exact"/>
        <w:ind w:firstLine="560" w:firstLineChars="200"/>
        <w:outlineLvl w:val="1"/>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五）参与本项目投标前三年内，在经营活动中没有违法记录（由供应商在《政府采购投标及履约承诺函》中作出声明）（重大违法记录是指供应商因违法经营受到刑事处罚或者责令停产停业、吊销许可证或者执照、较大数额罚款等行政处罚）；</w:t>
      </w:r>
    </w:p>
    <w:p w14:paraId="43D73591">
      <w:pPr>
        <w:adjustRightInd w:val="0"/>
        <w:spacing w:line="480" w:lineRule="exact"/>
        <w:ind w:firstLine="560" w:firstLineChars="200"/>
        <w:outlineLvl w:val="1"/>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（六）参与本项目政府采购活动时不存在被有关部门禁止参与政府采购活动且在有效期内的情况（由供应商在《政府采购投标及履约承诺函》中作出声明）；</w:t>
      </w:r>
    </w:p>
    <w:p w14:paraId="328ADAEB">
      <w:pPr>
        <w:adjustRightInd w:val="0"/>
        <w:spacing w:line="480" w:lineRule="exact"/>
        <w:ind w:firstLine="560" w:firstLineChars="200"/>
        <w:outlineLvl w:val="1"/>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七）未被列入失信被执行人、税收违法案件当事人名单、政府采购严重违法失信行为记录名单（由供应商在《政府采购投标及履约承诺函》中作出声明）；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0CA7775">
      <w:pPr>
        <w:adjustRightInd w:val="0"/>
        <w:spacing w:line="480" w:lineRule="exact"/>
        <w:ind w:firstLine="560" w:firstLineChars="200"/>
        <w:outlineLvl w:val="1"/>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（八）本项目不接受联合体投标，不允许转包、分包；</w:t>
      </w:r>
    </w:p>
    <w:p w14:paraId="0B8CC2BF">
      <w:pPr>
        <w:adjustRightInd w:val="0"/>
        <w:spacing w:line="480" w:lineRule="exact"/>
        <w:ind w:firstLine="560" w:firstLineChars="200"/>
        <w:outlineLvl w:val="1"/>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（九）为采购项目提供整体设计、规范编制或者项目管理、监理、检测等服务的供应商，不得再参加该采购项目的其他采购活动（由供应商在《政府采购投标及履约承诺函》中作出声明）；</w:t>
      </w:r>
    </w:p>
    <w:p w14:paraId="6D2BD564">
      <w:pPr>
        <w:adjustRightInd w:val="0"/>
        <w:spacing w:line="480" w:lineRule="exact"/>
        <w:ind w:firstLine="560" w:firstLineChars="200"/>
        <w:outlineLvl w:val="1"/>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十）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及提供《供应商基本情况表》附件）；</w:t>
      </w:r>
    </w:p>
    <w:p w14:paraId="42C27057">
      <w:pPr>
        <w:adjustRightInd w:val="0"/>
        <w:spacing w:line="480" w:lineRule="exact"/>
        <w:ind w:firstLine="560" w:firstLineChars="200"/>
        <w:outlineLvl w:val="1"/>
        <w:rPr>
          <w:rFonts w:hint="eastAsia" w:ascii="仿宋" w:hAnsi="仿宋" w:eastAsia="仿宋" w:cs="Times New Roman"/>
          <w:color w:val="000000"/>
          <w:sz w:val="28"/>
          <w:szCs w:val="28"/>
        </w:rPr>
      </w:pPr>
      <w:r>
        <w:rPr>
          <w:rFonts w:hint="eastAsia" w:ascii="仿宋_GB2312" w:hAnsi="仿宋" w:eastAsia="仿宋_GB2312" w:cs="仿宋"/>
          <w:sz w:val="28"/>
          <w:szCs w:val="28"/>
          <w:lang w:eastAsia="zh-CN"/>
        </w:rPr>
        <w:t>（十一）投标人不存在《深圳市财政局政府采购供应商信用信息管理办法》（深财规〔2023〕3号）列明的严重违法失信行为。（由供应商在《政府采购投标及履约承诺函》中作出声明）</w:t>
      </w:r>
    </w:p>
    <w:p w14:paraId="22E268A5">
      <w:pPr>
        <w:adjustRightInd w:val="0"/>
        <w:spacing w:before="340" w:after="330" w:line="480" w:lineRule="exact"/>
        <w:ind w:firstLine="643" w:firstLineChars="200"/>
        <w:outlineLvl w:val="0"/>
        <w:rPr>
          <w:rFonts w:hint="eastAsia" w:ascii="黑体" w:hAnsi="黑体" w:eastAsia="黑体" w:cs="Times New Roman"/>
          <w:b/>
          <w:color w:val="000000"/>
          <w:sz w:val="32"/>
          <w:szCs w:val="32"/>
        </w:rPr>
      </w:pPr>
      <w:r>
        <w:rPr>
          <w:rFonts w:hint="eastAsia" w:ascii="黑体" w:hAnsi="黑体" w:eastAsia="黑体" w:cs="Times New Roman"/>
          <w:b/>
          <w:color w:val="000000"/>
          <w:sz w:val="32"/>
          <w:szCs w:val="32"/>
          <w:lang w:eastAsia="zh-CN"/>
        </w:rPr>
        <w:t>四、</w:t>
      </w:r>
      <w:r>
        <w:rPr>
          <w:rFonts w:hint="eastAsia" w:ascii="黑体" w:hAnsi="黑体" w:eastAsia="黑体" w:cs="Times New Roman"/>
          <w:b/>
          <w:color w:val="000000"/>
          <w:sz w:val="32"/>
          <w:szCs w:val="32"/>
        </w:rPr>
        <w:t>评标</w:t>
      </w:r>
      <w:r>
        <w:rPr>
          <w:rFonts w:hint="eastAsia" w:ascii="黑体" w:hAnsi="黑体" w:eastAsia="黑体" w:cs="Times New Roman"/>
          <w:b/>
          <w:color w:val="000000"/>
          <w:sz w:val="32"/>
          <w:szCs w:val="32"/>
          <w:lang w:eastAsia="zh-CN"/>
        </w:rPr>
        <w:t>定标</w:t>
      </w:r>
      <w:r>
        <w:rPr>
          <w:rFonts w:hint="eastAsia" w:ascii="黑体" w:hAnsi="黑体" w:eastAsia="黑体" w:cs="Times New Roman"/>
          <w:b/>
          <w:color w:val="000000"/>
          <w:sz w:val="32"/>
          <w:szCs w:val="32"/>
        </w:rPr>
        <w:t>方法</w:t>
      </w:r>
    </w:p>
    <w:p w14:paraId="2E087207">
      <w:pPr>
        <w:adjustRightInd w:val="0"/>
        <w:spacing w:line="480" w:lineRule="exact"/>
        <w:ind w:firstLine="560" w:firstLineChars="200"/>
        <w:jc w:val="left"/>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rPr>
        <w:t>（一）采购方式：单一来源采购，拟采购单位为深圳市规划和自然资源调查测绘中心。</w:t>
      </w:r>
      <w:r>
        <w:rPr>
          <w:rFonts w:hint="eastAsia" w:ascii="仿宋" w:hAnsi="仿宋" w:eastAsia="仿宋" w:cs="Times New Roman"/>
          <w:color w:val="000000"/>
          <w:sz w:val="28"/>
          <w:szCs w:val="28"/>
          <w:lang w:eastAsia="zh-CN"/>
        </w:rPr>
        <w:t>本项目将委托代理机构进行采购。</w:t>
      </w:r>
    </w:p>
    <w:p w14:paraId="79CB417A">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（二）采购方式说明：</w:t>
      </w:r>
    </w:p>
    <w:p w14:paraId="13175079">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1.</w:t>
      </w:r>
      <w:r>
        <w:rPr>
          <w:rFonts w:hint="eastAsia" w:ascii="仿宋" w:hAnsi="仿宋" w:eastAsia="仿宋" w:cs="Times New Roman"/>
          <w:color w:val="000000"/>
          <w:sz w:val="28"/>
          <w:szCs w:val="28"/>
        </w:rPr>
        <w:t>基于项目的延续性要求。近几年按单一来源采购委托深圳市规划和自然资源调查测绘中心开展零星测量、不动产权籍调查、日常地籍调查等相关地籍调查工作，选取深圳市规划和自然资源调查测绘中心继续作为项目委托单位能保持项目的延续性。</w:t>
      </w:r>
    </w:p>
    <w:p w14:paraId="7C3243D7">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2.</w:t>
      </w:r>
      <w:r>
        <w:rPr>
          <w:rFonts w:hint="eastAsia" w:ascii="仿宋" w:hAnsi="仿宋" w:eastAsia="仿宋" w:cs="Times New Roman"/>
          <w:color w:val="000000"/>
          <w:sz w:val="28"/>
          <w:szCs w:val="28"/>
        </w:rPr>
        <w:t>基于项目的安全性要求。深圳市规划和自然资源调查测绘中心长期以来承担深圳市规划和自然资源局大量涉密工作，有着严格的保密制度和优质安全的保密设备，能够保证数据的安全性。</w:t>
      </w:r>
    </w:p>
    <w:p w14:paraId="70346964">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3.</w:t>
      </w:r>
      <w:r>
        <w:rPr>
          <w:rFonts w:hint="eastAsia" w:ascii="仿宋" w:hAnsi="仿宋" w:eastAsia="仿宋" w:cs="Times New Roman"/>
          <w:color w:val="000000"/>
          <w:sz w:val="28"/>
          <w:szCs w:val="28"/>
        </w:rPr>
        <w:t>基于项目的专业性要求。深圳市规划和自然资源调查测绘中心是深圳市规划和自然资源局下属的事业单位，是我市唯一的专业调查测绘事业单位，承担我市宗地图制作、建设工程开工验线测绘</w:t>
      </w:r>
      <w:r>
        <w:rPr>
          <w:rFonts w:hint="default" w:ascii="仿宋" w:hAnsi="仿宋" w:eastAsia="仿宋" w:cs="Times New Roman"/>
          <w:color w:val="000000"/>
          <w:sz w:val="28"/>
          <w:szCs w:val="28"/>
          <w:lang w:val="en-US"/>
        </w:rPr>
        <w:t>，以及</w:t>
      </w:r>
      <w:r>
        <w:rPr>
          <w:rFonts w:hint="eastAsia" w:ascii="仿宋" w:hAnsi="仿宋" w:eastAsia="仿宋" w:cs="Times New Roman"/>
          <w:color w:val="000000"/>
          <w:sz w:val="28"/>
          <w:szCs w:val="28"/>
        </w:rPr>
        <w:t>应急测绘技术保障工作等方面的多项职能，具有权威性。该单位多年来为主管部门提供技术支撑，并承担过深圳市地籍总调查的监理工作，积累了丰富的技术沉淀、工作经验和人才储备，由其承担南山区建设项目全流程地籍调查及数据更新事务性和技术性的工作，可保持工作的专业性、连贯性、标准的一致性、成果数据的准确性以及汇交成果的及时性，确保成果质量。</w:t>
      </w:r>
    </w:p>
    <w:p w14:paraId="0AA386CF">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4.</w:t>
      </w:r>
      <w:r>
        <w:rPr>
          <w:rFonts w:hint="eastAsia" w:ascii="仿宋" w:hAnsi="仿宋" w:eastAsia="仿宋" w:cs="Times New Roman"/>
          <w:color w:val="000000"/>
          <w:sz w:val="28"/>
          <w:szCs w:val="28"/>
        </w:rPr>
        <w:t>基于法定工作职责要求。根据《中共深圳市委机构编制委员会关于市规划和自然资源局所属事业单位有关机构编制事项的通知》（深编</w:t>
      </w:r>
      <w:r>
        <w:rPr>
          <w:rFonts w:hint="default" w:ascii="仿宋" w:hAnsi="仿宋" w:eastAsia="仿宋" w:cs="Times New Roman"/>
          <w:color w:val="000000"/>
          <w:sz w:val="28"/>
          <w:szCs w:val="28"/>
          <w:lang w:val="en-US"/>
        </w:rPr>
        <w:t>〔2021〕85号</w:t>
      </w:r>
      <w:r>
        <w:rPr>
          <w:rFonts w:hint="eastAsia" w:ascii="仿宋" w:hAnsi="仿宋" w:eastAsia="仿宋" w:cs="Times New Roman"/>
          <w:color w:val="000000"/>
          <w:sz w:val="28"/>
          <w:szCs w:val="28"/>
        </w:rPr>
        <w:t>）主要职责第三条：承担全市地籍和权籍调查，宗地（海）图制作，建设工程开工验线测绘和工程建设项目测绘成果审核等不动产权籍事务技术支撑工作。根据《市规划和自然资源局关于印发</w:t>
      </w:r>
      <w:r>
        <w:rPr>
          <w:rFonts w:hint="default" w:ascii="仿宋" w:hAnsi="仿宋" w:eastAsia="仿宋" w:cs="Times New Roman"/>
          <w:color w:val="000000"/>
          <w:sz w:val="28"/>
          <w:szCs w:val="28"/>
          <w:lang w:val="en-US"/>
        </w:rPr>
        <w:t>〈</w:t>
      </w:r>
      <w:r>
        <w:rPr>
          <w:rFonts w:hint="eastAsia" w:ascii="仿宋" w:hAnsi="仿宋" w:eastAsia="仿宋" w:cs="Times New Roman"/>
          <w:color w:val="000000"/>
          <w:sz w:val="28"/>
          <w:szCs w:val="28"/>
        </w:rPr>
        <w:t>深圳市工程建设项目“多测合一”管理办法</w:t>
      </w:r>
      <w:r>
        <w:rPr>
          <w:rFonts w:hint="default" w:ascii="仿宋" w:hAnsi="仿宋" w:eastAsia="仿宋" w:cs="Times New Roman"/>
          <w:color w:val="000000"/>
          <w:sz w:val="28"/>
          <w:szCs w:val="28"/>
          <w:lang w:val="en-US"/>
        </w:rPr>
        <w:t>〉的通知》</w:t>
      </w:r>
      <w:r>
        <w:rPr>
          <w:rFonts w:hint="eastAsia" w:ascii="仿宋" w:hAnsi="仿宋" w:eastAsia="仿宋" w:cs="Times New Roman"/>
          <w:color w:val="000000"/>
          <w:sz w:val="28"/>
          <w:szCs w:val="28"/>
        </w:rPr>
        <w:t>（深规划资源规﹝2024﹞6号）第一章总则第四条：市规划和自然资源调查测绘中心承担立项用地规划阶段和工程规划许可阶段测绘事项，具体承担施工监督阶段和竣工验收阶段测绘成果审核的日常工作。</w:t>
      </w:r>
    </w:p>
    <w:p w14:paraId="0A6B1D56">
      <w:pPr>
        <w:adjustRightInd w:val="0"/>
        <w:spacing w:line="480" w:lineRule="exact"/>
        <w:ind w:firstLine="560" w:firstLineChars="200"/>
        <w:jc w:val="left"/>
        <w:rPr>
          <w:rFonts w:hint="eastAsia" w:ascii="黑体" w:hAnsi="黑体" w:eastAsia="黑体" w:cs="Times New Roman"/>
          <w:b/>
          <w:color w:val="000000"/>
          <w:sz w:val="32"/>
          <w:szCs w:val="32"/>
          <w:lang w:eastAsia="zh-CN"/>
        </w:rPr>
      </w:pPr>
      <w:r>
        <w:rPr>
          <w:rFonts w:hint="eastAsia" w:ascii="仿宋" w:hAnsi="仿宋" w:eastAsia="仿宋" w:cs="Times New Roman"/>
          <w:color w:val="000000"/>
          <w:sz w:val="28"/>
          <w:szCs w:val="28"/>
        </w:rPr>
        <w:t>综上，基于前期工作的延续性、安全性、专业性，以及深圳市规划和自然资源调查测绘中心职责要求，确保与原有政府采购项目的一致性或者服务配套的要求，根据《深圳经济特区政府采购条例》第三章第二十一条第（三）款规定：“为了保证与原有政府采购项目的一致性或者服务配套的要求，需要向原供应商添购”，可以适用单一来源采购方式，拟按单一来源采购方式确定供应商。</w:t>
      </w:r>
    </w:p>
    <w:p w14:paraId="647A3216">
      <w:pPr>
        <w:adjustRightInd w:val="0"/>
        <w:spacing w:line="480" w:lineRule="exact"/>
        <w:ind w:firstLine="643" w:firstLineChars="200"/>
        <w:outlineLvl w:val="0"/>
        <w:rPr>
          <w:rFonts w:hint="eastAsia" w:ascii="黑体" w:hAnsi="黑体" w:eastAsia="黑体" w:cs="Times New Roman"/>
          <w:b/>
          <w:color w:val="000000"/>
          <w:sz w:val="32"/>
          <w:szCs w:val="32"/>
        </w:rPr>
      </w:pPr>
      <w:r>
        <w:rPr>
          <w:rFonts w:hint="eastAsia" w:ascii="黑体" w:hAnsi="黑体" w:eastAsia="黑体" w:cs="Times New Roman"/>
          <w:b/>
          <w:color w:val="000000"/>
          <w:sz w:val="32"/>
          <w:szCs w:val="32"/>
          <w:lang w:eastAsia="zh-CN"/>
        </w:rPr>
        <w:t>五</w:t>
      </w:r>
      <w:r>
        <w:rPr>
          <w:rFonts w:hint="eastAsia" w:ascii="黑体" w:hAnsi="黑体" w:eastAsia="黑体" w:cs="Times New Roman"/>
          <w:b/>
          <w:color w:val="000000"/>
          <w:sz w:val="32"/>
          <w:szCs w:val="32"/>
        </w:rPr>
        <w:t>、商务需求</w:t>
      </w:r>
    </w:p>
    <w:p w14:paraId="1823AFF4">
      <w:pPr>
        <w:adjustRightInd w:val="0"/>
        <w:spacing w:line="48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（一）服务期：项目</w:t>
      </w:r>
      <w:r>
        <w:rPr>
          <w:rFonts w:hint="eastAsia" w:ascii="仿宋" w:hAnsi="仿宋" w:eastAsia="仿宋" w:cs="Times New Roman"/>
          <w:color w:val="000000"/>
          <w:sz w:val="28"/>
          <w:szCs w:val="28"/>
          <w:lang w:eastAsia="zh-CN"/>
        </w:rPr>
        <w:t>拟于近期</w:t>
      </w:r>
      <w:r>
        <w:rPr>
          <w:rFonts w:hint="eastAsia" w:ascii="仿宋" w:hAnsi="仿宋" w:eastAsia="仿宋" w:cs="Times New Roman"/>
          <w:color w:val="000000"/>
          <w:sz w:val="28"/>
          <w:szCs w:val="28"/>
        </w:rPr>
        <w:t>启动，工期一年，具体时间以合同约定为准。遇有特殊情况，经甲乙双方协商后服务期限可适当延长，以合同约定为准。</w:t>
      </w:r>
    </w:p>
    <w:p w14:paraId="501EFF23">
      <w:pPr>
        <w:adjustRightInd w:val="0"/>
        <w:spacing w:line="48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（二）服务地点：深圳市南山区。</w:t>
      </w:r>
    </w:p>
    <w:p w14:paraId="0FCE0FA3">
      <w:pPr>
        <w:adjustRightInd w:val="0"/>
        <w:spacing w:line="48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（三）报价要求：</w:t>
      </w:r>
    </w:p>
    <w:p w14:paraId="10D37E7E">
      <w:pPr>
        <w:adjustRightInd w:val="0"/>
        <w:spacing w:line="480" w:lineRule="exact"/>
        <w:ind w:firstLine="560" w:firstLineChars="200"/>
        <w:outlineLvl w:val="2"/>
        <w:rPr>
          <w:rFonts w:hint="eastAsia" w:ascii="仿宋" w:hAnsi="仿宋" w:eastAsia="仿宋" w:cs="Times New Roman"/>
          <w:color w:val="000000"/>
          <w:sz w:val="28"/>
          <w:szCs w:val="28"/>
        </w:rPr>
      </w:pPr>
      <w:r>
        <w:rPr>
          <w:rFonts w:hint="default" w:ascii="仿宋" w:hAnsi="仿宋" w:eastAsia="仿宋" w:cs="Times New Roman"/>
          <w:color w:val="000000"/>
          <w:sz w:val="28"/>
          <w:szCs w:val="28"/>
          <w:lang w:val="en-US"/>
        </w:rPr>
        <w:t>1.</w:t>
      </w:r>
      <w:r>
        <w:rPr>
          <w:rFonts w:hint="eastAsia" w:ascii="仿宋" w:hAnsi="仿宋" w:eastAsia="仿宋" w:cs="Times New Roman"/>
          <w:color w:val="000000"/>
          <w:sz w:val="28"/>
          <w:szCs w:val="28"/>
        </w:rPr>
        <w:t>本项目采购预算金额为人民币</w:t>
      </w:r>
      <w:r>
        <w:rPr>
          <w:rFonts w:hint="eastAsia" w:ascii="仿宋" w:hAnsi="仿宋" w:eastAsia="仿宋" w:cs="Times New Roman"/>
          <w:color w:val="000000"/>
          <w:sz w:val="28"/>
          <w:szCs w:val="28"/>
          <w:lang w:eastAsia="zh-CN"/>
        </w:rPr>
        <w:t>玖</w:t>
      </w:r>
      <w:r>
        <w:rPr>
          <w:rFonts w:hint="eastAsia" w:ascii="仿宋" w:hAnsi="仿宋" w:eastAsia="仿宋" w:cs="Times New Roman"/>
          <w:color w:val="000000"/>
          <w:sz w:val="28"/>
          <w:szCs w:val="28"/>
        </w:rPr>
        <w:t>拾万元整（￥</w:t>
      </w:r>
      <w:r>
        <w:rPr>
          <w:rFonts w:hint="eastAsia" w:ascii="仿宋" w:hAnsi="仿宋" w:eastAsia="仿宋" w:cs="Times New Roman"/>
          <w:color w:val="000000"/>
          <w:sz w:val="28"/>
          <w:szCs w:val="28"/>
          <w:lang w:val="en-US" w:eastAsia="zh-CN"/>
        </w:rPr>
        <w:t>90</w:t>
      </w:r>
      <w:r>
        <w:rPr>
          <w:rFonts w:hint="eastAsia" w:ascii="仿宋" w:hAnsi="仿宋" w:eastAsia="仿宋" w:cs="Times New Roman"/>
          <w:color w:val="000000"/>
          <w:sz w:val="28"/>
          <w:szCs w:val="28"/>
        </w:rPr>
        <w:t>0000.00</w:t>
      </w:r>
      <w:r>
        <w:rPr>
          <w:rFonts w:hint="eastAsia" w:ascii="仿宋" w:hAnsi="仿宋" w:eastAsia="仿宋" w:cs="Times New Roman"/>
          <w:color w:val="000000"/>
          <w:sz w:val="28"/>
          <w:szCs w:val="28"/>
          <w:lang w:eastAsia="zh-CN"/>
        </w:rPr>
        <w:t>元</w:t>
      </w:r>
      <w:r>
        <w:rPr>
          <w:rFonts w:hint="eastAsia" w:ascii="仿宋" w:hAnsi="仿宋" w:eastAsia="仿宋" w:cs="Times New Roman"/>
          <w:color w:val="000000"/>
          <w:sz w:val="28"/>
          <w:szCs w:val="28"/>
        </w:rPr>
        <w:t>）。</w:t>
      </w:r>
    </w:p>
    <w:p w14:paraId="1D0B3DC4">
      <w:pPr>
        <w:adjustRightInd w:val="0"/>
        <w:spacing w:line="480" w:lineRule="exact"/>
        <w:ind w:firstLine="560" w:firstLineChars="200"/>
        <w:outlineLvl w:val="2"/>
        <w:rPr>
          <w:rFonts w:hint="eastAsia" w:ascii="仿宋" w:hAnsi="仿宋" w:eastAsia="仿宋" w:cs="Times New Roman"/>
          <w:color w:val="000000"/>
          <w:sz w:val="28"/>
          <w:szCs w:val="28"/>
        </w:rPr>
      </w:pPr>
      <w:r>
        <w:rPr>
          <w:rFonts w:hint="default" w:ascii="仿宋" w:hAnsi="仿宋" w:eastAsia="仿宋" w:cs="Times New Roman"/>
          <w:color w:val="000000"/>
          <w:sz w:val="28"/>
          <w:szCs w:val="28"/>
          <w:lang w:val="en-US"/>
        </w:rPr>
        <w:t>2.</w:t>
      </w:r>
      <w:r>
        <w:rPr>
          <w:rFonts w:hint="eastAsia" w:ascii="仿宋" w:hAnsi="仿宋" w:eastAsia="仿宋" w:cs="Times New Roman"/>
          <w:color w:val="000000"/>
          <w:sz w:val="28"/>
          <w:szCs w:val="28"/>
        </w:rPr>
        <w:t>报价币种为人民币。</w:t>
      </w:r>
    </w:p>
    <w:p w14:paraId="1BE382F8">
      <w:pPr>
        <w:adjustRightInd w:val="0"/>
        <w:spacing w:line="480" w:lineRule="exact"/>
        <w:ind w:firstLine="560" w:firstLineChars="200"/>
        <w:outlineLvl w:val="2"/>
        <w:rPr>
          <w:rFonts w:hint="eastAsia" w:ascii="仿宋" w:hAnsi="仿宋" w:eastAsia="仿宋" w:cs="Times New Roman"/>
          <w:color w:val="000000"/>
          <w:sz w:val="28"/>
          <w:szCs w:val="28"/>
        </w:rPr>
      </w:pPr>
      <w:r>
        <w:rPr>
          <w:rFonts w:hint="default" w:ascii="仿宋" w:hAnsi="仿宋" w:eastAsia="仿宋" w:cs="Times New Roman"/>
          <w:color w:val="000000"/>
          <w:sz w:val="28"/>
          <w:szCs w:val="28"/>
          <w:lang w:val="en-US"/>
        </w:rPr>
        <w:t>3.</w:t>
      </w:r>
      <w:r>
        <w:rPr>
          <w:rFonts w:hint="eastAsia" w:ascii="仿宋" w:hAnsi="仿宋" w:eastAsia="仿宋" w:cs="Times New Roman"/>
          <w:color w:val="000000"/>
          <w:sz w:val="28"/>
          <w:szCs w:val="28"/>
        </w:rPr>
        <w:t>本项目服务费采用暂定价，应包括服务成本、法定税费和企业的利润。由投标人根据采购文件所提供的资料自行测算投标报价；一经中标，报价总价作为中标供应商与采购人签订的合同金额</w:t>
      </w:r>
      <w:r>
        <w:rPr>
          <w:rFonts w:hint="default" w:ascii="仿宋" w:hAnsi="仿宋" w:eastAsia="仿宋" w:cs="Times New Roman"/>
          <w:color w:val="000000"/>
          <w:sz w:val="28"/>
          <w:szCs w:val="28"/>
          <w:lang w:val="en-US"/>
        </w:rPr>
        <w:t>，在</w:t>
      </w:r>
      <w:r>
        <w:rPr>
          <w:rFonts w:hint="eastAsia" w:ascii="仿宋" w:hAnsi="仿宋" w:eastAsia="仿宋" w:cs="Times New Roman"/>
          <w:color w:val="000000"/>
          <w:sz w:val="28"/>
          <w:szCs w:val="28"/>
        </w:rPr>
        <w:t>合同期限内不</w:t>
      </w:r>
      <w:r>
        <w:rPr>
          <w:rFonts w:hint="default" w:ascii="仿宋" w:hAnsi="仿宋" w:eastAsia="仿宋" w:cs="Times New Roman"/>
          <w:color w:val="000000"/>
          <w:sz w:val="28"/>
          <w:szCs w:val="28"/>
          <w:lang w:val="en-US"/>
        </w:rPr>
        <w:t>作</w:t>
      </w:r>
      <w:r>
        <w:rPr>
          <w:rFonts w:hint="eastAsia" w:ascii="仿宋" w:hAnsi="仿宋" w:eastAsia="仿宋" w:cs="Times New Roman"/>
          <w:color w:val="000000"/>
          <w:sz w:val="28"/>
          <w:szCs w:val="28"/>
        </w:rPr>
        <w:t>调整。</w:t>
      </w:r>
    </w:p>
    <w:p w14:paraId="6DEA2ABD">
      <w:pPr>
        <w:adjustRightInd w:val="0"/>
        <w:spacing w:line="480" w:lineRule="exact"/>
        <w:ind w:firstLine="560" w:firstLineChars="200"/>
        <w:outlineLvl w:val="2"/>
        <w:rPr>
          <w:rFonts w:hint="eastAsia" w:ascii="仿宋" w:hAnsi="仿宋" w:eastAsia="仿宋" w:cs="Times New Roman"/>
          <w:color w:val="000000"/>
          <w:sz w:val="28"/>
          <w:szCs w:val="28"/>
        </w:rPr>
      </w:pPr>
      <w:r>
        <w:rPr>
          <w:rFonts w:hint="default" w:ascii="仿宋" w:hAnsi="仿宋" w:eastAsia="仿宋" w:cs="Times New Roman"/>
          <w:color w:val="000000"/>
          <w:sz w:val="28"/>
          <w:szCs w:val="28"/>
          <w:lang w:val="en-US"/>
        </w:rPr>
        <w:t>4.</w:t>
      </w:r>
      <w:r>
        <w:rPr>
          <w:rFonts w:hint="eastAsia" w:ascii="仿宋" w:hAnsi="仿宋" w:eastAsia="仿宋" w:cs="Times New Roman"/>
          <w:color w:val="000000"/>
          <w:sz w:val="28"/>
          <w:szCs w:val="28"/>
        </w:rPr>
        <w:t>投标人应当根据本企业的成本自行决定报价，但不得以低于其企业成本的报价投标。</w:t>
      </w:r>
    </w:p>
    <w:p w14:paraId="1F558999">
      <w:pPr>
        <w:adjustRightInd w:val="0"/>
        <w:spacing w:line="480" w:lineRule="exact"/>
        <w:ind w:firstLine="560" w:firstLineChars="200"/>
        <w:outlineLvl w:val="2"/>
        <w:rPr>
          <w:rFonts w:hint="eastAsia" w:ascii="仿宋" w:hAnsi="仿宋" w:eastAsia="仿宋" w:cs="Times New Roman"/>
          <w:color w:val="000000"/>
          <w:sz w:val="28"/>
          <w:szCs w:val="28"/>
        </w:rPr>
      </w:pPr>
      <w:r>
        <w:rPr>
          <w:rFonts w:hint="default" w:ascii="仿宋" w:hAnsi="仿宋" w:eastAsia="仿宋" w:cs="Times New Roman"/>
          <w:color w:val="000000"/>
          <w:sz w:val="28"/>
          <w:szCs w:val="28"/>
          <w:lang w:val="en-US"/>
        </w:rPr>
        <w:t>5.</w:t>
      </w:r>
      <w:r>
        <w:rPr>
          <w:rFonts w:hint="eastAsia" w:ascii="仿宋" w:hAnsi="仿宋" w:eastAsia="仿宋" w:cs="Times New Roman"/>
          <w:color w:val="000000"/>
          <w:sz w:val="28"/>
          <w:szCs w:val="28"/>
        </w:rPr>
        <w:t>投标人的报价不得超过项目预算金额。</w:t>
      </w:r>
    </w:p>
    <w:p w14:paraId="0D3DE9D4">
      <w:pPr>
        <w:adjustRightInd w:val="0"/>
        <w:spacing w:line="480" w:lineRule="exact"/>
        <w:ind w:firstLine="560" w:firstLineChars="200"/>
        <w:outlineLvl w:val="2"/>
        <w:rPr>
          <w:rFonts w:hint="eastAsia" w:ascii="仿宋" w:hAnsi="仿宋" w:eastAsia="仿宋" w:cs="Times New Roman"/>
          <w:color w:val="000000"/>
          <w:sz w:val="28"/>
          <w:szCs w:val="28"/>
        </w:rPr>
      </w:pPr>
      <w:r>
        <w:rPr>
          <w:rFonts w:hint="default" w:ascii="仿宋" w:hAnsi="仿宋" w:eastAsia="仿宋" w:cs="Times New Roman"/>
          <w:color w:val="000000"/>
          <w:sz w:val="28"/>
          <w:szCs w:val="28"/>
          <w:lang w:val="en-US"/>
        </w:rPr>
        <w:t>6.</w:t>
      </w:r>
      <w:r>
        <w:rPr>
          <w:rFonts w:hint="eastAsia" w:ascii="仿宋" w:hAnsi="仿宋" w:eastAsia="仿宋" w:cs="Times New Roman"/>
          <w:color w:val="000000"/>
          <w:sz w:val="28"/>
          <w:szCs w:val="28"/>
        </w:rPr>
        <w:t>投标人的报价，应当是本项目采购范围和采购文件及合同条款上所列的各项内容中所述的全部，不得以任何理由予以重复。</w:t>
      </w:r>
    </w:p>
    <w:p w14:paraId="390ED426">
      <w:pPr>
        <w:adjustRightInd w:val="0"/>
        <w:spacing w:line="480" w:lineRule="exact"/>
        <w:ind w:firstLine="560" w:firstLineChars="200"/>
        <w:outlineLvl w:val="2"/>
        <w:rPr>
          <w:rFonts w:hint="eastAsia" w:ascii="仿宋" w:hAnsi="仿宋" w:eastAsia="仿宋" w:cs="Times New Roman"/>
          <w:color w:val="000000"/>
          <w:sz w:val="28"/>
          <w:szCs w:val="28"/>
        </w:rPr>
      </w:pPr>
      <w:r>
        <w:rPr>
          <w:rFonts w:hint="default" w:ascii="仿宋" w:hAnsi="仿宋" w:eastAsia="仿宋" w:cs="Times New Roman"/>
          <w:color w:val="000000"/>
          <w:sz w:val="28"/>
          <w:szCs w:val="28"/>
          <w:lang w:val="en-US"/>
        </w:rPr>
        <w:t>7.</w:t>
      </w:r>
      <w:r>
        <w:rPr>
          <w:rFonts w:hint="eastAsia" w:ascii="仿宋" w:hAnsi="仿宋" w:eastAsia="仿宋" w:cs="Times New Roman"/>
          <w:color w:val="000000"/>
          <w:sz w:val="28"/>
          <w:szCs w:val="28"/>
        </w:rPr>
        <w:t>除非采购人通过修改采购文件予以更正，否则，投标人应毫无例外地按响应文件所列的清单中项目和数量填报综合单价和合价。投标人未填综合单价或合价的项目，在实施后，将不得以支付，并视作该项费用已包括在其它有价款的综合单价或合价内。</w:t>
      </w:r>
    </w:p>
    <w:p w14:paraId="77870523">
      <w:pPr>
        <w:adjustRightInd w:val="0"/>
        <w:spacing w:line="480" w:lineRule="exact"/>
        <w:ind w:firstLine="560" w:firstLineChars="200"/>
        <w:outlineLvl w:val="2"/>
        <w:rPr>
          <w:rFonts w:hint="eastAsia" w:ascii="仿宋" w:hAnsi="仿宋" w:eastAsia="仿宋" w:cs="Times New Roman"/>
          <w:color w:val="000000"/>
          <w:sz w:val="28"/>
          <w:szCs w:val="28"/>
        </w:rPr>
      </w:pPr>
      <w:r>
        <w:rPr>
          <w:rFonts w:hint="default" w:ascii="仿宋" w:hAnsi="仿宋" w:eastAsia="仿宋" w:cs="Times New Roman"/>
          <w:color w:val="000000"/>
          <w:sz w:val="28"/>
          <w:szCs w:val="28"/>
          <w:lang w:val="en-US"/>
        </w:rPr>
        <w:t>8.</w:t>
      </w:r>
      <w:r>
        <w:rPr>
          <w:rFonts w:hint="eastAsia" w:ascii="仿宋" w:hAnsi="仿宋" w:eastAsia="仿宋" w:cs="Times New Roman"/>
          <w:color w:val="000000"/>
          <w:sz w:val="28"/>
          <w:szCs w:val="28"/>
        </w:rPr>
        <w:t>投标人应先到项目地点踏勘以充分了解项目的位置、情况、道路及任何</w:t>
      </w:r>
      <w:r>
        <w:rPr>
          <w:rFonts w:hint="default" w:ascii="仿宋" w:hAnsi="仿宋" w:eastAsia="仿宋" w:cs="Times New Roman"/>
          <w:color w:val="000000"/>
          <w:sz w:val="28"/>
          <w:szCs w:val="28"/>
          <w:lang w:val="en-US"/>
        </w:rPr>
        <w:t>其他</w:t>
      </w:r>
      <w:r>
        <w:rPr>
          <w:rFonts w:hint="eastAsia" w:ascii="仿宋" w:hAnsi="仿宋" w:eastAsia="仿宋" w:cs="Times New Roman"/>
          <w:color w:val="000000"/>
          <w:sz w:val="28"/>
          <w:szCs w:val="28"/>
        </w:rPr>
        <w:t>足以影响投标报价的情况，任何因忽视或误解项目情况而导致的索赔或服务期限延长申请将不获批准。</w:t>
      </w:r>
    </w:p>
    <w:p w14:paraId="6DB668FE">
      <w:pPr>
        <w:adjustRightInd w:val="0"/>
        <w:spacing w:line="480" w:lineRule="exact"/>
        <w:ind w:firstLine="560" w:firstLineChars="200"/>
        <w:outlineLvl w:val="2"/>
        <w:rPr>
          <w:rFonts w:hint="eastAsia" w:ascii="仿宋" w:hAnsi="仿宋" w:eastAsia="仿宋" w:cs="Times New Roman"/>
          <w:color w:val="000000"/>
          <w:sz w:val="28"/>
          <w:szCs w:val="28"/>
          <w:lang w:val="en-US" w:eastAsia="zh-CN"/>
        </w:rPr>
      </w:pPr>
      <w:r>
        <w:rPr>
          <w:rFonts w:hint="default" w:ascii="仿宋" w:hAnsi="仿宋" w:eastAsia="仿宋" w:cs="Times New Roman"/>
          <w:color w:val="000000"/>
          <w:sz w:val="28"/>
          <w:szCs w:val="28"/>
          <w:lang w:val="en-US"/>
        </w:rPr>
        <w:t>9.</w:t>
      </w:r>
      <w:r>
        <w:rPr>
          <w:rFonts w:hint="eastAsia" w:ascii="仿宋" w:hAnsi="仿宋" w:eastAsia="仿宋" w:cs="Times New Roman"/>
          <w:color w:val="000000"/>
          <w:sz w:val="28"/>
          <w:szCs w:val="28"/>
        </w:rPr>
        <w:t>投标人不得期望通过索赔等方式获取补偿，否则，除可能遭到拒绝外，还可能将被作为不良行为记录在案，并可能影响其以后参加政府采购的项目投标。各投标人在报价时，应充分考虑报价的风险。</w:t>
      </w:r>
      <w:r>
        <w:rPr>
          <w:rFonts w:hint="eastAsia" w:ascii="仿宋" w:hAnsi="仿宋" w:eastAsia="仿宋" w:cs="Times New Roman"/>
          <w:color w:val="000000"/>
          <w:sz w:val="28"/>
          <w:szCs w:val="28"/>
          <w:lang w:val="en-US" w:eastAsia="zh-CN"/>
        </w:rPr>
        <w:t xml:space="preserve">    </w:t>
      </w:r>
    </w:p>
    <w:p w14:paraId="15F02785">
      <w:pPr>
        <w:adjustRightInd w:val="0"/>
        <w:spacing w:line="480" w:lineRule="exact"/>
        <w:ind w:firstLine="560" w:firstLineChars="200"/>
        <w:outlineLvl w:val="2"/>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（四）付款方式：</w:t>
      </w:r>
      <w:r>
        <w:rPr>
          <w:rFonts w:hint="eastAsia" w:ascii="仿宋" w:hAnsi="仿宋" w:eastAsia="仿宋" w:cs="Times New Roman"/>
          <w:color w:val="000000"/>
          <w:sz w:val="28"/>
          <w:szCs w:val="28"/>
          <w:lang w:eastAsia="zh-CN"/>
        </w:rPr>
        <w:t>分二期支付</w:t>
      </w:r>
      <w:r>
        <w:rPr>
          <w:rFonts w:hint="eastAsia" w:ascii="仿宋" w:hAnsi="仿宋" w:eastAsia="仿宋" w:cs="Times New Roman"/>
          <w:color w:val="000000"/>
          <w:sz w:val="28"/>
          <w:szCs w:val="28"/>
        </w:rPr>
        <w:t>。</w:t>
      </w:r>
    </w:p>
    <w:p w14:paraId="70F3CE24">
      <w:pPr>
        <w:adjustRightInd w:val="0"/>
        <w:spacing w:line="480" w:lineRule="exact"/>
        <w:ind w:firstLine="560" w:firstLineChars="200"/>
        <w:outlineLvl w:val="2"/>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eastAsia="zh-CN"/>
        </w:rPr>
        <w:t>首期款：合同签订后，乙方提交项目计划书，甲方</w:t>
      </w:r>
      <w:r>
        <w:rPr>
          <w:rFonts w:hint="eastAsia" w:ascii="仿宋" w:hAnsi="仿宋" w:eastAsia="仿宋" w:cs="Times New Roman"/>
          <w:color w:val="000000"/>
          <w:sz w:val="28"/>
          <w:szCs w:val="28"/>
          <w:lang w:val="en-US" w:eastAsia="zh-CN"/>
        </w:rPr>
        <w:t>在收到发票后10个工作日内</w:t>
      </w:r>
      <w:r>
        <w:rPr>
          <w:rFonts w:hint="eastAsia" w:ascii="仿宋" w:hAnsi="仿宋" w:eastAsia="仿宋" w:cs="Times New Roman"/>
          <w:color w:val="000000"/>
          <w:sz w:val="28"/>
          <w:szCs w:val="28"/>
          <w:lang w:eastAsia="zh-CN"/>
        </w:rPr>
        <w:t>支付成交价的</w:t>
      </w:r>
      <w:r>
        <w:rPr>
          <w:rFonts w:hint="eastAsia" w:ascii="仿宋" w:hAnsi="仿宋" w:eastAsia="仿宋" w:cs="Times New Roman"/>
          <w:color w:val="000000"/>
          <w:sz w:val="28"/>
          <w:szCs w:val="28"/>
          <w:lang w:val="en-US" w:eastAsia="zh-CN"/>
        </w:rPr>
        <w:t>60%；</w:t>
      </w:r>
    </w:p>
    <w:p w14:paraId="61275B3D">
      <w:pPr>
        <w:adjustRightInd w:val="0"/>
        <w:spacing w:line="480" w:lineRule="exact"/>
        <w:ind w:firstLine="560" w:firstLineChars="200"/>
        <w:outlineLvl w:val="2"/>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尾款：乙方提交项目成果及工作量结算表，经甲方审核通过后，甲方按实际工作量进行结算，并在收到发票后10个工作日内向乙方支付合同结算款。若合同结算价超过合同（暂定）总价，则按合同（暂定）总价结算；若合同结算价低于合同价，则按实际工作量结算。结算款为合同结算价与首期款的差额。</w:t>
      </w:r>
    </w:p>
    <w:p w14:paraId="549113A9">
      <w:pPr>
        <w:adjustRightInd w:val="0"/>
        <w:spacing w:line="480" w:lineRule="exact"/>
        <w:ind w:firstLine="560" w:firstLineChars="200"/>
        <w:outlineLvl w:val="2"/>
        <w:rPr>
          <w:rFonts w:hint="default" w:ascii="仿宋" w:hAnsi="仿宋" w:eastAsia="仿宋" w:cs="Times New Roman"/>
          <w:color w:val="000000"/>
          <w:sz w:val="28"/>
          <w:szCs w:val="28"/>
          <w:lang w:val="en-US" w:eastAsia="zh-CN"/>
        </w:rPr>
      </w:pPr>
      <w:r>
        <w:rPr>
          <w:rFonts w:hint="default" w:ascii="仿宋" w:hAnsi="仿宋" w:eastAsia="仿宋" w:cs="Times New Roman"/>
          <w:color w:val="000000"/>
          <w:sz w:val="28"/>
          <w:szCs w:val="28"/>
          <w:lang w:val="en-US" w:eastAsia="zh-CN"/>
        </w:rPr>
        <w:t>3.</w:t>
      </w:r>
      <w:r>
        <w:rPr>
          <w:rFonts w:hint="eastAsia" w:ascii="仿宋" w:hAnsi="仿宋" w:eastAsia="仿宋" w:cs="Times New Roman"/>
          <w:color w:val="000000"/>
          <w:sz w:val="28"/>
          <w:szCs w:val="28"/>
          <w:lang w:val="en-US" w:eastAsia="zh-CN"/>
        </w:rPr>
        <w:t>验收方式。</w:t>
      </w:r>
    </w:p>
    <w:p w14:paraId="0E9FC961">
      <w:pPr>
        <w:adjustRightInd w:val="0"/>
        <w:spacing w:line="48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（五）履约担保金：根据《深圳市财政局关于明确政府采购保证金管理工作的通知》（深财购〔2019〕42号）的要求，本项目不收取履约保证金。</w:t>
      </w:r>
    </w:p>
    <w:p w14:paraId="1DE705F9">
      <w:pPr>
        <w:adjustRightInd w:val="0"/>
        <w:spacing w:line="480" w:lineRule="exact"/>
        <w:ind w:firstLine="560" w:firstLineChars="200"/>
        <w:outlineLvl w:val="2"/>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（六）违约责任：</w:t>
      </w:r>
    </w:p>
    <w:p w14:paraId="483A4705">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1.由于乙方工作的错误或遗漏造成本项目成果质量损失的，乙方除负责及时采取有效补救措施外，应免收受损失部分的合同价款，并支付合同暂定价款</w:t>
      </w:r>
      <w:r>
        <w:rPr>
          <w:rFonts w:hint="eastAsia" w:ascii="仿宋" w:hAnsi="仿宋" w:eastAsia="仿宋" w:cs="Times New Roman"/>
          <w:color w:val="000000"/>
          <w:sz w:val="28"/>
          <w:szCs w:val="28"/>
          <w:lang w:val="en-US" w:eastAsia="zh-CN"/>
        </w:rPr>
        <w:t>10</w:t>
      </w:r>
      <w:r>
        <w:rPr>
          <w:rFonts w:ascii="仿宋" w:hAnsi="仿宋" w:eastAsia="仿宋" w:cs="Times New Roman"/>
          <w:color w:val="000000"/>
          <w:sz w:val="28"/>
          <w:szCs w:val="28"/>
        </w:rPr>
        <w:t>%的违约金。</w:t>
      </w:r>
    </w:p>
    <w:p w14:paraId="0FF3663F">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3.如乙方提交的服务成果侵犯第三方合法权益的，一切法律责任均由乙方承担，同时乙方保证甲方在第三方主张权益时免受损失，并赔偿甲方合同总价款</w:t>
      </w:r>
      <w:r>
        <w:rPr>
          <w:rFonts w:ascii="仿宋" w:hAnsi="仿宋" w:eastAsia="仿宋" w:cs="Times New Roman"/>
          <w:color w:val="000000"/>
          <w:sz w:val="28"/>
          <w:szCs w:val="28"/>
        </w:rPr>
        <w:t>10%的违约金。</w:t>
      </w:r>
    </w:p>
    <w:p w14:paraId="314BA9D4">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4</w:t>
      </w:r>
      <w:r>
        <w:rPr>
          <w:rFonts w:hint="eastAsia" w:ascii="仿宋" w:hAnsi="仿宋" w:eastAsia="仿宋" w:cs="Times New Roman"/>
          <w:color w:val="000000"/>
          <w:sz w:val="28"/>
          <w:szCs w:val="28"/>
        </w:rPr>
        <w:t>.乙方组织的项目组成员不符合本合同约定的人员要求、工作内容和技术要求，或未经甲方书面同意，乙方擅自变更附件</w:t>
      </w:r>
      <w:r>
        <w:rPr>
          <w:rFonts w:ascii="仿宋" w:hAnsi="仿宋" w:eastAsia="仿宋" w:cs="Times New Roman"/>
          <w:color w:val="000000"/>
          <w:sz w:val="28"/>
          <w:szCs w:val="28"/>
        </w:rPr>
        <w:t>3约定的项目组主要成员，甲方有权责成乙方采取补救措施或调整项目组主要成员构成。</w:t>
      </w:r>
    </w:p>
    <w:p w14:paraId="4B86DE2D">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5</w:t>
      </w:r>
      <w:r>
        <w:rPr>
          <w:rFonts w:hint="eastAsia" w:ascii="仿宋" w:hAnsi="仿宋" w:eastAsia="仿宋" w:cs="Times New Roman"/>
          <w:color w:val="000000"/>
          <w:sz w:val="28"/>
          <w:szCs w:val="28"/>
        </w:rPr>
        <w:t>.本项目最终成果验收后</w:t>
      </w:r>
      <w:r>
        <w:rPr>
          <w:rFonts w:ascii="仿宋" w:hAnsi="仿宋" w:eastAsia="仿宋" w:cs="Times New Roman"/>
          <w:color w:val="000000"/>
          <w:sz w:val="28"/>
          <w:szCs w:val="28"/>
        </w:rPr>
        <w:t>12个月以内，乙方未按甲方要求就本项目提供必要解释和接受咨询的，甲方可要求乙方承担相应</w:t>
      </w:r>
      <w:r>
        <w:rPr>
          <w:rFonts w:ascii="仿宋" w:hAnsi="仿宋" w:eastAsia="仿宋" w:cs="Times New Roman"/>
          <w:color w:val="000000"/>
          <w:sz w:val="28"/>
          <w:szCs w:val="28"/>
          <w:lang w:val="en-US"/>
        </w:rPr>
        <w:t>违约责任，并支付</w:t>
      </w:r>
      <w:r>
        <w:rPr>
          <w:rFonts w:ascii="仿宋" w:hAnsi="仿宋" w:eastAsia="仿宋" w:cs="Times New Roman"/>
          <w:color w:val="000000"/>
          <w:sz w:val="28"/>
          <w:szCs w:val="28"/>
        </w:rPr>
        <w:t>合同暂定价款5%的违约金。乙方支付违约金不免除乙方提供必要解释和接受咨询的义务。</w:t>
      </w:r>
    </w:p>
    <w:p w14:paraId="201DE8A6">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6</w:t>
      </w:r>
      <w:r>
        <w:rPr>
          <w:rFonts w:hint="eastAsia" w:ascii="仿宋" w:hAnsi="仿宋" w:eastAsia="仿宋" w:cs="Times New Roman"/>
          <w:color w:val="000000"/>
          <w:sz w:val="28"/>
          <w:szCs w:val="28"/>
        </w:rPr>
        <w:t>.合同履行期间，乙方承担第三方委托的本项目研究范围内的其他项目，但未书面告知甲方的，一经发现，无论合同正在履行或已履行完毕，甲方均有权追究乙方责任，要求乙方解除与第三方的合同，并要求乙方支付合同总价款</w:t>
      </w:r>
      <w:r>
        <w:rPr>
          <w:rFonts w:hint="eastAsia" w:ascii="仿宋" w:hAnsi="仿宋" w:eastAsia="仿宋" w:cs="Times New Roman"/>
          <w:color w:val="000000"/>
          <w:sz w:val="28"/>
          <w:szCs w:val="28"/>
          <w:lang w:val="en-US" w:eastAsia="zh-CN"/>
        </w:rPr>
        <w:t>10</w:t>
      </w:r>
      <w:r>
        <w:rPr>
          <w:rFonts w:ascii="仿宋" w:hAnsi="仿宋" w:eastAsia="仿宋" w:cs="Times New Roman"/>
          <w:color w:val="000000"/>
          <w:sz w:val="28"/>
          <w:szCs w:val="28"/>
        </w:rPr>
        <w:t>%的违约金。</w:t>
      </w:r>
    </w:p>
    <w:p w14:paraId="0C9D915E">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.未尽事宜以合同约定为准。</w:t>
      </w:r>
    </w:p>
    <w:p w14:paraId="7B0B42FB">
      <w:pPr>
        <w:adjustRightInd w:val="0"/>
        <w:spacing w:line="480" w:lineRule="exact"/>
        <w:ind w:firstLine="560" w:firstLineChars="200"/>
        <w:jc w:val="left"/>
        <w:outlineLvl w:val="1"/>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（七）验收要求</w:t>
      </w:r>
    </w:p>
    <w:p w14:paraId="02FD79C8">
      <w:pPr>
        <w:adjustRightInd w:val="0"/>
        <w:spacing w:line="480" w:lineRule="exact"/>
        <w:ind w:firstLine="560" w:firstLineChars="200"/>
        <w:jc w:val="left"/>
        <w:outlineLvl w:val="1"/>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履约验收主体：采购人将对服务情况进行评估。</w:t>
      </w:r>
    </w:p>
    <w:p w14:paraId="1EFD5E3E">
      <w:pPr>
        <w:adjustRightInd w:val="0"/>
        <w:spacing w:line="480" w:lineRule="exact"/>
        <w:ind w:firstLine="560" w:firstLineChars="200"/>
        <w:jc w:val="left"/>
        <w:outlineLvl w:val="1"/>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履约验收时间：项目服务期满后收到成交供应商的申请后7日内组织验收工作。</w:t>
      </w:r>
    </w:p>
    <w:p w14:paraId="15A26DC3">
      <w:pPr>
        <w:adjustRightInd w:val="0"/>
        <w:spacing w:line="480" w:lineRule="exact"/>
        <w:ind w:firstLine="560" w:firstLineChars="200"/>
        <w:jc w:val="left"/>
        <w:outlineLvl w:val="1"/>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履约验收方式：采购人按照谈判文件和合同规定的标准和方法组织验收工作。</w:t>
      </w:r>
    </w:p>
    <w:p w14:paraId="3F8E501D">
      <w:pPr>
        <w:adjustRightInd w:val="0"/>
        <w:spacing w:line="480" w:lineRule="exact"/>
        <w:ind w:firstLine="560" w:firstLineChars="200"/>
        <w:jc w:val="left"/>
        <w:outlineLvl w:val="1"/>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履约验收程序：采购人根据成交供应商提交的相关工作成果、工作报告进行验收。</w:t>
      </w:r>
    </w:p>
    <w:p w14:paraId="76F420D2">
      <w:pPr>
        <w:adjustRightInd w:val="0"/>
        <w:spacing w:line="480" w:lineRule="exact"/>
        <w:ind w:firstLine="560" w:firstLineChars="200"/>
        <w:jc w:val="left"/>
        <w:outlineLvl w:val="1"/>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履约验收内容：包括谈判文件、响应文件及本合同约定的内容。</w:t>
      </w:r>
    </w:p>
    <w:p w14:paraId="5BE5EE88">
      <w:pPr>
        <w:adjustRightInd w:val="0"/>
        <w:spacing w:line="480" w:lineRule="exact"/>
        <w:ind w:firstLine="560" w:firstLineChars="200"/>
        <w:jc w:val="left"/>
        <w:outlineLvl w:val="1"/>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验收合格的标志：成交供应商已按照合同约定提供了全部服务和完整的验收资料，并</w:t>
      </w:r>
      <w:r>
        <w:rPr>
          <w:rFonts w:hint="default" w:ascii="仿宋" w:hAnsi="仿宋" w:eastAsia="仿宋" w:cs="Times New Roman"/>
          <w:color w:val="000000"/>
          <w:sz w:val="28"/>
          <w:szCs w:val="28"/>
          <w:lang w:val="en-US" w:eastAsia="zh-CN"/>
        </w:rPr>
        <w:t>须</w:t>
      </w:r>
      <w:r>
        <w:rPr>
          <w:rFonts w:hint="eastAsia" w:ascii="仿宋" w:hAnsi="仿宋" w:eastAsia="仿宋" w:cs="Times New Roman"/>
          <w:color w:val="000000"/>
          <w:sz w:val="28"/>
          <w:szCs w:val="28"/>
          <w:lang w:eastAsia="zh-CN"/>
        </w:rPr>
        <w:t>经过甲方专题会审核通过。</w:t>
      </w:r>
    </w:p>
    <w:p w14:paraId="52AE7CD6">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w:t>
      </w:r>
      <w:r>
        <w:rPr>
          <w:rFonts w:hint="eastAsia" w:ascii="仿宋" w:hAnsi="仿宋" w:eastAsia="仿宋" w:cs="Times New Roman"/>
          <w:color w:val="000000"/>
          <w:sz w:val="28"/>
          <w:szCs w:val="28"/>
          <w:lang w:eastAsia="zh-CN"/>
        </w:rPr>
        <w:t>八</w:t>
      </w:r>
      <w:r>
        <w:rPr>
          <w:rFonts w:hint="eastAsia" w:ascii="仿宋" w:hAnsi="仿宋" w:eastAsia="仿宋" w:cs="Times New Roman"/>
          <w:color w:val="000000"/>
          <w:sz w:val="28"/>
          <w:szCs w:val="28"/>
        </w:rPr>
        <w:t>）其他：投标人需提供的材料</w:t>
      </w:r>
    </w:p>
    <w:p w14:paraId="461076F1">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1.应标文件；</w:t>
      </w:r>
    </w:p>
    <w:p w14:paraId="5A44AF54">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2.营业执照或事业单位法人证书等文件，复印件应加盖公章；</w:t>
      </w:r>
    </w:p>
    <w:p w14:paraId="30FDC7A9">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3.项目计划书；</w:t>
      </w:r>
    </w:p>
    <w:p w14:paraId="1AE55AFA">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4.项目负责人、成员表等文件；</w:t>
      </w:r>
    </w:p>
    <w:p w14:paraId="7170FEF8">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5.政府采购注册供应商资格文件；</w:t>
      </w:r>
    </w:p>
    <w:p w14:paraId="03EFB394">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6.投标人须提供《政府采购投标及履约承诺函》。</w:t>
      </w:r>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Arial Unicode MS">
    <w:altName w:val="DejaVu Sans"/>
    <w:panose1 w:val="020B0604020202020204"/>
    <w:charset w:val="86"/>
    <w:family w:val="roman"/>
    <w:pitch w:val="default"/>
    <w:sig w:usb0="00000000" w:usb1="00000000" w:usb2="0000003F" w:usb3="00000000" w:csb0="603F01FF" w:csb1="FFFF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sz w:val="28"/>
        <w:szCs w:val="28"/>
      </w:rPr>
    </w:sdtEndPr>
    <w:sdtContent>
      <w:p w14:paraId="0E95414E">
        <w:pPr>
          <w:pStyle w:val="9"/>
          <w:jc w:val="right"/>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15 -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916"/>
    </w:sdtPr>
    <w:sdtEndPr>
      <w:rPr>
        <w:rFonts w:asciiTheme="minorEastAsia" w:hAnsiTheme="minorEastAsia"/>
        <w:sz w:val="28"/>
        <w:szCs w:val="28"/>
      </w:rPr>
    </w:sdtEndPr>
    <w:sdtContent>
      <w:p w14:paraId="2590CF42">
        <w:pPr>
          <w:pStyle w:val="9"/>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18 -</w:t>
        </w:r>
        <w:r>
          <w:rPr>
            <w:rFonts w:asciiTheme="minorEastAsia" w:hAnsi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EFDA2">
    <w:pPr>
      <w:pStyle w:val="10"/>
      <w:pBdr>
        <w:bottom w:val="none" w:color="auto" w:sz="0" w:space="1"/>
      </w:pBdr>
      <w:jc w:val="both"/>
    </w:pPr>
    <w:r>
      <w:rPr>
        <w:sz w:val="18"/>
      </w:rPr>
      <w:pict>
        <v:shape id="PowerPlusWaterMarkObject248669" o:spid="_x0000_s3075" o:spt="136" type="#_x0000_t136" style="position:absolute;left:0pt;height:11.05pt;width:62.6pt;mso-position-horizontal:center;mso-position-horizontal-relative:margin;mso-position-vertical:center;mso-position-vertical-relative:margin;z-index:-251655168;mso-width-relative:page;mso-height-relative:page;" fillcolor="#C0C0C0" filled="t" stroked="f" coordsize="21600,21600" adj="10800">
          <v:path/>
          <v:fill on="t" opacity="32768f" focussize="0,0"/>
          <v:stroke on="f"/>
          <v:imagedata o:title=""/>
          <o:lock v:ext="edit" aspectratio="t"/>
          <v:textpath on="t" fitshape="t" fitpath="t" trim="t" xscale="f" string="18839887    罗欢" style="font-family:汉仪旗黑KW 55S;font-size:11pt;v-same-letter-heights:f;v-text-align:center;"/>
        </v:shape>
      </w:pict>
    </w:r>
    <w:r>
      <w:rPr>
        <w:sz w:val="18"/>
      </w:rPr>
      <w:pict>
        <v:shape id="PowerPlusWaterMarkObject443576" o:spid="_x0000_s3073" o:spt="136" type="#_x0000_t136" style="position:absolute;left:0pt;height:11.05pt;width:70.95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shape="t" fitpath="t" trim="t" xscale="f" string="18386020    周深柯" style="font-family:汉仪旗黑KW 55S;font-size:11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A8415">
    <w:pPr>
      <w:pStyle w:val="10"/>
      <w:pBdr>
        <w:bottom w:val="none" w:color="auto" w:sz="0" w:space="1"/>
      </w:pBdr>
    </w:pPr>
    <w:r>
      <w:rPr>
        <w:sz w:val="18"/>
      </w:rPr>
      <w:pict>
        <v:shape id="PowerPlusWaterMarkObject672005" o:spid="_x0000_s3076" o:spt="136" type="#_x0000_t136" style="position:absolute;left:0pt;height:11.05pt;width:62.6pt;mso-position-horizontal:center;mso-position-horizontal-relative:margin;mso-position-vertical:center;mso-position-vertical-relative:margin;z-index:-251654144;mso-width-relative:page;mso-height-relative:page;" fillcolor="#C0C0C0" filled="t" stroked="f" coordsize="21600,21600" adj="10800">
          <v:path/>
          <v:fill on="t" opacity="32768f" focussize="0,0"/>
          <v:stroke on="f"/>
          <v:imagedata o:title=""/>
          <o:lock v:ext="edit" aspectratio="t"/>
          <v:textpath on="t" fitshape="t" fitpath="t" trim="t" xscale="f" string="18839887    罗欢" style="font-family:汉仪旗黑KW 55S;font-size:11pt;v-same-letter-heights:f;v-text-align:center;"/>
        </v:shape>
      </w:pict>
    </w:r>
    <w:r>
      <w:rPr>
        <w:sz w:val="18"/>
      </w:rPr>
      <w:pict>
        <v:shape id="PowerPlusWaterMarkObject1211193" o:spid="_x0000_s3074" o:spt="136" type="#_x0000_t136" style="position:absolute;left:0pt;height:11.05pt;width:70.95pt;mso-position-horizontal:center;mso-position-horizontal-relative:margin;mso-position-vertical:center;mso-position-vertical-relative:margin;z-index:-251656192;mso-width-relative:page;mso-height-relative:page;" fillcolor="#C0C0C0" filled="t" stroked="f" coordsize="21600,21600" adj="10800">
          <v:path/>
          <v:fill on="t" opacity="32768f" focussize="0,0"/>
          <v:stroke on="f"/>
          <v:imagedata o:title=""/>
          <o:lock v:ext="edit" aspectratio="t"/>
          <v:textpath on="t" fitshape="t" fitpath="t" trim="t" xscale="f" string="18386020    周深柯" style="font-family:汉仪旗黑KW 55S;font-size:11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YzNhZThhZTZkYmViN2U1ZjZhNmNkYzkxN2JmZTIifQ=="/>
  </w:docVars>
  <w:rsids>
    <w:rsidRoot w:val="00172A27"/>
    <w:rsid w:val="00003D93"/>
    <w:rsid w:val="000065C6"/>
    <w:rsid w:val="00007E57"/>
    <w:rsid w:val="000138DE"/>
    <w:rsid w:val="00014EAB"/>
    <w:rsid w:val="00021F45"/>
    <w:rsid w:val="00022015"/>
    <w:rsid w:val="00034D5F"/>
    <w:rsid w:val="00034E4D"/>
    <w:rsid w:val="0004127F"/>
    <w:rsid w:val="00044C61"/>
    <w:rsid w:val="00047517"/>
    <w:rsid w:val="00050A9B"/>
    <w:rsid w:val="00053230"/>
    <w:rsid w:val="00056155"/>
    <w:rsid w:val="00057416"/>
    <w:rsid w:val="00065548"/>
    <w:rsid w:val="00073D8D"/>
    <w:rsid w:val="000810E0"/>
    <w:rsid w:val="00082AE1"/>
    <w:rsid w:val="00090F86"/>
    <w:rsid w:val="00092B5A"/>
    <w:rsid w:val="00096380"/>
    <w:rsid w:val="000B6697"/>
    <w:rsid w:val="000C2983"/>
    <w:rsid w:val="000C5367"/>
    <w:rsid w:val="000D02D3"/>
    <w:rsid w:val="000D4895"/>
    <w:rsid w:val="000D5CF3"/>
    <w:rsid w:val="000D7F20"/>
    <w:rsid w:val="000E096D"/>
    <w:rsid w:val="000F0638"/>
    <w:rsid w:val="000F4893"/>
    <w:rsid w:val="000F5A64"/>
    <w:rsid w:val="0010140E"/>
    <w:rsid w:val="001035AD"/>
    <w:rsid w:val="001041AF"/>
    <w:rsid w:val="001071DA"/>
    <w:rsid w:val="00113A85"/>
    <w:rsid w:val="001202F4"/>
    <w:rsid w:val="00121989"/>
    <w:rsid w:val="001252EA"/>
    <w:rsid w:val="001261AE"/>
    <w:rsid w:val="00126BF1"/>
    <w:rsid w:val="00127138"/>
    <w:rsid w:val="00134AED"/>
    <w:rsid w:val="00136DB5"/>
    <w:rsid w:val="00142B62"/>
    <w:rsid w:val="00145036"/>
    <w:rsid w:val="00146814"/>
    <w:rsid w:val="00150187"/>
    <w:rsid w:val="001605BB"/>
    <w:rsid w:val="00163708"/>
    <w:rsid w:val="00164BB4"/>
    <w:rsid w:val="0016654A"/>
    <w:rsid w:val="00167FAC"/>
    <w:rsid w:val="00170FFA"/>
    <w:rsid w:val="00171622"/>
    <w:rsid w:val="00172A27"/>
    <w:rsid w:val="00172E4E"/>
    <w:rsid w:val="00174A0C"/>
    <w:rsid w:val="00182E75"/>
    <w:rsid w:val="0018576A"/>
    <w:rsid w:val="001A032C"/>
    <w:rsid w:val="001A66ED"/>
    <w:rsid w:val="001A7AA8"/>
    <w:rsid w:val="001B2CE6"/>
    <w:rsid w:val="001B2D8E"/>
    <w:rsid w:val="001C3B82"/>
    <w:rsid w:val="001D1624"/>
    <w:rsid w:val="001D4831"/>
    <w:rsid w:val="001D4BB9"/>
    <w:rsid w:val="001F33BE"/>
    <w:rsid w:val="00200A45"/>
    <w:rsid w:val="00200B13"/>
    <w:rsid w:val="00200EC8"/>
    <w:rsid w:val="002031B7"/>
    <w:rsid w:val="002104CF"/>
    <w:rsid w:val="002135BE"/>
    <w:rsid w:val="002155DF"/>
    <w:rsid w:val="00220808"/>
    <w:rsid w:val="002228B4"/>
    <w:rsid w:val="00223832"/>
    <w:rsid w:val="00234A8B"/>
    <w:rsid w:val="00247423"/>
    <w:rsid w:val="002500F7"/>
    <w:rsid w:val="00252556"/>
    <w:rsid w:val="002640AA"/>
    <w:rsid w:val="0026628E"/>
    <w:rsid w:val="002742B0"/>
    <w:rsid w:val="00274C1F"/>
    <w:rsid w:val="00276CE2"/>
    <w:rsid w:val="00284345"/>
    <w:rsid w:val="00286B34"/>
    <w:rsid w:val="00293EE5"/>
    <w:rsid w:val="00295CE4"/>
    <w:rsid w:val="002B699A"/>
    <w:rsid w:val="002C0CD3"/>
    <w:rsid w:val="002C471B"/>
    <w:rsid w:val="002C497C"/>
    <w:rsid w:val="002D404C"/>
    <w:rsid w:val="002D44E4"/>
    <w:rsid w:val="002D5AF2"/>
    <w:rsid w:val="002D5C2D"/>
    <w:rsid w:val="002E4B17"/>
    <w:rsid w:val="002F1DD8"/>
    <w:rsid w:val="002F1FA0"/>
    <w:rsid w:val="002F360C"/>
    <w:rsid w:val="00303F10"/>
    <w:rsid w:val="00305521"/>
    <w:rsid w:val="00306D79"/>
    <w:rsid w:val="0030755A"/>
    <w:rsid w:val="003118C9"/>
    <w:rsid w:val="003158DA"/>
    <w:rsid w:val="00315A0E"/>
    <w:rsid w:val="0032055E"/>
    <w:rsid w:val="003222F8"/>
    <w:rsid w:val="00327731"/>
    <w:rsid w:val="00334D47"/>
    <w:rsid w:val="003448B3"/>
    <w:rsid w:val="00350DE4"/>
    <w:rsid w:val="003522AE"/>
    <w:rsid w:val="003573EF"/>
    <w:rsid w:val="00363588"/>
    <w:rsid w:val="00364C16"/>
    <w:rsid w:val="00367056"/>
    <w:rsid w:val="00367A71"/>
    <w:rsid w:val="00377BFF"/>
    <w:rsid w:val="0038184B"/>
    <w:rsid w:val="00383894"/>
    <w:rsid w:val="0038398B"/>
    <w:rsid w:val="00385CAB"/>
    <w:rsid w:val="00392448"/>
    <w:rsid w:val="003925C4"/>
    <w:rsid w:val="00392F8B"/>
    <w:rsid w:val="003971B5"/>
    <w:rsid w:val="003A2259"/>
    <w:rsid w:val="003A6F1A"/>
    <w:rsid w:val="003B4F94"/>
    <w:rsid w:val="003B5459"/>
    <w:rsid w:val="003B5F29"/>
    <w:rsid w:val="003C0222"/>
    <w:rsid w:val="003C044F"/>
    <w:rsid w:val="003C13A1"/>
    <w:rsid w:val="003C2A21"/>
    <w:rsid w:val="003C2B6E"/>
    <w:rsid w:val="003C4114"/>
    <w:rsid w:val="003C478B"/>
    <w:rsid w:val="003D0D24"/>
    <w:rsid w:val="003D2E86"/>
    <w:rsid w:val="003D45F2"/>
    <w:rsid w:val="003E20F4"/>
    <w:rsid w:val="003E3AEA"/>
    <w:rsid w:val="003E70C8"/>
    <w:rsid w:val="003F093C"/>
    <w:rsid w:val="003F6298"/>
    <w:rsid w:val="003F6CFE"/>
    <w:rsid w:val="003F6F55"/>
    <w:rsid w:val="0040301F"/>
    <w:rsid w:val="00403B57"/>
    <w:rsid w:val="00406AAA"/>
    <w:rsid w:val="00407623"/>
    <w:rsid w:val="00411253"/>
    <w:rsid w:val="00412048"/>
    <w:rsid w:val="00412E25"/>
    <w:rsid w:val="004144BA"/>
    <w:rsid w:val="00424542"/>
    <w:rsid w:val="00425DAF"/>
    <w:rsid w:val="00427EE2"/>
    <w:rsid w:val="00437209"/>
    <w:rsid w:val="00446565"/>
    <w:rsid w:val="0045304E"/>
    <w:rsid w:val="004533B6"/>
    <w:rsid w:val="00460232"/>
    <w:rsid w:val="00461C7D"/>
    <w:rsid w:val="004642F9"/>
    <w:rsid w:val="00471DFB"/>
    <w:rsid w:val="00473215"/>
    <w:rsid w:val="00474B78"/>
    <w:rsid w:val="0047590D"/>
    <w:rsid w:val="004819AD"/>
    <w:rsid w:val="00483D50"/>
    <w:rsid w:val="00484739"/>
    <w:rsid w:val="004848C8"/>
    <w:rsid w:val="00485105"/>
    <w:rsid w:val="004903F4"/>
    <w:rsid w:val="00493330"/>
    <w:rsid w:val="004968E1"/>
    <w:rsid w:val="004A5654"/>
    <w:rsid w:val="004A6536"/>
    <w:rsid w:val="004B3C5C"/>
    <w:rsid w:val="004B6B8B"/>
    <w:rsid w:val="004C1C94"/>
    <w:rsid w:val="004C3423"/>
    <w:rsid w:val="004C3ABA"/>
    <w:rsid w:val="004C6082"/>
    <w:rsid w:val="004D097B"/>
    <w:rsid w:val="004D4CB1"/>
    <w:rsid w:val="004D675A"/>
    <w:rsid w:val="004D6DFD"/>
    <w:rsid w:val="004E4000"/>
    <w:rsid w:val="004F4B9F"/>
    <w:rsid w:val="004F5C40"/>
    <w:rsid w:val="005052FA"/>
    <w:rsid w:val="00506327"/>
    <w:rsid w:val="00507555"/>
    <w:rsid w:val="005103A1"/>
    <w:rsid w:val="0051093C"/>
    <w:rsid w:val="00510CD4"/>
    <w:rsid w:val="00512312"/>
    <w:rsid w:val="00516525"/>
    <w:rsid w:val="005179FC"/>
    <w:rsid w:val="0052029C"/>
    <w:rsid w:val="00520FA0"/>
    <w:rsid w:val="00530E5D"/>
    <w:rsid w:val="005337F2"/>
    <w:rsid w:val="00537C08"/>
    <w:rsid w:val="00544FC0"/>
    <w:rsid w:val="0055173D"/>
    <w:rsid w:val="00552E6E"/>
    <w:rsid w:val="00563CE0"/>
    <w:rsid w:val="00564C84"/>
    <w:rsid w:val="00565865"/>
    <w:rsid w:val="00570826"/>
    <w:rsid w:val="00575A84"/>
    <w:rsid w:val="005771F4"/>
    <w:rsid w:val="005803AD"/>
    <w:rsid w:val="00584F63"/>
    <w:rsid w:val="005900EE"/>
    <w:rsid w:val="00592E8E"/>
    <w:rsid w:val="005A41A0"/>
    <w:rsid w:val="005B2906"/>
    <w:rsid w:val="005B48E5"/>
    <w:rsid w:val="005B4DBD"/>
    <w:rsid w:val="005B5818"/>
    <w:rsid w:val="005C15DC"/>
    <w:rsid w:val="005C1BB0"/>
    <w:rsid w:val="005C43C2"/>
    <w:rsid w:val="005D38B6"/>
    <w:rsid w:val="005D3A2C"/>
    <w:rsid w:val="005D4930"/>
    <w:rsid w:val="005D6D3C"/>
    <w:rsid w:val="005E1E01"/>
    <w:rsid w:val="005E2120"/>
    <w:rsid w:val="005E3C13"/>
    <w:rsid w:val="005E6B26"/>
    <w:rsid w:val="005E72C2"/>
    <w:rsid w:val="005E7F79"/>
    <w:rsid w:val="005F052D"/>
    <w:rsid w:val="005F78F6"/>
    <w:rsid w:val="00600119"/>
    <w:rsid w:val="00604528"/>
    <w:rsid w:val="00606009"/>
    <w:rsid w:val="0060627C"/>
    <w:rsid w:val="00606F3A"/>
    <w:rsid w:val="00607B0B"/>
    <w:rsid w:val="006128AE"/>
    <w:rsid w:val="0061442B"/>
    <w:rsid w:val="00617C84"/>
    <w:rsid w:val="00620273"/>
    <w:rsid w:val="00620942"/>
    <w:rsid w:val="00621D12"/>
    <w:rsid w:val="006301CC"/>
    <w:rsid w:val="006365C4"/>
    <w:rsid w:val="00636ACD"/>
    <w:rsid w:val="00643608"/>
    <w:rsid w:val="00645C55"/>
    <w:rsid w:val="00647C4B"/>
    <w:rsid w:val="00655840"/>
    <w:rsid w:val="00661634"/>
    <w:rsid w:val="00662179"/>
    <w:rsid w:val="00665E41"/>
    <w:rsid w:val="0067113B"/>
    <w:rsid w:val="00671369"/>
    <w:rsid w:val="006729F4"/>
    <w:rsid w:val="006775A1"/>
    <w:rsid w:val="00687083"/>
    <w:rsid w:val="006A2687"/>
    <w:rsid w:val="006A4E1E"/>
    <w:rsid w:val="006A7664"/>
    <w:rsid w:val="006B2D4E"/>
    <w:rsid w:val="006B7BC0"/>
    <w:rsid w:val="006C0F13"/>
    <w:rsid w:val="006C1955"/>
    <w:rsid w:val="006C3145"/>
    <w:rsid w:val="006C42AC"/>
    <w:rsid w:val="006C4508"/>
    <w:rsid w:val="006C6320"/>
    <w:rsid w:val="006C67AF"/>
    <w:rsid w:val="006D0958"/>
    <w:rsid w:val="006D31B2"/>
    <w:rsid w:val="006D6C24"/>
    <w:rsid w:val="006E10D0"/>
    <w:rsid w:val="006E56BE"/>
    <w:rsid w:val="006E6CC9"/>
    <w:rsid w:val="006F0220"/>
    <w:rsid w:val="006F0510"/>
    <w:rsid w:val="006F2071"/>
    <w:rsid w:val="006F4E77"/>
    <w:rsid w:val="006F6D3C"/>
    <w:rsid w:val="006F7768"/>
    <w:rsid w:val="00702B28"/>
    <w:rsid w:val="007140AA"/>
    <w:rsid w:val="00717823"/>
    <w:rsid w:val="00717CA4"/>
    <w:rsid w:val="0073358B"/>
    <w:rsid w:val="00737414"/>
    <w:rsid w:val="00740B1F"/>
    <w:rsid w:val="007440AE"/>
    <w:rsid w:val="007444C2"/>
    <w:rsid w:val="0074625A"/>
    <w:rsid w:val="00751D6C"/>
    <w:rsid w:val="0076359D"/>
    <w:rsid w:val="007646FE"/>
    <w:rsid w:val="00772241"/>
    <w:rsid w:val="00783841"/>
    <w:rsid w:val="007951A7"/>
    <w:rsid w:val="00795769"/>
    <w:rsid w:val="007A3F11"/>
    <w:rsid w:val="007A3F7F"/>
    <w:rsid w:val="007A45C5"/>
    <w:rsid w:val="007A495E"/>
    <w:rsid w:val="007B64D4"/>
    <w:rsid w:val="007C5A03"/>
    <w:rsid w:val="007D341E"/>
    <w:rsid w:val="007D7BAD"/>
    <w:rsid w:val="007E1C63"/>
    <w:rsid w:val="007E246A"/>
    <w:rsid w:val="007E2DC7"/>
    <w:rsid w:val="007E4672"/>
    <w:rsid w:val="007F1FA5"/>
    <w:rsid w:val="00803C3D"/>
    <w:rsid w:val="00804C11"/>
    <w:rsid w:val="00817909"/>
    <w:rsid w:val="00817F92"/>
    <w:rsid w:val="008264B5"/>
    <w:rsid w:val="008265A9"/>
    <w:rsid w:val="008304D8"/>
    <w:rsid w:val="008317EC"/>
    <w:rsid w:val="008327EF"/>
    <w:rsid w:val="00833781"/>
    <w:rsid w:val="0083566A"/>
    <w:rsid w:val="008365F1"/>
    <w:rsid w:val="0084078B"/>
    <w:rsid w:val="00846C0F"/>
    <w:rsid w:val="00850529"/>
    <w:rsid w:val="00850C7B"/>
    <w:rsid w:val="008553AB"/>
    <w:rsid w:val="00855618"/>
    <w:rsid w:val="00856318"/>
    <w:rsid w:val="008671DC"/>
    <w:rsid w:val="0087268B"/>
    <w:rsid w:val="00872C73"/>
    <w:rsid w:val="00872E6D"/>
    <w:rsid w:val="00876B38"/>
    <w:rsid w:val="00881E15"/>
    <w:rsid w:val="00884CC1"/>
    <w:rsid w:val="00884EEF"/>
    <w:rsid w:val="008861C1"/>
    <w:rsid w:val="0088756A"/>
    <w:rsid w:val="00893ADA"/>
    <w:rsid w:val="0089546D"/>
    <w:rsid w:val="008A2423"/>
    <w:rsid w:val="008A3D68"/>
    <w:rsid w:val="008A3D85"/>
    <w:rsid w:val="008B0D3D"/>
    <w:rsid w:val="008B5D44"/>
    <w:rsid w:val="008C0411"/>
    <w:rsid w:val="008C3B87"/>
    <w:rsid w:val="008D1160"/>
    <w:rsid w:val="008D6F3E"/>
    <w:rsid w:val="008E0400"/>
    <w:rsid w:val="008E0628"/>
    <w:rsid w:val="008E4D32"/>
    <w:rsid w:val="008E7355"/>
    <w:rsid w:val="008E7FDA"/>
    <w:rsid w:val="008F4586"/>
    <w:rsid w:val="008F76E4"/>
    <w:rsid w:val="008F7B65"/>
    <w:rsid w:val="00900A4A"/>
    <w:rsid w:val="00904079"/>
    <w:rsid w:val="009077D4"/>
    <w:rsid w:val="009102C8"/>
    <w:rsid w:val="009109F6"/>
    <w:rsid w:val="0092063F"/>
    <w:rsid w:val="00924DAF"/>
    <w:rsid w:val="0092786B"/>
    <w:rsid w:val="009340AE"/>
    <w:rsid w:val="00936C2C"/>
    <w:rsid w:val="00942A67"/>
    <w:rsid w:val="00951097"/>
    <w:rsid w:val="00960437"/>
    <w:rsid w:val="00962CD2"/>
    <w:rsid w:val="00963755"/>
    <w:rsid w:val="00967B14"/>
    <w:rsid w:val="0097052C"/>
    <w:rsid w:val="00975B6B"/>
    <w:rsid w:val="00977837"/>
    <w:rsid w:val="009831AA"/>
    <w:rsid w:val="0098378B"/>
    <w:rsid w:val="00984812"/>
    <w:rsid w:val="00990E55"/>
    <w:rsid w:val="009911C1"/>
    <w:rsid w:val="009A2A07"/>
    <w:rsid w:val="009A2A75"/>
    <w:rsid w:val="009A3271"/>
    <w:rsid w:val="009A3949"/>
    <w:rsid w:val="009A572E"/>
    <w:rsid w:val="009A710C"/>
    <w:rsid w:val="009A7922"/>
    <w:rsid w:val="009B07D4"/>
    <w:rsid w:val="009B0BAB"/>
    <w:rsid w:val="009B2880"/>
    <w:rsid w:val="009B4F32"/>
    <w:rsid w:val="009B5C97"/>
    <w:rsid w:val="009D32FC"/>
    <w:rsid w:val="009D4741"/>
    <w:rsid w:val="009E0D61"/>
    <w:rsid w:val="009E2AC2"/>
    <w:rsid w:val="009E569A"/>
    <w:rsid w:val="009F36FE"/>
    <w:rsid w:val="00A00D76"/>
    <w:rsid w:val="00A06F24"/>
    <w:rsid w:val="00A10095"/>
    <w:rsid w:val="00A14F7C"/>
    <w:rsid w:val="00A223B0"/>
    <w:rsid w:val="00A249F6"/>
    <w:rsid w:val="00A33F98"/>
    <w:rsid w:val="00A40A1C"/>
    <w:rsid w:val="00A4672D"/>
    <w:rsid w:val="00A50054"/>
    <w:rsid w:val="00A52692"/>
    <w:rsid w:val="00A52AE6"/>
    <w:rsid w:val="00A5741A"/>
    <w:rsid w:val="00A639A3"/>
    <w:rsid w:val="00A70682"/>
    <w:rsid w:val="00A71C7F"/>
    <w:rsid w:val="00A73BB0"/>
    <w:rsid w:val="00A73C4C"/>
    <w:rsid w:val="00A74950"/>
    <w:rsid w:val="00A866F7"/>
    <w:rsid w:val="00A90EDD"/>
    <w:rsid w:val="00A944D0"/>
    <w:rsid w:val="00A965F6"/>
    <w:rsid w:val="00A97B0E"/>
    <w:rsid w:val="00AA1C01"/>
    <w:rsid w:val="00AA214F"/>
    <w:rsid w:val="00AA22CE"/>
    <w:rsid w:val="00AA557A"/>
    <w:rsid w:val="00AA622A"/>
    <w:rsid w:val="00AB0B49"/>
    <w:rsid w:val="00AB4BD1"/>
    <w:rsid w:val="00AB58F3"/>
    <w:rsid w:val="00AB6137"/>
    <w:rsid w:val="00AB682F"/>
    <w:rsid w:val="00AC1BB2"/>
    <w:rsid w:val="00AC1D91"/>
    <w:rsid w:val="00AC29D5"/>
    <w:rsid w:val="00AC6CE6"/>
    <w:rsid w:val="00AD01EE"/>
    <w:rsid w:val="00AD261B"/>
    <w:rsid w:val="00AD334D"/>
    <w:rsid w:val="00AD4923"/>
    <w:rsid w:val="00AD62E1"/>
    <w:rsid w:val="00AD7531"/>
    <w:rsid w:val="00AE4E4D"/>
    <w:rsid w:val="00AE518C"/>
    <w:rsid w:val="00AE7CB8"/>
    <w:rsid w:val="00AF371A"/>
    <w:rsid w:val="00AF675E"/>
    <w:rsid w:val="00B037E5"/>
    <w:rsid w:val="00B16310"/>
    <w:rsid w:val="00B16393"/>
    <w:rsid w:val="00B16B45"/>
    <w:rsid w:val="00B17A7F"/>
    <w:rsid w:val="00B21E84"/>
    <w:rsid w:val="00B23322"/>
    <w:rsid w:val="00B243D7"/>
    <w:rsid w:val="00B27ACA"/>
    <w:rsid w:val="00B32E96"/>
    <w:rsid w:val="00B4033F"/>
    <w:rsid w:val="00B40DCC"/>
    <w:rsid w:val="00B47FF1"/>
    <w:rsid w:val="00B56371"/>
    <w:rsid w:val="00B56452"/>
    <w:rsid w:val="00B74A13"/>
    <w:rsid w:val="00B7576C"/>
    <w:rsid w:val="00B817E6"/>
    <w:rsid w:val="00B81D63"/>
    <w:rsid w:val="00B841FF"/>
    <w:rsid w:val="00B87160"/>
    <w:rsid w:val="00B91ADB"/>
    <w:rsid w:val="00BB73DC"/>
    <w:rsid w:val="00BC0167"/>
    <w:rsid w:val="00BC7128"/>
    <w:rsid w:val="00BD2C8F"/>
    <w:rsid w:val="00BD4316"/>
    <w:rsid w:val="00BD6260"/>
    <w:rsid w:val="00BD72F3"/>
    <w:rsid w:val="00BE45AC"/>
    <w:rsid w:val="00BF0C4C"/>
    <w:rsid w:val="00BF0ECA"/>
    <w:rsid w:val="00BF5345"/>
    <w:rsid w:val="00C05091"/>
    <w:rsid w:val="00C15C02"/>
    <w:rsid w:val="00C16945"/>
    <w:rsid w:val="00C213CC"/>
    <w:rsid w:val="00C24099"/>
    <w:rsid w:val="00C24259"/>
    <w:rsid w:val="00C350BD"/>
    <w:rsid w:val="00C43A1B"/>
    <w:rsid w:val="00C45207"/>
    <w:rsid w:val="00C455F8"/>
    <w:rsid w:val="00C5025E"/>
    <w:rsid w:val="00C55F8E"/>
    <w:rsid w:val="00C5612F"/>
    <w:rsid w:val="00C5667D"/>
    <w:rsid w:val="00C7105F"/>
    <w:rsid w:val="00C72317"/>
    <w:rsid w:val="00C72772"/>
    <w:rsid w:val="00C755B1"/>
    <w:rsid w:val="00C760A7"/>
    <w:rsid w:val="00C770C6"/>
    <w:rsid w:val="00C817A2"/>
    <w:rsid w:val="00C8182B"/>
    <w:rsid w:val="00C87AFA"/>
    <w:rsid w:val="00C90CC5"/>
    <w:rsid w:val="00C95981"/>
    <w:rsid w:val="00C9729F"/>
    <w:rsid w:val="00CB19F1"/>
    <w:rsid w:val="00CB2FAC"/>
    <w:rsid w:val="00CB3DAC"/>
    <w:rsid w:val="00CB4CCB"/>
    <w:rsid w:val="00CC339A"/>
    <w:rsid w:val="00CC3F64"/>
    <w:rsid w:val="00CD0535"/>
    <w:rsid w:val="00CD2DC6"/>
    <w:rsid w:val="00CD3A9D"/>
    <w:rsid w:val="00CE04D4"/>
    <w:rsid w:val="00CF4FD7"/>
    <w:rsid w:val="00CF58F3"/>
    <w:rsid w:val="00CF7E45"/>
    <w:rsid w:val="00D10847"/>
    <w:rsid w:val="00D115DB"/>
    <w:rsid w:val="00D118F7"/>
    <w:rsid w:val="00D11BC2"/>
    <w:rsid w:val="00D11E1F"/>
    <w:rsid w:val="00D20FF6"/>
    <w:rsid w:val="00D30342"/>
    <w:rsid w:val="00D322C7"/>
    <w:rsid w:val="00D35108"/>
    <w:rsid w:val="00D35230"/>
    <w:rsid w:val="00D40516"/>
    <w:rsid w:val="00D42F5A"/>
    <w:rsid w:val="00D46581"/>
    <w:rsid w:val="00D478F7"/>
    <w:rsid w:val="00D5053E"/>
    <w:rsid w:val="00D52CED"/>
    <w:rsid w:val="00D6108F"/>
    <w:rsid w:val="00D63A31"/>
    <w:rsid w:val="00D64C7C"/>
    <w:rsid w:val="00D66991"/>
    <w:rsid w:val="00D72AF6"/>
    <w:rsid w:val="00D72E36"/>
    <w:rsid w:val="00D75EAA"/>
    <w:rsid w:val="00D77060"/>
    <w:rsid w:val="00D8275D"/>
    <w:rsid w:val="00D87B8A"/>
    <w:rsid w:val="00D94EEF"/>
    <w:rsid w:val="00D96B94"/>
    <w:rsid w:val="00D971D8"/>
    <w:rsid w:val="00DA3B74"/>
    <w:rsid w:val="00DB34A5"/>
    <w:rsid w:val="00DB5AF5"/>
    <w:rsid w:val="00DB6ADC"/>
    <w:rsid w:val="00DC2B2A"/>
    <w:rsid w:val="00DC4D89"/>
    <w:rsid w:val="00DD21C0"/>
    <w:rsid w:val="00DD496D"/>
    <w:rsid w:val="00DD589D"/>
    <w:rsid w:val="00DD72E3"/>
    <w:rsid w:val="00DE206A"/>
    <w:rsid w:val="00DE283B"/>
    <w:rsid w:val="00DF2220"/>
    <w:rsid w:val="00DF3940"/>
    <w:rsid w:val="00E03421"/>
    <w:rsid w:val="00E10548"/>
    <w:rsid w:val="00E123DF"/>
    <w:rsid w:val="00E20F5B"/>
    <w:rsid w:val="00E2396D"/>
    <w:rsid w:val="00E36E4D"/>
    <w:rsid w:val="00E44F68"/>
    <w:rsid w:val="00E45102"/>
    <w:rsid w:val="00E457D5"/>
    <w:rsid w:val="00E518D0"/>
    <w:rsid w:val="00E61658"/>
    <w:rsid w:val="00E67BAC"/>
    <w:rsid w:val="00E76421"/>
    <w:rsid w:val="00E772D4"/>
    <w:rsid w:val="00E87D0A"/>
    <w:rsid w:val="00E91613"/>
    <w:rsid w:val="00EA7DD8"/>
    <w:rsid w:val="00EB0A19"/>
    <w:rsid w:val="00EB6189"/>
    <w:rsid w:val="00EC027F"/>
    <w:rsid w:val="00EC3AF8"/>
    <w:rsid w:val="00EC51F0"/>
    <w:rsid w:val="00ED3413"/>
    <w:rsid w:val="00ED449A"/>
    <w:rsid w:val="00ED6375"/>
    <w:rsid w:val="00EE4013"/>
    <w:rsid w:val="00EE4DAC"/>
    <w:rsid w:val="00EF2680"/>
    <w:rsid w:val="00EF5A1E"/>
    <w:rsid w:val="00EF5E9E"/>
    <w:rsid w:val="00F02380"/>
    <w:rsid w:val="00F0768B"/>
    <w:rsid w:val="00F10B40"/>
    <w:rsid w:val="00F21AC6"/>
    <w:rsid w:val="00F244F2"/>
    <w:rsid w:val="00F2677C"/>
    <w:rsid w:val="00F32888"/>
    <w:rsid w:val="00F32D18"/>
    <w:rsid w:val="00F34CDC"/>
    <w:rsid w:val="00F34D3A"/>
    <w:rsid w:val="00F354B8"/>
    <w:rsid w:val="00F35DF5"/>
    <w:rsid w:val="00F46A5C"/>
    <w:rsid w:val="00F54DC3"/>
    <w:rsid w:val="00F55442"/>
    <w:rsid w:val="00F57387"/>
    <w:rsid w:val="00F604DA"/>
    <w:rsid w:val="00F65747"/>
    <w:rsid w:val="00F7175C"/>
    <w:rsid w:val="00F750CD"/>
    <w:rsid w:val="00F822D1"/>
    <w:rsid w:val="00F83394"/>
    <w:rsid w:val="00F93155"/>
    <w:rsid w:val="00F94A30"/>
    <w:rsid w:val="00FA5716"/>
    <w:rsid w:val="00FA774A"/>
    <w:rsid w:val="00FB50A1"/>
    <w:rsid w:val="00FB706D"/>
    <w:rsid w:val="00FC1DAF"/>
    <w:rsid w:val="00FC4894"/>
    <w:rsid w:val="00FC5D4A"/>
    <w:rsid w:val="00FC7BBA"/>
    <w:rsid w:val="00FD123F"/>
    <w:rsid w:val="00FD19A1"/>
    <w:rsid w:val="00FD1CBD"/>
    <w:rsid w:val="00FD20E7"/>
    <w:rsid w:val="00FD23C1"/>
    <w:rsid w:val="00FE58B5"/>
    <w:rsid w:val="00FE5A96"/>
    <w:rsid w:val="00FE7454"/>
    <w:rsid w:val="00FF0633"/>
    <w:rsid w:val="00FF6147"/>
    <w:rsid w:val="00FF6D1C"/>
    <w:rsid w:val="01163631"/>
    <w:rsid w:val="013B4C5C"/>
    <w:rsid w:val="01590F7B"/>
    <w:rsid w:val="01A609B2"/>
    <w:rsid w:val="01AE5822"/>
    <w:rsid w:val="01C8728C"/>
    <w:rsid w:val="01D60B10"/>
    <w:rsid w:val="01F62F61"/>
    <w:rsid w:val="028921A6"/>
    <w:rsid w:val="028F3F25"/>
    <w:rsid w:val="02D47374"/>
    <w:rsid w:val="02E714AA"/>
    <w:rsid w:val="032D713F"/>
    <w:rsid w:val="035120C2"/>
    <w:rsid w:val="035D089B"/>
    <w:rsid w:val="03655659"/>
    <w:rsid w:val="037529C4"/>
    <w:rsid w:val="03C74658"/>
    <w:rsid w:val="04024AE3"/>
    <w:rsid w:val="043633B0"/>
    <w:rsid w:val="044747D9"/>
    <w:rsid w:val="04532E35"/>
    <w:rsid w:val="048945A5"/>
    <w:rsid w:val="04C67192"/>
    <w:rsid w:val="04D47C3C"/>
    <w:rsid w:val="05192604"/>
    <w:rsid w:val="059A1764"/>
    <w:rsid w:val="05BB0D5E"/>
    <w:rsid w:val="05E5104C"/>
    <w:rsid w:val="05E971BA"/>
    <w:rsid w:val="0616350B"/>
    <w:rsid w:val="065B1CA5"/>
    <w:rsid w:val="066657A5"/>
    <w:rsid w:val="06B70A90"/>
    <w:rsid w:val="06C0094F"/>
    <w:rsid w:val="06C7057B"/>
    <w:rsid w:val="06D8475C"/>
    <w:rsid w:val="070C5A58"/>
    <w:rsid w:val="0713215D"/>
    <w:rsid w:val="07465521"/>
    <w:rsid w:val="076B431B"/>
    <w:rsid w:val="07AE1AC5"/>
    <w:rsid w:val="07B812D6"/>
    <w:rsid w:val="07C96994"/>
    <w:rsid w:val="07CE137A"/>
    <w:rsid w:val="07D102B9"/>
    <w:rsid w:val="08B758D2"/>
    <w:rsid w:val="08BA1099"/>
    <w:rsid w:val="08EC1F61"/>
    <w:rsid w:val="09176CEA"/>
    <w:rsid w:val="09806F24"/>
    <w:rsid w:val="09B13A88"/>
    <w:rsid w:val="09B955BA"/>
    <w:rsid w:val="09D10824"/>
    <w:rsid w:val="09EB621C"/>
    <w:rsid w:val="0A857219"/>
    <w:rsid w:val="0AAF3B94"/>
    <w:rsid w:val="0B0A13BE"/>
    <w:rsid w:val="0B2B1404"/>
    <w:rsid w:val="0B2E615B"/>
    <w:rsid w:val="0B5C6BB9"/>
    <w:rsid w:val="0B72489B"/>
    <w:rsid w:val="0B7820DB"/>
    <w:rsid w:val="0BE16664"/>
    <w:rsid w:val="0C276A3E"/>
    <w:rsid w:val="0C517711"/>
    <w:rsid w:val="0C542A0F"/>
    <w:rsid w:val="0C975970"/>
    <w:rsid w:val="0C9F4293"/>
    <w:rsid w:val="0CCB2690"/>
    <w:rsid w:val="0D477FC8"/>
    <w:rsid w:val="0E3A2A41"/>
    <w:rsid w:val="0EFF0614"/>
    <w:rsid w:val="0F217CD8"/>
    <w:rsid w:val="0F3366F1"/>
    <w:rsid w:val="0F4559EE"/>
    <w:rsid w:val="0F5F0E7D"/>
    <w:rsid w:val="0FA933FE"/>
    <w:rsid w:val="0FB275D7"/>
    <w:rsid w:val="0FBB71CF"/>
    <w:rsid w:val="0FC252FE"/>
    <w:rsid w:val="1027405F"/>
    <w:rsid w:val="109E49A8"/>
    <w:rsid w:val="11240D6D"/>
    <w:rsid w:val="116B6768"/>
    <w:rsid w:val="1185783F"/>
    <w:rsid w:val="118A07DB"/>
    <w:rsid w:val="11A33F33"/>
    <w:rsid w:val="11E415C3"/>
    <w:rsid w:val="124279CC"/>
    <w:rsid w:val="124D500F"/>
    <w:rsid w:val="125B488D"/>
    <w:rsid w:val="126128B3"/>
    <w:rsid w:val="132F3FE1"/>
    <w:rsid w:val="13530207"/>
    <w:rsid w:val="139C3A80"/>
    <w:rsid w:val="13E16355"/>
    <w:rsid w:val="13F8636B"/>
    <w:rsid w:val="14327A64"/>
    <w:rsid w:val="143B23F6"/>
    <w:rsid w:val="14433046"/>
    <w:rsid w:val="144C6425"/>
    <w:rsid w:val="145E5FB0"/>
    <w:rsid w:val="14680EF5"/>
    <w:rsid w:val="14D85F66"/>
    <w:rsid w:val="14ED5F6A"/>
    <w:rsid w:val="152F1FB7"/>
    <w:rsid w:val="155648A5"/>
    <w:rsid w:val="156D0F50"/>
    <w:rsid w:val="15B413CD"/>
    <w:rsid w:val="15B75521"/>
    <w:rsid w:val="15CD2D22"/>
    <w:rsid w:val="15FC231F"/>
    <w:rsid w:val="16091973"/>
    <w:rsid w:val="162F0FCC"/>
    <w:rsid w:val="165C172E"/>
    <w:rsid w:val="16837BA7"/>
    <w:rsid w:val="16BC6358"/>
    <w:rsid w:val="16C07BD1"/>
    <w:rsid w:val="16C73A39"/>
    <w:rsid w:val="16ED6B48"/>
    <w:rsid w:val="17116CD6"/>
    <w:rsid w:val="173728A6"/>
    <w:rsid w:val="17593E2C"/>
    <w:rsid w:val="17F7CAE0"/>
    <w:rsid w:val="181347CA"/>
    <w:rsid w:val="18A40AAC"/>
    <w:rsid w:val="18CE2FDD"/>
    <w:rsid w:val="18D5514D"/>
    <w:rsid w:val="18FFBDCC"/>
    <w:rsid w:val="19715320"/>
    <w:rsid w:val="1978417A"/>
    <w:rsid w:val="19824017"/>
    <w:rsid w:val="19A735C8"/>
    <w:rsid w:val="1A027DA2"/>
    <w:rsid w:val="1A102681"/>
    <w:rsid w:val="1A7C25F1"/>
    <w:rsid w:val="1AAE0524"/>
    <w:rsid w:val="1AAF3685"/>
    <w:rsid w:val="1AB55193"/>
    <w:rsid w:val="1AD66518"/>
    <w:rsid w:val="1AEA3A71"/>
    <w:rsid w:val="1B0054A2"/>
    <w:rsid w:val="1B053815"/>
    <w:rsid w:val="1B5E1D6C"/>
    <w:rsid w:val="1B812311"/>
    <w:rsid w:val="1BAE3B2A"/>
    <w:rsid w:val="1BBD090D"/>
    <w:rsid w:val="1C08161C"/>
    <w:rsid w:val="1C1370CE"/>
    <w:rsid w:val="1C16232F"/>
    <w:rsid w:val="1C202FD1"/>
    <w:rsid w:val="1C310E90"/>
    <w:rsid w:val="1C381D4A"/>
    <w:rsid w:val="1C556B51"/>
    <w:rsid w:val="1CE42C60"/>
    <w:rsid w:val="1CF63A46"/>
    <w:rsid w:val="1D135014"/>
    <w:rsid w:val="1D1E2CED"/>
    <w:rsid w:val="1D202CCC"/>
    <w:rsid w:val="1D51184D"/>
    <w:rsid w:val="1D6F4403"/>
    <w:rsid w:val="1D770DA6"/>
    <w:rsid w:val="1D9D6F95"/>
    <w:rsid w:val="1DFF9370"/>
    <w:rsid w:val="1E20547D"/>
    <w:rsid w:val="1E5006A4"/>
    <w:rsid w:val="1F1E24B0"/>
    <w:rsid w:val="1F3526FE"/>
    <w:rsid w:val="1F3D24AD"/>
    <w:rsid w:val="1F3F2276"/>
    <w:rsid w:val="1F6315E4"/>
    <w:rsid w:val="1F75016F"/>
    <w:rsid w:val="1FB62F37"/>
    <w:rsid w:val="1FC55BF9"/>
    <w:rsid w:val="1FE963D3"/>
    <w:rsid w:val="1FEA1F08"/>
    <w:rsid w:val="1FF33FF2"/>
    <w:rsid w:val="1FFA9E6D"/>
    <w:rsid w:val="1FFC2298"/>
    <w:rsid w:val="1FFF7341"/>
    <w:rsid w:val="1FFF7DD9"/>
    <w:rsid w:val="203B7FFC"/>
    <w:rsid w:val="203C5240"/>
    <w:rsid w:val="203F4E54"/>
    <w:rsid w:val="20526FEB"/>
    <w:rsid w:val="20770593"/>
    <w:rsid w:val="20837091"/>
    <w:rsid w:val="20841B59"/>
    <w:rsid w:val="209D2EF4"/>
    <w:rsid w:val="20AD2B13"/>
    <w:rsid w:val="20C23375"/>
    <w:rsid w:val="20EB756B"/>
    <w:rsid w:val="20EE4C58"/>
    <w:rsid w:val="211D0178"/>
    <w:rsid w:val="2122370E"/>
    <w:rsid w:val="214747EC"/>
    <w:rsid w:val="21654FD3"/>
    <w:rsid w:val="21741B56"/>
    <w:rsid w:val="21894AEB"/>
    <w:rsid w:val="21B663AB"/>
    <w:rsid w:val="2204443B"/>
    <w:rsid w:val="220B1CB6"/>
    <w:rsid w:val="220B2FD0"/>
    <w:rsid w:val="221D74CF"/>
    <w:rsid w:val="223B48C5"/>
    <w:rsid w:val="227A033C"/>
    <w:rsid w:val="229E741D"/>
    <w:rsid w:val="22BB4351"/>
    <w:rsid w:val="22CF3469"/>
    <w:rsid w:val="22F62E5B"/>
    <w:rsid w:val="236D1548"/>
    <w:rsid w:val="238709B9"/>
    <w:rsid w:val="239B7490"/>
    <w:rsid w:val="23DE69AA"/>
    <w:rsid w:val="24491AF7"/>
    <w:rsid w:val="24B61418"/>
    <w:rsid w:val="256112DB"/>
    <w:rsid w:val="25730FB6"/>
    <w:rsid w:val="25796B87"/>
    <w:rsid w:val="259B7A0F"/>
    <w:rsid w:val="25A428A8"/>
    <w:rsid w:val="261536C6"/>
    <w:rsid w:val="265602F6"/>
    <w:rsid w:val="26604FD1"/>
    <w:rsid w:val="26AF67B6"/>
    <w:rsid w:val="26EB2653"/>
    <w:rsid w:val="27066D10"/>
    <w:rsid w:val="273A4321"/>
    <w:rsid w:val="2763591F"/>
    <w:rsid w:val="2764214C"/>
    <w:rsid w:val="27921D02"/>
    <w:rsid w:val="2799554A"/>
    <w:rsid w:val="27FC2366"/>
    <w:rsid w:val="281224AE"/>
    <w:rsid w:val="28455E03"/>
    <w:rsid w:val="28A14640"/>
    <w:rsid w:val="28B7619E"/>
    <w:rsid w:val="29480D08"/>
    <w:rsid w:val="29670639"/>
    <w:rsid w:val="29A246CE"/>
    <w:rsid w:val="2A2A4D48"/>
    <w:rsid w:val="2A321588"/>
    <w:rsid w:val="2A34545A"/>
    <w:rsid w:val="2A8C08CD"/>
    <w:rsid w:val="2A8D6C07"/>
    <w:rsid w:val="2AAF01A4"/>
    <w:rsid w:val="2AD351A9"/>
    <w:rsid w:val="2AD96AE2"/>
    <w:rsid w:val="2AFA058B"/>
    <w:rsid w:val="2B362AC3"/>
    <w:rsid w:val="2B411F12"/>
    <w:rsid w:val="2B4C5398"/>
    <w:rsid w:val="2B8479A2"/>
    <w:rsid w:val="2BA472A4"/>
    <w:rsid w:val="2BA90232"/>
    <w:rsid w:val="2BAA11D5"/>
    <w:rsid w:val="2BCA2257"/>
    <w:rsid w:val="2BD94BFC"/>
    <w:rsid w:val="2C08553F"/>
    <w:rsid w:val="2C4A3D81"/>
    <w:rsid w:val="2C5C10AA"/>
    <w:rsid w:val="2C6170A5"/>
    <w:rsid w:val="2C740E10"/>
    <w:rsid w:val="2CAD0457"/>
    <w:rsid w:val="2CD825A0"/>
    <w:rsid w:val="2CF90742"/>
    <w:rsid w:val="2D1E1867"/>
    <w:rsid w:val="2D2912A7"/>
    <w:rsid w:val="2D43593D"/>
    <w:rsid w:val="2D493407"/>
    <w:rsid w:val="2D547854"/>
    <w:rsid w:val="2D55759C"/>
    <w:rsid w:val="2D6A38B5"/>
    <w:rsid w:val="2D746E50"/>
    <w:rsid w:val="2D853CD4"/>
    <w:rsid w:val="2D893379"/>
    <w:rsid w:val="2D991E2E"/>
    <w:rsid w:val="2D9C3FBB"/>
    <w:rsid w:val="2DA96174"/>
    <w:rsid w:val="2DACCC11"/>
    <w:rsid w:val="2DF12183"/>
    <w:rsid w:val="2E082C92"/>
    <w:rsid w:val="2E1E4ADA"/>
    <w:rsid w:val="2E3341E4"/>
    <w:rsid w:val="2E4B6ADE"/>
    <w:rsid w:val="2E4F792C"/>
    <w:rsid w:val="2E503C4A"/>
    <w:rsid w:val="2EF86900"/>
    <w:rsid w:val="2F3405FE"/>
    <w:rsid w:val="2F3BA3C2"/>
    <w:rsid w:val="2F570D99"/>
    <w:rsid w:val="2F8E52E4"/>
    <w:rsid w:val="2FADD7D7"/>
    <w:rsid w:val="2FC07BC7"/>
    <w:rsid w:val="2FDB31C4"/>
    <w:rsid w:val="2FFF0B50"/>
    <w:rsid w:val="304F6BE7"/>
    <w:rsid w:val="306233EC"/>
    <w:rsid w:val="30895E4B"/>
    <w:rsid w:val="309F2BB5"/>
    <w:rsid w:val="30B5375E"/>
    <w:rsid w:val="30EC7CBF"/>
    <w:rsid w:val="315D1798"/>
    <w:rsid w:val="31817803"/>
    <w:rsid w:val="31FB7710"/>
    <w:rsid w:val="322C5C7A"/>
    <w:rsid w:val="323E367C"/>
    <w:rsid w:val="3268192E"/>
    <w:rsid w:val="32C1789A"/>
    <w:rsid w:val="331120E3"/>
    <w:rsid w:val="33285455"/>
    <w:rsid w:val="3347059C"/>
    <w:rsid w:val="335F3754"/>
    <w:rsid w:val="3363715D"/>
    <w:rsid w:val="33712251"/>
    <w:rsid w:val="337F8AD7"/>
    <w:rsid w:val="33852413"/>
    <w:rsid w:val="33945D73"/>
    <w:rsid w:val="33CB35AF"/>
    <w:rsid w:val="33EFFDB2"/>
    <w:rsid w:val="34194C00"/>
    <w:rsid w:val="341B2E41"/>
    <w:rsid w:val="341C3FDA"/>
    <w:rsid w:val="348674CE"/>
    <w:rsid w:val="348D3F92"/>
    <w:rsid w:val="350027AC"/>
    <w:rsid w:val="351F09E0"/>
    <w:rsid w:val="35275613"/>
    <w:rsid w:val="353D024B"/>
    <w:rsid w:val="35704F48"/>
    <w:rsid w:val="35987113"/>
    <w:rsid w:val="35DF574A"/>
    <w:rsid w:val="35E478C2"/>
    <w:rsid w:val="363249A7"/>
    <w:rsid w:val="367FCEDC"/>
    <w:rsid w:val="36856700"/>
    <w:rsid w:val="36A33923"/>
    <w:rsid w:val="36BB23F2"/>
    <w:rsid w:val="36E15B18"/>
    <w:rsid w:val="370D927A"/>
    <w:rsid w:val="373F0677"/>
    <w:rsid w:val="37DE0159"/>
    <w:rsid w:val="37DF2759"/>
    <w:rsid w:val="37E3CED0"/>
    <w:rsid w:val="37F82D7F"/>
    <w:rsid w:val="38123D9C"/>
    <w:rsid w:val="38256F9C"/>
    <w:rsid w:val="382D72D9"/>
    <w:rsid w:val="38417D8A"/>
    <w:rsid w:val="385065AA"/>
    <w:rsid w:val="387F6AEC"/>
    <w:rsid w:val="38934A8A"/>
    <w:rsid w:val="38F76DB3"/>
    <w:rsid w:val="38FF562B"/>
    <w:rsid w:val="390C0615"/>
    <w:rsid w:val="391B515B"/>
    <w:rsid w:val="393E76DF"/>
    <w:rsid w:val="395944CF"/>
    <w:rsid w:val="395B2348"/>
    <w:rsid w:val="398E7BB4"/>
    <w:rsid w:val="399E04B5"/>
    <w:rsid w:val="39A21BCC"/>
    <w:rsid w:val="3A206B2C"/>
    <w:rsid w:val="3A3B2CDF"/>
    <w:rsid w:val="3A7A0CA1"/>
    <w:rsid w:val="3A8D0EFC"/>
    <w:rsid w:val="3AA43052"/>
    <w:rsid w:val="3ABF58EF"/>
    <w:rsid w:val="3B50738E"/>
    <w:rsid w:val="3B5B5A98"/>
    <w:rsid w:val="3B62792E"/>
    <w:rsid w:val="3BA2153F"/>
    <w:rsid w:val="3BAA0D70"/>
    <w:rsid w:val="3BBCBFB7"/>
    <w:rsid w:val="3C105CF7"/>
    <w:rsid w:val="3C43474B"/>
    <w:rsid w:val="3C5F6A31"/>
    <w:rsid w:val="3C6E3EAF"/>
    <w:rsid w:val="3C7D3BFC"/>
    <w:rsid w:val="3CCE1103"/>
    <w:rsid w:val="3CFA41CB"/>
    <w:rsid w:val="3D430332"/>
    <w:rsid w:val="3D563C38"/>
    <w:rsid w:val="3D6D81E3"/>
    <w:rsid w:val="3D8F59C3"/>
    <w:rsid w:val="3DAE28AD"/>
    <w:rsid w:val="3DCB2F00"/>
    <w:rsid w:val="3DEA45C5"/>
    <w:rsid w:val="3DEF178D"/>
    <w:rsid w:val="3DFFBF53"/>
    <w:rsid w:val="3DFFC939"/>
    <w:rsid w:val="3E1A10F2"/>
    <w:rsid w:val="3E2D45E9"/>
    <w:rsid w:val="3E532CFC"/>
    <w:rsid w:val="3EDC80F0"/>
    <w:rsid w:val="3EFF105A"/>
    <w:rsid w:val="3F290279"/>
    <w:rsid w:val="3F3444A2"/>
    <w:rsid w:val="3F5060E9"/>
    <w:rsid w:val="3F5DB466"/>
    <w:rsid w:val="3F5DB7DD"/>
    <w:rsid w:val="3F7F4BBF"/>
    <w:rsid w:val="3FBC6EE5"/>
    <w:rsid w:val="3FBF1A9A"/>
    <w:rsid w:val="3FBFF66F"/>
    <w:rsid w:val="3FCB4A63"/>
    <w:rsid w:val="3FE90E14"/>
    <w:rsid w:val="3FF399C1"/>
    <w:rsid w:val="40170402"/>
    <w:rsid w:val="408465A9"/>
    <w:rsid w:val="40B35079"/>
    <w:rsid w:val="40C632C5"/>
    <w:rsid w:val="410C550E"/>
    <w:rsid w:val="4125068B"/>
    <w:rsid w:val="41384420"/>
    <w:rsid w:val="41E6662C"/>
    <w:rsid w:val="41F004F4"/>
    <w:rsid w:val="4211575E"/>
    <w:rsid w:val="42435FA0"/>
    <w:rsid w:val="427B03B1"/>
    <w:rsid w:val="429228F0"/>
    <w:rsid w:val="4293023C"/>
    <w:rsid w:val="43305DBA"/>
    <w:rsid w:val="433D7A61"/>
    <w:rsid w:val="436010DE"/>
    <w:rsid w:val="438367D3"/>
    <w:rsid w:val="43E500FE"/>
    <w:rsid w:val="44126BEE"/>
    <w:rsid w:val="44D844AA"/>
    <w:rsid w:val="455E344B"/>
    <w:rsid w:val="456443B5"/>
    <w:rsid w:val="45984E2A"/>
    <w:rsid w:val="459B01E7"/>
    <w:rsid w:val="45EE4D65"/>
    <w:rsid w:val="460300BB"/>
    <w:rsid w:val="46053795"/>
    <w:rsid w:val="461D00CA"/>
    <w:rsid w:val="46634344"/>
    <w:rsid w:val="46641912"/>
    <w:rsid w:val="46675AAB"/>
    <w:rsid w:val="468F26F1"/>
    <w:rsid w:val="46BA24C9"/>
    <w:rsid w:val="46E56A5F"/>
    <w:rsid w:val="46EE70CF"/>
    <w:rsid w:val="47246636"/>
    <w:rsid w:val="47552708"/>
    <w:rsid w:val="47BD3634"/>
    <w:rsid w:val="47BF3FC0"/>
    <w:rsid w:val="4870267D"/>
    <w:rsid w:val="489F7B9B"/>
    <w:rsid w:val="49043737"/>
    <w:rsid w:val="49680E30"/>
    <w:rsid w:val="49C32947"/>
    <w:rsid w:val="49DA3BE3"/>
    <w:rsid w:val="49DF0885"/>
    <w:rsid w:val="49F985A2"/>
    <w:rsid w:val="4A084BAC"/>
    <w:rsid w:val="4A0F2197"/>
    <w:rsid w:val="4A1839ED"/>
    <w:rsid w:val="4A2E7C17"/>
    <w:rsid w:val="4A347A92"/>
    <w:rsid w:val="4A431C98"/>
    <w:rsid w:val="4A476612"/>
    <w:rsid w:val="4A51753B"/>
    <w:rsid w:val="4A591145"/>
    <w:rsid w:val="4A615663"/>
    <w:rsid w:val="4A61648B"/>
    <w:rsid w:val="4A81369F"/>
    <w:rsid w:val="4A844A99"/>
    <w:rsid w:val="4A922E61"/>
    <w:rsid w:val="4AA550AD"/>
    <w:rsid w:val="4AB61CA3"/>
    <w:rsid w:val="4AC401DD"/>
    <w:rsid w:val="4AE45FE2"/>
    <w:rsid w:val="4AEA23D0"/>
    <w:rsid w:val="4B2109D1"/>
    <w:rsid w:val="4B3957BA"/>
    <w:rsid w:val="4B702A09"/>
    <w:rsid w:val="4B892C0C"/>
    <w:rsid w:val="4BCB5224"/>
    <w:rsid w:val="4BF263DC"/>
    <w:rsid w:val="4C0F4CA2"/>
    <w:rsid w:val="4C1970C4"/>
    <w:rsid w:val="4C1B5D54"/>
    <w:rsid w:val="4C7934FA"/>
    <w:rsid w:val="4CC65BCD"/>
    <w:rsid w:val="4CE26D21"/>
    <w:rsid w:val="4D11550B"/>
    <w:rsid w:val="4D430771"/>
    <w:rsid w:val="4D9C59EA"/>
    <w:rsid w:val="4DA3670B"/>
    <w:rsid w:val="4DD208BB"/>
    <w:rsid w:val="4DF61520"/>
    <w:rsid w:val="4E044D35"/>
    <w:rsid w:val="4E0B3B20"/>
    <w:rsid w:val="4E217BE3"/>
    <w:rsid w:val="4E6D4AC3"/>
    <w:rsid w:val="4EA926A1"/>
    <w:rsid w:val="4EAB5194"/>
    <w:rsid w:val="4EBBF786"/>
    <w:rsid w:val="4EF1574E"/>
    <w:rsid w:val="4F0A0EE8"/>
    <w:rsid w:val="4F1778C7"/>
    <w:rsid w:val="4F234057"/>
    <w:rsid w:val="4F5A6589"/>
    <w:rsid w:val="4F8D1CBB"/>
    <w:rsid w:val="4FA706DD"/>
    <w:rsid w:val="4FBF2ED5"/>
    <w:rsid w:val="4FDC2893"/>
    <w:rsid w:val="5047219B"/>
    <w:rsid w:val="5091632F"/>
    <w:rsid w:val="50B8571F"/>
    <w:rsid w:val="50BE27F5"/>
    <w:rsid w:val="51005B6E"/>
    <w:rsid w:val="51705D0A"/>
    <w:rsid w:val="51803E16"/>
    <w:rsid w:val="51922560"/>
    <w:rsid w:val="51E61E90"/>
    <w:rsid w:val="520E0CE3"/>
    <w:rsid w:val="52792822"/>
    <w:rsid w:val="52983888"/>
    <w:rsid w:val="52B97BB0"/>
    <w:rsid w:val="52BB3B6B"/>
    <w:rsid w:val="52C527D2"/>
    <w:rsid w:val="52CA7A29"/>
    <w:rsid w:val="52D26933"/>
    <w:rsid w:val="53073C23"/>
    <w:rsid w:val="53163453"/>
    <w:rsid w:val="5330647B"/>
    <w:rsid w:val="533B33F8"/>
    <w:rsid w:val="534759AD"/>
    <w:rsid w:val="53527716"/>
    <w:rsid w:val="537E55D1"/>
    <w:rsid w:val="5415414D"/>
    <w:rsid w:val="541C448D"/>
    <w:rsid w:val="5423698D"/>
    <w:rsid w:val="542C7B18"/>
    <w:rsid w:val="54711238"/>
    <w:rsid w:val="547E3AC6"/>
    <w:rsid w:val="54C16DA5"/>
    <w:rsid w:val="54CC3DF6"/>
    <w:rsid w:val="54DB3EBF"/>
    <w:rsid w:val="5529748F"/>
    <w:rsid w:val="552B0995"/>
    <w:rsid w:val="55516E38"/>
    <w:rsid w:val="557F3092"/>
    <w:rsid w:val="558B78EF"/>
    <w:rsid w:val="55A327B0"/>
    <w:rsid w:val="55F231C8"/>
    <w:rsid w:val="55FF28B2"/>
    <w:rsid w:val="561E00D5"/>
    <w:rsid w:val="565D4EE0"/>
    <w:rsid w:val="566A7746"/>
    <w:rsid w:val="567B7F7C"/>
    <w:rsid w:val="568C57F2"/>
    <w:rsid w:val="569119DF"/>
    <w:rsid w:val="56A520F5"/>
    <w:rsid w:val="56A603BA"/>
    <w:rsid w:val="56FF30A1"/>
    <w:rsid w:val="570A16BE"/>
    <w:rsid w:val="5710317E"/>
    <w:rsid w:val="572951D4"/>
    <w:rsid w:val="572954B2"/>
    <w:rsid w:val="5734026E"/>
    <w:rsid w:val="5767491A"/>
    <w:rsid w:val="5768432B"/>
    <w:rsid w:val="57B741B2"/>
    <w:rsid w:val="57E2FD80"/>
    <w:rsid w:val="57EB4BB0"/>
    <w:rsid w:val="580B6F63"/>
    <w:rsid w:val="581B3B02"/>
    <w:rsid w:val="587720B8"/>
    <w:rsid w:val="58841B2D"/>
    <w:rsid w:val="588976B1"/>
    <w:rsid w:val="588A6004"/>
    <w:rsid w:val="58FD38A7"/>
    <w:rsid w:val="591267B0"/>
    <w:rsid w:val="59484ACB"/>
    <w:rsid w:val="59573B63"/>
    <w:rsid w:val="5973309F"/>
    <w:rsid w:val="59743E1C"/>
    <w:rsid w:val="598906A2"/>
    <w:rsid w:val="59CA0284"/>
    <w:rsid w:val="59DC255C"/>
    <w:rsid w:val="59EBBDBF"/>
    <w:rsid w:val="5A46296F"/>
    <w:rsid w:val="5A642AA6"/>
    <w:rsid w:val="5B284B2A"/>
    <w:rsid w:val="5B3C2907"/>
    <w:rsid w:val="5B4D1693"/>
    <w:rsid w:val="5B713364"/>
    <w:rsid w:val="5B7ECF0B"/>
    <w:rsid w:val="5B896E9B"/>
    <w:rsid w:val="5BAF0879"/>
    <w:rsid w:val="5BBD121C"/>
    <w:rsid w:val="5BEB40A6"/>
    <w:rsid w:val="5C09121D"/>
    <w:rsid w:val="5C187B90"/>
    <w:rsid w:val="5C1D7CCA"/>
    <w:rsid w:val="5C3349CD"/>
    <w:rsid w:val="5C58350D"/>
    <w:rsid w:val="5C685EEE"/>
    <w:rsid w:val="5C791489"/>
    <w:rsid w:val="5C865FED"/>
    <w:rsid w:val="5CA323EB"/>
    <w:rsid w:val="5CB108FC"/>
    <w:rsid w:val="5CC32F3D"/>
    <w:rsid w:val="5CDD36C9"/>
    <w:rsid w:val="5D0A4A76"/>
    <w:rsid w:val="5D1C710B"/>
    <w:rsid w:val="5D3F66DF"/>
    <w:rsid w:val="5D426797"/>
    <w:rsid w:val="5D683624"/>
    <w:rsid w:val="5D6D34DA"/>
    <w:rsid w:val="5D6F1A87"/>
    <w:rsid w:val="5D93CEDC"/>
    <w:rsid w:val="5D9F01B1"/>
    <w:rsid w:val="5DA06E95"/>
    <w:rsid w:val="5DA35046"/>
    <w:rsid w:val="5DAD74D6"/>
    <w:rsid w:val="5DDC4014"/>
    <w:rsid w:val="5DEA4CAC"/>
    <w:rsid w:val="5DFD23F3"/>
    <w:rsid w:val="5DFDE369"/>
    <w:rsid w:val="5E021842"/>
    <w:rsid w:val="5E31085E"/>
    <w:rsid w:val="5E7E1931"/>
    <w:rsid w:val="5E7F8DFE"/>
    <w:rsid w:val="5E86A354"/>
    <w:rsid w:val="5EBE445A"/>
    <w:rsid w:val="5EFD3C18"/>
    <w:rsid w:val="5F152649"/>
    <w:rsid w:val="5F3F9139"/>
    <w:rsid w:val="5F5BB66D"/>
    <w:rsid w:val="5F7B4EDD"/>
    <w:rsid w:val="5FA65C5B"/>
    <w:rsid w:val="5FAE550E"/>
    <w:rsid w:val="5FCFD49E"/>
    <w:rsid w:val="600A4D86"/>
    <w:rsid w:val="60252B0B"/>
    <w:rsid w:val="608C5797"/>
    <w:rsid w:val="609E0ECD"/>
    <w:rsid w:val="60BE6497"/>
    <w:rsid w:val="60C92F07"/>
    <w:rsid w:val="60CB1722"/>
    <w:rsid w:val="612A45DF"/>
    <w:rsid w:val="616F3EFB"/>
    <w:rsid w:val="61744D2A"/>
    <w:rsid w:val="617F6004"/>
    <w:rsid w:val="619DD407"/>
    <w:rsid w:val="6224390F"/>
    <w:rsid w:val="625062DE"/>
    <w:rsid w:val="628608CF"/>
    <w:rsid w:val="628F29A2"/>
    <w:rsid w:val="62A8149C"/>
    <w:rsid w:val="62D250F3"/>
    <w:rsid w:val="62F27E7E"/>
    <w:rsid w:val="62F95656"/>
    <w:rsid w:val="63010158"/>
    <w:rsid w:val="631D37C9"/>
    <w:rsid w:val="634B134C"/>
    <w:rsid w:val="63561640"/>
    <w:rsid w:val="63AE3146"/>
    <w:rsid w:val="63BC726F"/>
    <w:rsid w:val="63D54C9A"/>
    <w:rsid w:val="63E523D2"/>
    <w:rsid w:val="63EC0468"/>
    <w:rsid w:val="64186C0C"/>
    <w:rsid w:val="641C006A"/>
    <w:rsid w:val="641D732B"/>
    <w:rsid w:val="64444295"/>
    <w:rsid w:val="649305A2"/>
    <w:rsid w:val="64977DF2"/>
    <w:rsid w:val="649D4550"/>
    <w:rsid w:val="64C21AC6"/>
    <w:rsid w:val="64E15CAF"/>
    <w:rsid w:val="64EA0EA4"/>
    <w:rsid w:val="65907C1B"/>
    <w:rsid w:val="65B120FB"/>
    <w:rsid w:val="65B13FF9"/>
    <w:rsid w:val="65CF5FDE"/>
    <w:rsid w:val="65EB7433"/>
    <w:rsid w:val="66283BA5"/>
    <w:rsid w:val="66796832"/>
    <w:rsid w:val="66936B9E"/>
    <w:rsid w:val="66D77D46"/>
    <w:rsid w:val="66D946E0"/>
    <w:rsid w:val="677A5759"/>
    <w:rsid w:val="67B56F65"/>
    <w:rsid w:val="67BBAF13"/>
    <w:rsid w:val="67E92DD6"/>
    <w:rsid w:val="67FE9481"/>
    <w:rsid w:val="68111A8C"/>
    <w:rsid w:val="68401236"/>
    <w:rsid w:val="684837EC"/>
    <w:rsid w:val="686413FB"/>
    <w:rsid w:val="688547A0"/>
    <w:rsid w:val="688A19C8"/>
    <w:rsid w:val="688A74DA"/>
    <w:rsid w:val="68B86A3D"/>
    <w:rsid w:val="68D4F1C2"/>
    <w:rsid w:val="69040B76"/>
    <w:rsid w:val="69174C10"/>
    <w:rsid w:val="694A2FDF"/>
    <w:rsid w:val="697E1CC0"/>
    <w:rsid w:val="69802CC9"/>
    <w:rsid w:val="69C2047C"/>
    <w:rsid w:val="69D7348B"/>
    <w:rsid w:val="69DB30F0"/>
    <w:rsid w:val="69F50773"/>
    <w:rsid w:val="69F52F50"/>
    <w:rsid w:val="6A075BB2"/>
    <w:rsid w:val="6A2F3779"/>
    <w:rsid w:val="6A590821"/>
    <w:rsid w:val="6A7F3142"/>
    <w:rsid w:val="6A9343DA"/>
    <w:rsid w:val="6B114607"/>
    <w:rsid w:val="6B1296F2"/>
    <w:rsid w:val="6B1436F2"/>
    <w:rsid w:val="6B1D6556"/>
    <w:rsid w:val="6B2B5B8F"/>
    <w:rsid w:val="6B3C218F"/>
    <w:rsid w:val="6B6C3769"/>
    <w:rsid w:val="6B77BE9C"/>
    <w:rsid w:val="6B7EDF19"/>
    <w:rsid w:val="6B99728F"/>
    <w:rsid w:val="6BA93602"/>
    <w:rsid w:val="6BD13FBC"/>
    <w:rsid w:val="6BDD2A50"/>
    <w:rsid w:val="6C106FC5"/>
    <w:rsid w:val="6C416135"/>
    <w:rsid w:val="6CC547BE"/>
    <w:rsid w:val="6CED31DD"/>
    <w:rsid w:val="6D1C110A"/>
    <w:rsid w:val="6D642449"/>
    <w:rsid w:val="6D683866"/>
    <w:rsid w:val="6DAF5D75"/>
    <w:rsid w:val="6DBE9163"/>
    <w:rsid w:val="6DC12E6A"/>
    <w:rsid w:val="6DDB151F"/>
    <w:rsid w:val="6DDBD7B2"/>
    <w:rsid w:val="6DF75F25"/>
    <w:rsid w:val="6DF91837"/>
    <w:rsid w:val="6DFD1334"/>
    <w:rsid w:val="6E245F9C"/>
    <w:rsid w:val="6E481CA4"/>
    <w:rsid w:val="6E586F95"/>
    <w:rsid w:val="6E5E06DF"/>
    <w:rsid w:val="6E6300DC"/>
    <w:rsid w:val="6EB06A88"/>
    <w:rsid w:val="6EB64CD7"/>
    <w:rsid w:val="6EBE2D2A"/>
    <w:rsid w:val="6EBEAE81"/>
    <w:rsid w:val="6ECA2434"/>
    <w:rsid w:val="6EDB534E"/>
    <w:rsid w:val="6EE451CE"/>
    <w:rsid w:val="6EFB141D"/>
    <w:rsid w:val="6F2E2F94"/>
    <w:rsid w:val="6F410BD8"/>
    <w:rsid w:val="6F4F6E56"/>
    <w:rsid w:val="6F5F6E82"/>
    <w:rsid w:val="6FAB2D27"/>
    <w:rsid w:val="6FDB8A84"/>
    <w:rsid w:val="6FEE112D"/>
    <w:rsid w:val="6FEE520C"/>
    <w:rsid w:val="6FF759C1"/>
    <w:rsid w:val="6FFBA253"/>
    <w:rsid w:val="6FFD5AA6"/>
    <w:rsid w:val="6FFD9F39"/>
    <w:rsid w:val="6FFFDD4E"/>
    <w:rsid w:val="6FFFE536"/>
    <w:rsid w:val="70363D7D"/>
    <w:rsid w:val="703B270D"/>
    <w:rsid w:val="706166FE"/>
    <w:rsid w:val="707B2DAF"/>
    <w:rsid w:val="70E4D837"/>
    <w:rsid w:val="70F62B81"/>
    <w:rsid w:val="70FFAC3B"/>
    <w:rsid w:val="7106528A"/>
    <w:rsid w:val="712F5E96"/>
    <w:rsid w:val="715452D4"/>
    <w:rsid w:val="7159368C"/>
    <w:rsid w:val="716A1BFB"/>
    <w:rsid w:val="719DCD98"/>
    <w:rsid w:val="71C93E5B"/>
    <w:rsid w:val="71F57AFB"/>
    <w:rsid w:val="71FC1DC9"/>
    <w:rsid w:val="72B07EB0"/>
    <w:rsid w:val="72C89EB0"/>
    <w:rsid w:val="72D679F5"/>
    <w:rsid w:val="72FFEFB6"/>
    <w:rsid w:val="731D6B6F"/>
    <w:rsid w:val="73444E48"/>
    <w:rsid w:val="7349746D"/>
    <w:rsid w:val="735E7755"/>
    <w:rsid w:val="736B4CA9"/>
    <w:rsid w:val="73891BAD"/>
    <w:rsid w:val="73B3131F"/>
    <w:rsid w:val="73B31576"/>
    <w:rsid w:val="73C4539E"/>
    <w:rsid w:val="73CE57CC"/>
    <w:rsid w:val="73E16EA2"/>
    <w:rsid w:val="73FBC8D0"/>
    <w:rsid w:val="74087736"/>
    <w:rsid w:val="74141797"/>
    <w:rsid w:val="74274F18"/>
    <w:rsid w:val="743B78B1"/>
    <w:rsid w:val="74592658"/>
    <w:rsid w:val="74616B11"/>
    <w:rsid w:val="74751C3E"/>
    <w:rsid w:val="74AF3AA5"/>
    <w:rsid w:val="74BE575C"/>
    <w:rsid w:val="74CB6E11"/>
    <w:rsid w:val="74D46F08"/>
    <w:rsid w:val="74EA412A"/>
    <w:rsid w:val="74EF2118"/>
    <w:rsid w:val="74F16E53"/>
    <w:rsid w:val="75132384"/>
    <w:rsid w:val="75431402"/>
    <w:rsid w:val="7553159A"/>
    <w:rsid w:val="755E36B6"/>
    <w:rsid w:val="756D0991"/>
    <w:rsid w:val="757F07EF"/>
    <w:rsid w:val="75A7085F"/>
    <w:rsid w:val="75ABAE66"/>
    <w:rsid w:val="75C62E3D"/>
    <w:rsid w:val="75D21A46"/>
    <w:rsid w:val="75EE4455"/>
    <w:rsid w:val="75FE48ED"/>
    <w:rsid w:val="762059CE"/>
    <w:rsid w:val="767BA796"/>
    <w:rsid w:val="768B7473"/>
    <w:rsid w:val="76C05F5B"/>
    <w:rsid w:val="76CC7A19"/>
    <w:rsid w:val="77026BB9"/>
    <w:rsid w:val="7726248E"/>
    <w:rsid w:val="77280029"/>
    <w:rsid w:val="772A036C"/>
    <w:rsid w:val="774F56F7"/>
    <w:rsid w:val="776D94A4"/>
    <w:rsid w:val="777C66A3"/>
    <w:rsid w:val="779C196E"/>
    <w:rsid w:val="779D7C92"/>
    <w:rsid w:val="77A528A5"/>
    <w:rsid w:val="77B02D30"/>
    <w:rsid w:val="77BA8215"/>
    <w:rsid w:val="77CE671C"/>
    <w:rsid w:val="77D3697A"/>
    <w:rsid w:val="77DB705B"/>
    <w:rsid w:val="77ED35F8"/>
    <w:rsid w:val="77F31120"/>
    <w:rsid w:val="783F1D10"/>
    <w:rsid w:val="788E1E15"/>
    <w:rsid w:val="78DB3F4B"/>
    <w:rsid w:val="78E82114"/>
    <w:rsid w:val="7913177F"/>
    <w:rsid w:val="79CA788D"/>
    <w:rsid w:val="79EC214B"/>
    <w:rsid w:val="79F12E7C"/>
    <w:rsid w:val="79F6B3E3"/>
    <w:rsid w:val="79FF70EC"/>
    <w:rsid w:val="79FF8771"/>
    <w:rsid w:val="79FFA333"/>
    <w:rsid w:val="7A25192E"/>
    <w:rsid w:val="7A65535C"/>
    <w:rsid w:val="7AA975E0"/>
    <w:rsid w:val="7AC7097A"/>
    <w:rsid w:val="7ACA3BD3"/>
    <w:rsid w:val="7ACB1A5D"/>
    <w:rsid w:val="7ACD4955"/>
    <w:rsid w:val="7AEF0665"/>
    <w:rsid w:val="7B1A436E"/>
    <w:rsid w:val="7BD70318"/>
    <w:rsid w:val="7BFBBF17"/>
    <w:rsid w:val="7BFE8F3C"/>
    <w:rsid w:val="7BFF41E6"/>
    <w:rsid w:val="7C2B5D91"/>
    <w:rsid w:val="7C2E136E"/>
    <w:rsid w:val="7C574B31"/>
    <w:rsid w:val="7CBA454B"/>
    <w:rsid w:val="7CC07BA8"/>
    <w:rsid w:val="7CCA3D48"/>
    <w:rsid w:val="7CD642AA"/>
    <w:rsid w:val="7CE90E7F"/>
    <w:rsid w:val="7CEFFD4C"/>
    <w:rsid w:val="7CF7F2E9"/>
    <w:rsid w:val="7CFF7252"/>
    <w:rsid w:val="7CFFA982"/>
    <w:rsid w:val="7D211FA9"/>
    <w:rsid w:val="7D2F0C2A"/>
    <w:rsid w:val="7D3AAD96"/>
    <w:rsid w:val="7D3C89BA"/>
    <w:rsid w:val="7D47170B"/>
    <w:rsid w:val="7D4B63E6"/>
    <w:rsid w:val="7D647773"/>
    <w:rsid w:val="7D6F5749"/>
    <w:rsid w:val="7D7E8E9D"/>
    <w:rsid w:val="7D7F32FD"/>
    <w:rsid w:val="7D8E1E70"/>
    <w:rsid w:val="7DAB3312"/>
    <w:rsid w:val="7DB55EC6"/>
    <w:rsid w:val="7DB800D7"/>
    <w:rsid w:val="7DBF3358"/>
    <w:rsid w:val="7DCA303D"/>
    <w:rsid w:val="7DCD04FD"/>
    <w:rsid w:val="7DCE02EC"/>
    <w:rsid w:val="7DD225AB"/>
    <w:rsid w:val="7DDF8259"/>
    <w:rsid w:val="7E763FD4"/>
    <w:rsid w:val="7E77887E"/>
    <w:rsid w:val="7E79710A"/>
    <w:rsid w:val="7E8F353F"/>
    <w:rsid w:val="7EA407DC"/>
    <w:rsid w:val="7EAE3ADF"/>
    <w:rsid w:val="7EBFF8D4"/>
    <w:rsid w:val="7EEB41E8"/>
    <w:rsid w:val="7EF45957"/>
    <w:rsid w:val="7EFF6ED9"/>
    <w:rsid w:val="7EFFE943"/>
    <w:rsid w:val="7F112F72"/>
    <w:rsid w:val="7F17F430"/>
    <w:rsid w:val="7F1C31BB"/>
    <w:rsid w:val="7F3855C5"/>
    <w:rsid w:val="7F5F07B0"/>
    <w:rsid w:val="7F672A4C"/>
    <w:rsid w:val="7F75635F"/>
    <w:rsid w:val="7F7E235E"/>
    <w:rsid w:val="7F7E3F54"/>
    <w:rsid w:val="7F9F24B3"/>
    <w:rsid w:val="7F9F7B3A"/>
    <w:rsid w:val="7FB35288"/>
    <w:rsid w:val="7FB78ECF"/>
    <w:rsid w:val="7FBFE6A1"/>
    <w:rsid w:val="7FCEACAD"/>
    <w:rsid w:val="7FCF4092"/>
    <w:rsid w:val="7FD7BDA9"/>
    <w:rsid w:val="7FDC7932"/>
    <w:rsid w:val="7FDF7F81"/>
    <w:rsid w:val="7FFA0DA2"/>
    <w:rsid w:val="7FFD3DD2"/>
    <w:rsid w:val="7FFE81DB"/>
    <w:rsid w:val="7FFE968A"/>
    <w:rsid w:val="7FFEDCA5"/>
    <w:rsid w:val="7FFF1529"/>
    <w:rsid w:val="7FFFA34F"/>
    <w:rsid w:val="875D4253"/>
    <w:rsid w:val="893F40F8"/>
    <w:rsid w:val="91D3DE98"/>
    <w:rsid w:val="97FDD9AC"/>
    <w:rsid w:val="997706BB"/>
    <w:rsid w:val="99FB5E81"/>
    <w:rsid w:val="9AF7AA0F"/>
    <w:rsid w:val="9EDE2264"/>
    <w:rsid w:val="9EDF1D21"/>
    <w:rsid w:val="9FB3B158"/>
    <w:rsid w:val="9FD77627"/>
    <w:rsid w:val="9FDE3626"/>
    <w:rsid w:val="9FE727F5"/>
    <w:rsid w:val="9FE9ABE9"/>
    <w:rsid w:val="9FFF1FD0"/>
    <w:rsid w:val="A6DF23B2"/>
    <w:rsid w:val="A7BF5148"/>
    <w:rsid w:val="AAC5B3EE"/>
    <w:rsid w:val="ABD35024"/>
    <w:rsid w:val="AEFFB972"/>
    <w:rsid w:val="AFF37B46"/>
    <w:rsid w:val="B27EDDE2"/>
    <w:rsid w:val="B5E8C730"/>
    <w:rsid w:val="B6FB9967"/>
    <w:rsid w:val="B6FF6D5D"/>
    <w:rsid w:val="B78BD29E"/>
    <w:rsid w:val="B7BF1000"/>
    <w:rsid w:val="B7CD1A8F"/>
    <w:rsid w:val="B8DE299D"/>
    <w:rsid w:val="B9E79167"/>
    <w:rsid w:val="B9FF3E4C"/>
    <w:rsid w:val="BB9BCE41"/>
    <w:rsid w:val="BBB724CB"/>
    <w:rsid w:val="BBFEC442"/>
    <w:rsid w:val="BCED9516"/>
    <w:rsid w:val="BD2FBDFF"/>
    <w:rsid w:val="BDCA294D"/>
    <w:rsid w:val="BEDF8CCD"/>
    <w:rsid w:val="BF1F5B59"/>
    <w:rsid w:val="BF3E9C35"/>
    <w:rsid w:val="BF3FC3F6"/>
    <w:rsid w:val="BF6F4AD7"/>
    <w:rsid w:val="BFB908F9"/>
    <w:rsid w:val="BFBF450E"/>
    <w:rsid w:val="BFD746B6"/>
    <w:rsid w:val="BFF7B937"/>
    <w:rsid w:val="BFFA3D77"/>
    <w:rsid w:val="BFFE423E"/>
    <w:rsid w:val="BFFF1DC7"/>
    <w:rsid w:val="BFFF98B9"/>
    <w:rsid w:val="C75751B1"/>
    <w:rsid w:val="C7FAFCA4"/>
    <w:rsid w:val="CD17A232"/>
    <w:rsid w:val="CEDB1D4E"/>
    <w:rsid w:val="CF13D631"/>
    <w:rsid w:val="CF7BFA81"/>
    <w:rsid w:val="D1BECEC2"/>
    <w:rsid w:val="D3FC82D8"/>
    <w:rsid w:val="D5E7DA75"/>
    <w:rsid w:val="D6CB6921"/>
    <w:rsid w:val="D82EE56B"/>
    <w:rsid w:val="D9FFF7E7"/>
    <w:rsid w:val="DA3BE138"/>
    <w:rsid w:val="DB3F6C96"/>
    <w:rsid w:val="DD47AEF0"/>
    <w:rsid w:val="DDEE5A1C"/>
    <w:rsid w:val="DDFFB054"/>
    <w:rsid w:val="DE2FD615"/>
    <w:rsid w:val="DE9F58EE"/>
    <w:rsid w:val="DF3C7F8A"/>
    <w:rsid w:val="DF67F8AF"/>
    <w:rsid w:val="DF7FAC72"/>
    <w:rsid w:val="DF9EB867"/>
    <w:rsid w:val="DFB9F044"/>
    <w:rsid w:val="DFCF646E"/>
    <w:rsid w:val="DFD50E8E"/>
    <w:rsid w:val="DFD5CFA1"/>
    <w:rsid w:val="DFDBEF83"/>
    <w:rsid w:val="DFDD9701"/>
    <w:rsid w:val="DFE7136A"/>
    <w:rsid w:val="DFFDFCD2"/>
    <w:rsid w:val="DFFFA144"/>
    <w:rsid w:val="E2DF9C41"/>
    <w:rsid w:val="E5E8BD0B"/>
    <w:rsid w:val="E5EF1060"/>
    <w:rsid w:val="E73684EF"/>
    <w:rsid w:val="E7FDF0D1"/>
    <w:rsid w:val="E9FB5568"/>
    <w:rsid w:val="E9FE1542"/>
    <w:rsid w:val="EADB6FF2"/>
    <w:rsid w:val="EAFFF5D8"/>
    <w:rsid w:val="EB6FAB33"/>
    <w:rsid w:val="EB7BABFB"/>
    <w:rsid w:val="EBF98B7F"/>
    <w:rsid w:val="EDB9E565"/>
    <w:rsid w:val="EDBBAB99"/>
    <w:rsid w:val="EDBF27BE"/>
    <w:rsid w:val="EDEAB925"/>
    <w:rsid w:val="EDFFCC02"/>
    <w:rsid w:val="EE2F8C64"/>
    <w:rsid w:val="EE7F5174"/>
    <w:rsid w:val="EF366235"/>
    <w:rsid w:val="EF394F48"/>
    <w:rsid w:val="EF5FFAB7"/>
    <w:rsid w:val="EFA6C07F"/>
    <w:rsid w:val="EFBE7F77"/>
    <w:rsid w:val="EFC78EA4"/>
    <w:rsid w:val="EFE805F2"/>
    <w:rsid w:val="EFEF0815"/>
    <w:rsid w:val="EFFA2012"/>
    <w:rsid w:val="EFFC0939"/>
    <w:rsid w:val="EFFD46D2"/>
    <w:rsid w:val="EFFDEEA9"/>
    <w:rsid w:val="EFFF4F3E"/>
    <w:rsid w:val="F47E6306"/>
    <w:rsid w:val="F4F70BA0"/>
    <w:rsid w:val="F5F8E3EE"/>
    <w:rsid w:val="F5FF155D"/>
    <w:rsid w:val="F62F1BF5"/>
    <w:rsid w:val="F67E3E22"/>
    <w:rsid w:val="F6F6DC75"/>
    <w:rsid w:val="F6FBA155"/>
    <w:rsid w:val="F7739E68"/>
    <w:rsid w:val="F7CF5D04"/>
    <w:rsid w:val="F7DFC31F"/>
    <w:rsid w:val="F9FEB2A5"/>
    <w:rsid w:val="FA390F3F"/>
    <w:rsid w:val="FA77C2B9"/>
    <w:rsid w:val="FAEF2283"/>
    <w:rsid w:val="FAF8B7B5"/>
    <w:rsid w:val="FB7DAEDD"/>
    <w:rsid w:val="FB964809"/>
    <w:rsid w:val="FB9B20CA"/>
    <w:rsid w:val="FBEDB55F"/>
    <w:rsid w:val="FCBB68A6"/>
    <w:rsid w:val="FCCFE0D9"/>
    <w:rsid w:val="FCFCF0EB"/>
    <w:rsid w:val="FD0DF746"/>
    <w:rsid w:val="FD6CC9FD"/>
    <w:rsid w:val="FD7EA8C7"/>
    <w:rsid w:val="FDB5783F"/>
    <w:rsid w:val="FDBFAA55"/>
    <w:rsid w:val="FDBFD03D"/>
    <w:rsid w:val="FDC71712"/>
    <w:rsid w:val="FDCFEA8D"/>
    <w:rsid w:val="FDEB73C1"/>
    <w:rsid w:val="FDEF7742"/>
    <w:rsid w:val="FDEFF190"/>
    <w:rsid w:val="FDFB7C0C"/>
    <w:rsid w:val="FDFFCA38"/>
    <w:rsid w:val="FE38170B"/>
    <w:rsid w:val="FE7D28E9"/>
    <w:rsid w:val="FE7FF8B2"/>
    <w:rsid w:val="FED7DE5F"/>
    <w:rsid w:val="FEECC16D"/>
    <w:rsid w:val="FEF30DAC"/>
    <w:rsid w:val="FEFFAD43"/>
    <w:rsid w:val="FF19DF66"/>
    <w:rsid w:val="FF6F02CA"/>
    <w:rsid w:val="FF769A2F"/>
    <w:rsid w:val="FF7DADBD"/>
    <w:rsid w:val="FF9B56BE"/>
    <w:rsid w:val="FF9F779A"/>
    <w:rsid w:val="FF9F7E01"/>
    <w:rsid w:val="FFBC08EC"/>
    <w:rsid w:val="FFD5A092"/>
    <w:rsid w:val="FFD7AB21"/>
    <w:rsid w:val="FFD7DEFE"/>
    <w:rsid w:val="FFDA983D"/>
    <w:rsid w:val="FFDECCCB"/>
    <w:rsid w:val="FFEB1090"/>
    <w:rsid w:val="FFEB7D47"/>
    <w:rsid w:val="FFF33FDB"/>
    <w:rsid w:val="FFF6593B"/>
    <w:rsid w:val="FFF720F5"/>
    <w:rsid w:val="FFFE3C48"/>
    <w:rsid w:val="FFFEC8E0"/>
    <w:rsid w:val="FFFED19B"/>
    <w:rsid w:val="FFFF4D7A"/>
    <w:rsid w:val="FFFF81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line="416" w:lineRule="auto"/>
      <w:outlineLvl w:val="1"/>
    </w:pPr>
    <w:rPr>
      <w:rFonts w:ascii="Arial" w:hAnsi="Arial" w:eastAsia="黑体"/>
      <w:sz w:val="32"/>
    </w:rPr>
  </w:style>
  <w:style w:type="paragraph" w:styleId="3">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3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adjustRightInd w:val="0"/>
      <w:spacing w:line="360" w:lineRule="atLeast"/>
      <w:ind w:firstLine="420"/>
      <w:jc w:val="left"/>
      <w:textAlignment w:val="baseline"/>
    </w:pPr>
    <w:rPr>
      <w:kern w:val="0"/>
      <w:sz w:val="24"/>
    </w:rPr>
  </w:style>
  <w:style w:type="paragraph" w:styleId="6">
    <w:name w:val="Body Text"/>
    <w:basedOn w:val="1"/>
    <w:next w:val="1"/>
    <w:qFormat/>
    <w:uiPriority w:val="0"/>
    <w:pPr>
      <w:spacing w:after="120"/>
    </w:pPr>
    <w:rPr>
      <w:rFonts w:ascii="Calibri" w:hAnsi="Calibri"/>
    </w:rPr>
  </w:style>
  <w:style w:type="paragraph" w:styleId="7">
    <w:name w:val="annotation text"/>
    <w:basedOn w:val="1"/>
    <w:link w:val="34"/>
    <w:semiHidden/>
    <w:unhideWhenUsed/>
    <w:qFormat/>
    <w:uiPriority w:val="99"/>
    <w:pPr>
      <w:jc w:val="left"/>
    </w:pPr>
  </w:style>
  <w:style w:type="paragraph" w:styleId="8">
    <w:name w:val="Balloon Text"/>
    <w:basedOn w:val="1"/>
    <w:link w:val="32"/>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line="360" w:lineRule="auto"/>
    </w:pPr>
    <w:rPr>
      <w:sz w:val="24"/>
    </w:rPr>
  </w:style>
  <w:style w:type="paragraph" w:styleId="12">
    <w:name w:val="Normal (Web)"/>
    <w:basedOn w:val="1"/>
    <w:semiHidden/>
    <w:unhideWhenUsed/>
    <w:qFormat/>
    <w:uiPriority w:val="99"/>
    <w:pPr>
      <w:spacing w:beforeAutospacing="1" w:afterAutospacing="1"/>
      <w:jc w:val="left"/>
    </w:pPr>
    <w:rPr>
      <w:rFonts w:cs="Times New Roman"/>
      <w:kern w:val="0"/>
      <w:sz w:val="24"/>
    </w:rPr>
  </w:style>
  <w:style w:type="paragraph" w:styleId="13">
    <w:name w:val="Title"/>
    <w:basedOn w:val="1"/>
    <w:next w:val="1"/>
    <w:qFormat/>
    <w:uiPriority w:val="10"/>
    <w:pPr>
      <w:spacing w:before="240" w:after="60"/>
      <w:jc w:val="center"/>
      <w:outlineLvl w:val="0"/>
    </w:pPr>
    <w:rPr>
      <w:rFonts w:ascii="Cambria" w:hAnsi="Cambria"/>
      <w:b/>
      <w:bCs/>
      <w:kern w:val="0"/>
      <w:sz w:val="32"/>
      <w:szCs w:val="32"/>
    </w:rPr>
  </w:style>
  <w:style w:type="paragraph" w:styleId="14">
    <w:name w:val="annotation subject"/>
    <w:basedOn w:val="7"/>
    <w:next w:val="7"/>
    <w:link w:val="35"/>
    <w:semiHidden/>
    <w:unhideWhenUsed/>
    <w:qFormat/>
    <w:uiPriority w:val="99"/>
    <w:rPr>
      <w:b/>
      <w:bCs/>
    </w:rPr>
  </w:style>
  <w:style w:type="paragraph" w:styleId="15">
    <w:name w:val="Body Text First Indent"/>
    <w:basedOn w:val="6"/>
    <w:qFormat/>
    <w:uiPriority w:val="99"/>
    <w:pPr>
      <w:ind w:firstLine="664"/>
    </w:pPr>
    <w:rPr>
      <w:rFonts w:ascii="Times New Roman" w:hAnsi="Times New Roman"/>
      <w:szCs w:val="20"/>
    </w:rPr>
  </w:style>
  <w:style w:type="character" w:styleId="18">
    <w:name w:val="Strong"/>
    <w:basedOn w:val="17"/>
    <w:qFormat/>
    <w:uiPriority w:val="0"/>
    <w:rPr>
      <w:b/>
    </w:rPr>
  </w:style>
  <w:style w:type="character" w:styleId="19">
    <w:name w:val="Hyperlink"/>
    <w:unhideWhenUsed/>
    <w:qFormat/>
    <w:uiPriority w:val="99"/>
    <w:rPr>
      <w:color w:val="0000FF"/>
      <w:u w:val="single"/>
    </w:rPr>
  </w:style>
  <w:style w:type="character" w:styleId="20">
    <w:name w:val="annotation reference"/>
    <w:basedOn w:val="17"/>
    <w:semiHidden/>
    <w:unhideWhenUsed/>
    <w:qFormat/>
    <w:uiPriority w:val="99"/>
    <w:rPr>
      <w:sz w:val="21"/>
      <w:szCs w:val="21"/>
    </w:rPr>
  </w:style>
  <w:style w:type="paragraph" w:customStyle="1" w:styleId="21">
    <w:name w:val="Default"/>
    <w:qFormat/>
    <w:uiPriority w:val="99"/>
    <w:pPr>
      <w:widowControl w:val="0"/>
      <w:autoSpaceDE w:val="0"/>
      <w:autoSpaceDN w:val="0"/>
      <w:adjustRightInd w:val="0"/>
      <w:spacing w:line="360" w:lineRule="auto"/>
      <w:ind w:firstLine="200" w:firstLineChars="200"/>
      <w:jc w:val="both"/>
    </w:pPr>
    <w:rPr>
      <w:rFonts w:ascii="Arial Unicode MS" w:hAnsi="Arial Unicode MS" w:eastAsia="宋体" w:cs="Arial Unicode MS"/>
      <w:color w:val="000000"/>
      <w:sz w:val="24"/>
      <w:szCs w:val="24"/>
      <w:lang w:val="en-US" w:eastAsia="zh-CN" w:bidi="ar-SA"/>
    </w:rPr>
  </w:style>
  <w:style w:type="character" w:customStyle="1" w:styleId="22">
    <w:name w:val="页眉 字符"/>
    <w:basedOn w:val="17"/>
    <w:link w:val="10"/>
    <w:qFormat/>
    <w:uiPriority w:val="99"/>
    <w:rPr>
      <w:sz w:val="18"/>
      <w:szCs w:val="18"/>
    </w:rPr>
  </w:style>
  <w:style w:type="character" w:customStyle="1" w:styleId="23">
    <w:name w:val="页脚 字符"/>
    <w:basedOn w:val="17"/>
    <w:link w:val="9"/>
    <w:qFormat/>
    <w:uiPriority w:val="99"/>
    <w:rPr>
      <w:sz w:val="18"/>
      <w:szCs w:val="18"/>
    </w:rPr>
  </w:style>
  <w:style w:type="character" w:customStyle="1" w:styleId="24">
    <w:name w:val="正文文字 Char"/>
    <w:link w:val="25"/>
    <w:qFormat/>
    <w:uiPriority w:val="0"/>
    <w:rPr>
      <w:rFonts w:ascii="Calibri" w:hAnsi="Calibri" w:eastAsia="仿宋_GB2312"/>
      <w:bCs/>
      <w:sz w:val="24"/>
      <w:szCs w:val="32"/>
    </w:rPr>
  </w:style>
  <w:style w:type="paragraph" w:customStyle="1" w:styleId="25">
    <w:name w:val="正文文字"/>
    <w:link w:val="24"/>
    <w:qFormat/>
    <w:uiPriority w:val="0"/>
    <w:pPr>
      <w:spacing w:afterLines="20" w:line="440" w:lineRule="exact"/>
      <w:ind w:firstLine="200" w:firstLineChars="200"/>
    </w:pPr>
    <w:rPr>
      <w:rFonts w:ascii="Calibri" w:hAnsi="Calibri" w:eastAsia="仿宋_GB2312" w:cstheme="minorBidi"/>
      <w:bCs/>
      <w:kern w:val="2"/>
      <w:sz w:val="24"/>
      <w:szCs w:val="32"/>
      <w:lang w:val="en-US" w:eastAsia="zh-CN" w:bidi="ar-SA"/>
    </w:rPr>
  </w:style>
  <w:style w:type="paragraph" w:styleId="26">
    <w:name w:val="List Paragraph"/>
    <w:basedOn w:val="1"/>
    <w:qFormat/>
    <w:uiPriority w:val="34"/>
    <w:pPr>
      <w:ind w:firstLine="420" w:firstLineChars="200"/>
    </w:pPr>
  </w:style>
  <w:style w:type="paragraph" w:customStyle="1" w:styleId="27">
    <w:name w:val="文本1"/>
    <w:basedOn w:val="25"/>
    <w:link w:val="28"/>
    <w:qFormat/>
    <w:uiPriority w:val="0"/>
    <w:pPr>
      <w:spacing w:before="20" w:beforeLines="20" w:line="480" w:lineRule="exact"/>
      <w:ind w:firstLine="560"/>
      <w:jc w:val="both"/>
    </w:pPr>
    <w:rPr>
      <w:rFonts w:ascii="仿宋_GB2312" w:hAnsi="仿宋_GB2312" w:cs="Times New Roman"/>
      <w:sz w:val="28"/>
      <w:szCs w:val="28"/>
    </w:rPr>
  </w:style>
  <w:style w:type="character" w:customStyle="1" w:styleId="28">
    <w:name w:val="文本1 Char"/>
    <w:basedOn w:val="24"/>
    <w:link w:val="27"/>
    <w:qFormat/>
    <w:uiPriority w:val="0"/>
    <w:rPr>
      <w:rFonts w:ascii="仿宋_GB2312" w:hAnsi="仿宋_GB2312" w:eastAsia="仿宋_GB2312" w:cs="Times New Roman"/>
      <w:sz w:val="28"/>
      <w:szCs w:val="28"/>
    </w:rPr>
  </w:style>
  <w:style w:type="character" w:customStyle="1" w:styleId="29">
    <w:name w:val="标题 3 字符"/>
    <w:basedOn w:val="17"/>
    <w:link w:val="3"/>
    <w:qFormat/>
    <w:uiPriority w:val="9"/>
    <w:rPr>
      <w:b/>
      <w:bCs/>
      <w:sz w:val="32"/>
      <w:szCs w:val="32"/>
    </w:rPr>
  </w:style>
  <w:style w:type="character" w:customStyle="1" w:styleId="30">
    <w:name w:val="标题 4 字符"/>
    <w:basedOn w:val="17"/>
    <w:link w:val="4"/>
    <w:semiHidden/>
    <w:qFormat/>
    <w:uiPriority w:val="9"/>
    <w:rPr>
      <w:rFonts w:asciiTheme="majorHAnsi" w:hAnsiTheme="majorHAnsi" w:eastAsiaTheme="majorEastAsia" w:cstheme="majorBidi"/>
      <w:b/>
      <w:bCs/>
      <w:sz w:val="28"/>
      <w:szCs w:val="28"/>
    </w:rPr>
  </w:style>
  <w:style w:type="paragraph" w:customStyle="1" w:styleId="31">
    <w:name w:val="列出段落1"/>
    <w:basedOn w:val="1"/>
    <w:qFormat/>
    <w:uiPriority w:val="34"/>
    <w:pPr>
      <w:ind w:firstLine="420" w:firstLineChars="200"/>
    </w:pPr>
    <w:rPr>
      <w:rFonts w:ascii="Times New Roman" w:hAnsi="Times New Roman" w:eastAsia="宋体" w:cs="Times New Roman"/>
      <w:szCs w:val="24"/>
    </w:rPr>
  </w:style>
  <w:style w:type="character" w:customStyle="1" w:styleId="32">
    <w:name w:val="批注框文本 字符"/>
    <w:basedOn w:val="17"/>
    <w:link w:val="8"/>
    <w:semiHidden/>
    <w:qFormat/>
    <w:uiPriority w:val="99"/>
    <w:rPr>
      <w:rFonts w:asciiTheme="minorHAnsi" w:hAnsiTheme="minorHAnsi" w:eastAsiaTheme="minorEastAsia" w:cstheme="minorBidi"/>
      <w:kern w:val="2"/>
      <w:sz w:val="18"/>
      <w:szCs w:val="18"/>
    </w:rPr>
  </w:style>
  <w:style w:type="paragraph" w:customStyle="1" w:styleId="3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4">
    <w:name w:val="批注文字 字符"/>
    <w:basedOn w:val="17"/>
    <w:link w:val="7"/>
    <w:semiHidden/>
    <w:qFormat/>
    <w:uiPriority w:val="99"/>
    <w:rPr>
      <w:rFonts w:asciiTheme="minorHAnsi" w:hAnsiTheme="minorHAnsi" w:eastAsiaTheme="minorEastAsia" w:cstheme="minorBidi"/>
      <w:kern w:val="2"/>
      <w:sz w:val="21"/>
      <w:szCs w:val="22"/>
      <w:lang w:bidi="ar-SA"/>
    </w:rPr>
  </w:style>
  <w:style w:type="character" w:customStyle="1" w:styleId="35">
    <w:name w:val="批注主题 字符"/>
    <w:basedOn w:val="34"/>
    <w:link w:val="14"/>
    <w:semiHidden/>
    <w:qFormat/>
    <w:uiPriority w:val="99"/>
    <w:rPr>
      <w:rFonts w:asciiTheme="minorHAnsi" w:hAnsiTheme="minorHAnsi" w:eastAsiaTheme="minorEastAsia" w:cstheme="minorBidi"/>
      <w:b/>
      <w:bCs/>
      <w:kern w:val="2"/>
      <w:sz w:val="21"/>
      <w:szCs w:val="22"/>
      <w:lang w:bidi="ar-SA"/>
    </w:rPr>
  </w:style>
  <w:style w:type="paragraph" w:customStyle="1" w:styleId="36">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73"/>
    <customShpInfo spid="_x0000_s3076"/>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12</Pages>
  <Words>5253</Words>
  <Characters>5411</Characters>
  <Lines>338</Lines>
  <Paragraphs>304</Paragraphs>
  <TotalTime>8</TotalTime>
  <ScaleCrop>false</ScaleCrop>
  <LinksUpToDate>false</LinksUpToDate>
  <CharactersWithSpaces>10360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2025-04-24T23:42:00Z</dcterms:created>
  <dc:creator>null</dc:creator>
  <cp:lastModifiedBy>周深柯</cp:lastModifiedBy>
  <cp:lastPrinted>2026-06-12T17:15:00Z</cp:lastPrinted>
  <dcterms:modified xsi:type="dcterms:W3CDTF">2026-06-17T09:44:16Z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0A388BA1B39C4BECA59697A30B0E5ED4_13</vt:lpwstr>
  </property>
  <property fmtid="{D5CDD505-2E9C-101B-9397-08002B2CF9AE}" pid="4" name="KSOTemplateDocerSaveRecord">
    <vt:lpwstr>eyJoZGlkIjoiY2E1MzRmOTkxY2NiMmUzZGIwMWU0ZGMwMWY4YjNhNTMiLCJ1c2VySWQiOiIxMzg1MDE4NjI3In0=</vt:lpwstr>
  </property>
</Properties>
</file>