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国际红树林中心2026年红树林保护修复研讨班（两期）采购需求</w:t>
      </w:r>
      <w:r>
        <w:rPr>
          <w:rFonts w:hint="eastAsia" w:ascii="方正小标宋_GBK" w:hAnsi="方正小标宋_GBK" w:eastAsia="方正小标宋_GBK" w:cs="方正小标宋_GBK"/>
          <w:bCs/>
          <w:color w:val="000000"/>
          <w:sz w:val="44"/>
          <w:szCs w:val="44"/>
          <w:lang w:eastAsia="zh-CN"/>
        </w:rPr>
        <w:t>文件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rPr>
          <w:trHeight w:val="47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407" w:type="dxa"/>
            <w:gridSpan w:val="4"/>
            <w:vAlign w:val="center"/>
          </w:tcPr>
          <w:p>
            <w:pPr>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 w:eastAsia="zh-CN"/>
              </w:rPr>
              <w:t>国际红树林中心2026年红树林保护修复研讨班（两期）</w:t>
            </w:r>
          </w:p>
        </w:tc>
      </w:tr>
      <w:tr>
        <w:trPr>
          <w:trHeight w:val="46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广东内伶仃福田国家级自然保护区管理局（深圳市红树林湿地国际交流合作中心）</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单一来源</w:t>
            </w:r>
          </w:p>
        </w:tc>
      </w:tr>
      <w:tr>
        <w:trPr>
          <w:trHeight w:val="52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pPr>
              <w:jc w:val="left"/>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部门预算</w:t>
            </w:r>
          </w:p>
        </w:tc>
      </w:tr>
      <w:tr>
        <w:trPr>
          <w:trHeight w:val="488"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278.18万元（据实结算）</w:t>
            </w:r>
          </w:p>
        </w:tc>
        <w:tc>
          <w:tcPr>
            <w:tcW w:w="1366" w:type="dxa"/>
            <w:vAlign w:val="center"/>
          </w:tcPr>
          <w:p>
            <w:pPr>
              <w:jc w:val="left"/>
              <w:rPr>
                <w:rFonts w:hint="eastAsia" w:ascii="仿宋" w:hAnsi="仿宋" w:eastAsia="仿宋" w:cs="仿宋"/>
                <w:color w:val="000000"/>
                <w:szCs w:val="21"/>
              </w:rPr>
            </w:pPr>
          </w:p>
        </w:tc>
        <w:tc>
          <w:tcPr>
            <w:tcW w:w="2261" w:type="dxa"/>
            <w:vAlign w:val="center"/>
          </w:tcPr>
          <w:p>
            <w:pPr>
              <w:jc w:val="left"/>
              <w:rPr>
                <w:rFonts w:hint="eastAsia" w:ascii="仿宋" w:hAnsi="仿宋" w:eastAsia="仿宋" w:cs="仿宋"/>
                <w:color w:val="000000"/>
                <w:szCs w:val="21"/>
              </w:rPr>
            </w:pPr>
          </w:p>
        </w:tc>
      </w:tr>
      <w:tr>
        <w:trPr>
          <w:trHeight w:val="725"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2022年11月5日，国家主席习近平在《湿地公约》第十四届缔约方大会开幕式上致辞时提出：中国将推动国际交流合作，保护4条途经中国的候鸟迁飞通道，在深圳建立“国际红树林中心”（以下简称“中心”），支持举办全球滨海论坛会议。</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2023年9月6日，《湿地公约》常委会第62次会议审议通过了中国提交的关于在深圳建立国际红树林中心的区域动议提案，标志着国际红树林中心正式落户深圳。</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2024年11月6日，国际红树林中心成立协定签署仪式在深圳成功举办，首批18个创始成员国代表共同签署《关于成立国际红树林中心的协定》（以下简称《成立协定》）并为中心揭牌，标志着中心正式设立并进入实体化运行。</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截至目前，共有20个成员国签署了《成立协定》，中心的国际影响力和参与度不断提升。根据中心2023年提交给湿地公约对外正式发布的国际红树林中心框架文件，中心每年均举办国际研讨班。国际红树林中心2026年红树林保护修复研讨班（一期）计划于6月中上旬在国内湿地城市开展，拟邀请约24人，对象为亚太经济体、中心观察员和相关组织等，培训周期约为10天；国际红树林中心2026年红树林保护修复研讨班（二期）计划于11月中上旬在国内湿地城市开展，拟邀请约24人，对象为国际红树林中心签约国和观察员国的司处级官员，培训周期约为15天。作为中心正式落户深圳后的一项重要国际交流项目，研讨班的成功举办将对中心的国际影响力和美誉度发挥重要作用，亦是对中心承诺的事实履约。</w:t>
            </w:r>
          </w:p>
        </w:tc>
      </w:tr>
      <w:tr>
        <w:trPr>
          <w:trHeight w:val="60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pPr>
              <w:jc w:val="left"/>
              <w:rPr>
                <w:rFonts w:hint="eastAsia" w:ascii="仿宋" w:hAnsi="仿宋" w:eastAsia="仿宋" w:cs="仿宋"/>
                <w:color w:val="000000"/>
                <w:szCs w:val="21"/>
              </w:rPr>
            </w:pPr>
          </w:p>
        </w:tc>
      </w:tr>
      <w:tr>
        <w:trPr>
          <w:trHeight w:val="652" w:hRule="atLeast"/>
        </w:trPr>
        <w:tc>
          <w:tcPr>
            <w:tcW w:w="156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pPr>
              <w:jc w:val="left"/>
              <w:rPr>
                <w:rFonts w:hint="eastAsia" w:ascii="仿宋" w:hAnsi="仿宋" w:eastAsia="仿宋" w:cs="仿宋"/>
                <w:b/>
                <w:color w:val="000000"/>
                <w:kern w:val="0"/>
                <w:szCs w:val="21"/>
              </w:rPr>
            </w:pPr>
            <w:r>
              <w:rPr>
                <w:rFonts w:hint="eastAsia" w:ascii="仿宋" w:hAnsi="仿宋" w:eastAsia="仿宋"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1）具有独立法人资格；</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2）本项目不接受联合体投标，不允许分包，（不接受投标人选用进口产品参与投标）。</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3）参与本项目投标前三年内，在经营活动中没有重大违法记录（由供应商在《供应商声明函》中作出声明）。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4）参与本项目政府采购活动时不存在被有关部门禁止参与政府采购活动且在有效期内的情况（由供应商在《供应商声明函》中作出声明）。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5）具备《中华人民共和国政府采购法》第二十二条第一款的条件（由供应商在《供应商声明函》中作出声明）。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6）未被列入失信被执行人、重大税收违法案件当事人名单、政府采购严重违法失信行为记录名单（由供应商在《供应商声明函》中作出声明）。</w:t>
            </w:r>
          </w:p>
        </w:tc>
      </w:tr>
      <w:tr>
        <w:trPr>
          <w:trHeight w:val="652"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1、报价要求</w:t>
            </w:r>
          </w:p>
          <w:p>
            <w:pPr>
              <w:jc w:val="left"/>
              <w:rPr>
                <w:rFonts w:hint="eastAsia" w:ascii="仿宋" w:hAnsi="仿宋" w:eastAsia="仿宋" w:cs="仿宋"/>
                <w:color w:val="000000"/>
                <w:szCs w:val="21"/>
              </w:rPr>
            </w:pPr>
            <w:r>
              <w:rPr>
                <w:rFonts w:hint="eastAsia" w:ascii="仿宋" w:hAnsi="仿宋" w:eastAsia="仿宋" w:cs="仿宋"/>
                <w:color w:val="000000"/>
                <w:szCs w:val="21"/>
              </w:rPr>
              <w:t>（1）本项目服务费采用包干制，应包括服务成本、法定税费和企业的利润。由投标供应商根据采购文件所提供的资料自行测算投标报价；一经中标，报价总价作为中标供应商与采购人</w:t>
            </w:r>
            <w:r>
              <w:rPr>
                <w:rFonts w:hint="eastAsia" w:ascii="仿宋" w:hAnsi="仿宋" w:eastAsia="仿宋" w:cs="仿宋"/>
                <w:color w:val="000000"/>
                <w:szCs w:val="21"/>
                <w:lang w:eastAsia="zh-CN"/>
              </w:rPr>
              <w:t>签订的合同</w:t>
            </w:r>
            <w:r>
              <w:rPr>
                <w:rFonts w:hint="eastAsia" w:ascii="仿宋" w:hAnsi="仿宋" w:eastAsia="仿宋" w:cs="仿宋"/>
                <w:color w:val="000000"/>
                <w:szCs w:val="21"/>
              </w:rPr>
              <w:t>金额，后期结算按标准据实结算。</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（2）投标供应商应当根据本企业的成本自行决定报价，但不得以低于其企业成本的报价投标。</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（3）本项目预算金额为人民币278.18</w:t>
            </w:r>
            <w:r>
              <w:rPr>
                <w:rFonts w:ascii="仿宋" w:hAnsi="仿宋" w:eastAsia="仿宋" w:cs="仿宋"/>
                <w:color w:val="000000"/>
                <w:szCs w:val="21"/>
              </w:rPr>
              <w:t>万元</w:t>
            </w:r>
            <w:r>
              <w:rPr>
                <w:rFonts w:hint="eastAsia" w:ascii="仿宋" w:hAnsi="仿宋" w:eastAsia="仿宋" w:cs="仿宋"/>
                <w:color w:val="000000"/>
                <w:szCs w:val="21"/>
              </w:rPr>
              <w:t>，投标供应商的报价不得超过项目预算金额。最终结算金额以实际发生额为准。</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（4）投标供应商的报价，应当是本项目采购范围和采购文件及合同条款上所列的各项内容中所述的全部，不得以任何理由予以重复。</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（5）投标供应商应先到项目地点踏勘以充分了解项目的位置、情况及任何</w:t>
            </w:r>
            <w:r>
              <w:rPr>
                <w:rFonts w:hint="eastAsia" w:ascii="仿宋" w:hAnsi="仿宋" w:eastAsia="仿宋" w:cs="仿宋"/>
                <w:color w:val="000000"/>
                <w:szCs w:val="21"/>
                <w:lang w:eastAsia="zh-CN"/>
              </w:rPr>
              <w:t>其他</w:t>
            </w:r>
            <w:r>
              <w:rPr>
                <w:rFonts w:hint="eastAsia" w:ascii="仿宋" w:hAnsi="仿宋" w:eastAsia="仿宋" w:cs="仿宋"/>
                <w:color w:val="000000"/>
                <w:szCs w:val="21"/>
              </w:rPr>
              <w:t>足以影响投标报价的情况，任何因忽视或误解项目情况而导致的索赔或服务期限延长申请将不获批准。</w:t>
            </w:r>
          </w:p>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2、付款方式</w:t>
            </w:r>
          </w:p>
          <w:p>
            <w:pPr>
              <w:widowControl/>
              <w:jc w:val="left"/>
              <w:rPr>
                <w:rFonts w:hint="eastAsia" w:ascii="仿宋" w:hAnsi="仿宋" w:eastAsia="仿宋" w:cs="仿宋"/>
                <w:color w:val="000000"/>
                <w:szCs w:val="21"/>
              </w:rPr>
            </w:pPr>
            <w:r>
              <w:rPr>
                <w:rFonts w:hint="eastAsia" w:ascii="仿宋" w:hAnsi="仿宋" w:eastAsia="仿宋" w:cs="仿宋"/>
                <w:color w:val="000000"/>
                <w:szCs w:val="21"/>
                <w:highlight w:val="none"/>
              </w:rPr>
              <w:t>分二期付款</w:t>
            </w:r>
            <w:r>
              <w:rPr>
                <w:rFonts w:hint="eastAsia" w:ascii="仿宋" w:hAnsi="仿宋" w:eastAsia="仿宋" w:cs="仿宋"/>
                <w:color w:val="000000"/>
                <w:szCs w:val="21"/>
              </w:rPr>
              <w:t>。</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第一期：自双方签订合同之日起10个工作日内，中标方提出付款申请及有效发票，采购方根据合同金额支付中标方合同总价款的</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0%。</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第二期：中标方完成合同规定的各项工作内容、按照合同规定提交最终成果验收报告，并提出付款申请及有效发票后，采购方支付中标方实际总价款剩余金额（因本次项目国际机票等因素可能发生变化，本次最终结算金额以实际发生额为准，若实际发生额高于合同金额，则按合同金额支付剩余款项）。</w:t>
            </w:r>
          </w:p>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3、履约保证金</w:t>
            </w:r>
          </w:p>
          <w:p>
            <w:pPr>
              <w:widowControl/>
              <w:jc w:val="left"/>
              <w:rPr>
                <w:rFonts w:hint="eastAsia" w:ascii="仿宋" w:hAnsi="仿宋" w:eastAsia="仿宋" w:cs="仿宋"/>
                <w:color w:val="000000"/>
                <w:kern w:val="0"/>
                <w:szCs w:val="21"/>
              </w:rPr>
            </w:pPr>
            <w:r>
              <w:rPr>
                <w:rFonts w:hint="eastAsia" w:ascii="仿宋" w:hAnsi="仿宋" w:eastAsia="仿宋" w:cs="仿宋"/>
                <w:color w:val="000000"/>
                <w:szCs w:val="21"/>
              </w:rPr>
              <w:t>无需缴纳履约保证金。</w:t>
            </w:r>
          </w:p>
        </w:tc>
      </w:tr>
      <w:tr>
        <w:trPr>
          <w:trHeight w:val="1303"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pPr>
              <w:jc w:val="left"/>
              <w:rPr>
                <w:rFonts w:hint="eastAsia" w:ascii="仿宋" w:hAnsi="仿宋" w:eastAsia="仿宋" w:cs="仿宋"/>
                <w:szCs w:val="21"/>
              </w:rPr>
            </w:pPr>
            <w:r>
              <w:rPr>
                <w:rFonts w:hint="eastAsia" w:ascii="仿宋" w:hAnsi="仿宋" w:eastAsia="仿宋" w:cs="仿宋"/>
                <w:szCs w:val="21"/>
              </w:rPr>
              <w:t>1.总体要求</w:t>
            </w:r>
          </w:p>
          <w:p>
            <w:pPr>
              <w:jc w:val="left"/>
              <w:rPr>
                <w:rFonts w:hint="eastAsia" w:ascii="仿宋" w:hAnsi="仿宋" w:eastAsia="仿宋" w:cs="仿宋"/>
                <w:szCs w:val="21"/>
              </w:rPr>
            </w:pPr>
            <w:r>
              <w:rPr>
                <w:rFonts w:hint="eastAsia" w:ascii="仿宋" w:hAnsi="仿宋" w:eastAsia="仿宋" w:cs="仿宋"/>
                <w:szCs w:val="21"/>
              </w:rPr>
              <w:t>参照中国援外短期培训项目的管理办法及服务流程，以促进红树林保护修复及合理利用领域的知识共享、技术交流和能力建设为主要目标，拟通过课堂讲座、现场考察、文化体验、座谈交流等多种方式，举办</w:t>
            </w:r>
            <w:r>
              <w:rPr>
                <w:rFonts w:hint="eastAsia" w:ascii="仿宋" w:hAnsi="仿宋" w:eastAsia="仿宋" w:cs="仿宋"/>
                <w:szCs w:val="21"/>
                <w:lang w:eastAsia="zh-CN"/>
              </w:rPr>
              <w:t>国际红树林中心2026年红树林保护修复研讨班（两期）</w:t>
            </w:r>
            <w:r>
              <w:rPr>
                <w:rFonts w:hint="eastAsia" w:ascii="仿宋" w:hAnsi="仿宋" w:eastAsia="仿宋" w:cs="仿宋"/>
                <w:szCs w:val="21"/>
              </w:rPr>
              <w:t>，搭建各国在湿地，特别是红树林保护与管理人员的交流平台，并向国际社会分享红树林保护的“中国经验”和“中国方案”，进一步提升中国湿地履约及国际红树林中心的知名度和全球湿地保护影响力，为全球湿地生态治理贡献“中国智慧”和“中国力量”。</w:t>
            </w:r>
          </w:p>
          <w:p>
            <w:pPr>
              <w:jc w:val="left"/>
              <w:rPr>
                <w:rFonts w:hint="eastAsia" w:ascii="仿宋" w:hAnsi="仿宋" w:eastAsia="仿宋" w:cs="仿宋"/>
                <w:szCs w:val="21"/>
              </w:rPr>
            </w:pPr>
            <w:r>
              <w:rPr>
                <w:rFonts w:hint="eastAsia" w:ascii="仿宋" w:hAnsi="仿宋" w:eastAsia="仿宋" w:cs="仿宋"/>
                <w:szCs w:val="21"/>
              </w:rPr>
              <w:t>2.服务地点</w:t>
            </w:r>
          </w:p>
          <w:p>
            <w:pPr>
              <w:jc w:val="left"/>
              <w:rPr>
                <w:rFonts w:hint="eastAsia" w:ascii="仿宋" w:hAnsi="仿宋" w:eastAsia="仿宋" w:cs="仿宋"/>
                <w:szCs w:val="21"/>
                <w:highlight w:val="none"/>
              </w:rPr>
            </w:pPr>
            <w:r>
              <w:rPr>
                <w:rFonts w:hint="eastAsia" w:ascii="仿宋" w:hAnsi="仿宋" w:eastAsia="仿宋" w:cs="仿宋"/>
                <w:szCs w:val="21"/>
                <w:highlight w:val="none"/>
              </w:rPr>
              <w:t>广东省深圳市</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海南</w:t>
            </w:r>
            <w:r>
              <w:rPr>
                <w:rFonts w:hint="eastAsia" w:ascii="仿宋" w:hAnsi="仿宋" w:eastAsia="仿宋" w:cs="仿宋"/>
                <w:szCs w:val="21"/>
                <w:highlight w:val="none"/>
              </w:rPr>
              <w:t>省</w:t>
            </w:r>
          </w:p>
          <w:p>
            <w:pPr>
              <w:jc w:val="left"/>
              <w:rPr>
                <w:rFonts w:hint="eastAsia" w:ascii="仿宋" w:hAnsi="仿宋" w:eastAsia="仿宋" w:cs="仿宋"/>
                <w:szCs w:val="21"/>
              </w:rPr>
            </w:pPr>
            <w:r>
              <w:rPr>
                <w:rFonts w:hint="eastAsia" w:ascii="仿宋" w:hAnsi="仿宋" w:eastAsia="仿宋" w:cs="仿宋"/>
                <w:szCs w:val="21"/>
              </w:rPr>
              <w:t>服务时间</w:t>
            </w:r>
          </w:p>
          <w:p>
            <w:pPr>
              <w:jc w:val="left"/>
              <w:rPr>
                <w:rFonts w:hint="default" w:ascii="仿宋" w:hAnsi="仿宋" w:eastAsia="仿宋" w:cs="仿宋"/>
                <w:szCs w:val="21"/>
                <w:lang w:val="en-US" w:eastAsia="zh-CN"/>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6</w:t>
            </w:r>
            <w:r>
              <w:rPr>
                <w:rFonts w:hint="eastAsia" w:ascii="仿宋" w:hAnsi="仿宋" w:eastAsia="仿宋" w:cs="仿宋"/>
                <w:szCs w:val="21"/>
              </w:rPr>
              <w:t>月中</w:t>
            </w:r>
            <w:r>
              <w:rPr>
                <w:rFonts w:hint="eastAsia" w:ascii="仿宋" w:hAnsi="仿宋" w:eastAsia="仿宋" w:cs="仿宋"/>
                <w:szCs w:val="21"/>
                <w:lang w:val="en-US" w:eastAsia="zh-CN"/>
              </w:rPr>
              <w:t>上</w:t>
            </w:r>
            <w:r>
              <w:rPr>
                <w:rFonts w:hint="eastAsia" w:ascii="仿宋" w:hAnsi="仿宋" w:eastAsia="仿宋" w:cs="仿宋"/>
                <w:szCs w:val="21"/>
              </w:rPr>
              <w:t>旬</w:t>
            </w:r>
            <w:r>
              <w:rPr>
                <w:rFonts w:hint="eastAsia" w:ascii="仿宋" w:hAnsi="仿宋" w:eastAsia="仿宋" w:cs="仿宋"/>
                <w:szCs w:val="21"/>
                <w:lang w:val="en-US" w:eastAsia="zh-CN"/>
              </w:rPr>
              <w:t>及11月中上旬</w:t>
            </w:r>
          </w:p>
          <w:p>
            <w:pPr>
              <w:tabs>
                <w:tab w:val="left" w:pos="6173"/>
              </w:tabs>
              <w:jc w:val="left"/>
              <w:rPr>
                <w:rFonts w:hint="eastAsia" w:ascii="仿宋" w:hAnsi="仿宋" w:eastAsia="仿宋" w:cs="仿宋"/>
                <w:szCs w:val="21"/>
              </w:rPr>
            </w:pPr>
            <w:r>
              <w:rPr>
                <w:rFonts w:hint="eastAsia" w:ascii="仿宋" w:hAnsi="仿宋" w:eastAsia="仿宋" w:cs="仿宋"/>
                <w:szCs w:val="21"/>
              </w:rPr>
              <w:t>3.人员安排要求</w:t>
            </w:r>
            <w:r>
              <w:rPr>
                <w:rFonts w:ascii="仿宋" w:hAnsi="仿宋" w:eastAsia="仿宋" w:cs="仿宋"/>
                <w:szCs w:val="21"/>
              </w:rPr>
              <w:tab/>
            </w:r>
          </w:p>
          <w:p>
            <w:pPr>
              <w:jc w:val="left"/>
              <w:rPr>
                <w:rFonts w:hint="eastAsia" w:ascii="仿宋" w:hAnsi="仿宋" w:eastAsia="仿宋" w:cs="仿宋"/>
                <w:szCs w:val="21"/>
              </w:rPr>
            </w:pPr>
            <w:r>
              <w:rPr>
                <w:rFonts w:hint="eastAsia" w:ascii="仿宋" w:hAnsi="仿宋" w:eastAsia="仿宋" w:cs="仿宋"/>
                <w:szCs w:val="21"/>
              </w:rPr>
              <w:t>项目组应具有丰富的培训组织工作经验，特别以有援外培训工作经验为佳，确保项目高质量开展。</w:t>
            </w:r>
          </w:p>
          <w:p>
            <w:pPr>
              <w:jc w:val="left"/>
              <w:rPr>
                <w:rFonts w:hint="eastAsia" w:ascii="仿宋" w:hAnsi="仿宋" w:eastAsia="仿宋" w:cs="仿宋"/>
                <w:szCs w:val="21"/>
              </w:rPr>
            </w:pPr>
            <w:r>
              <w:rPr>
                <w:rFonts w:hint="eastAsia" w:ascii="仿宋" w:hAnsi="仿宋" w:eastAsia="仿宋" w:cs="仿宋"/>
                <w:szCs w:val="21"/>
              </w:rPr>
              <w:t>4.内容要求</w:t>
            </w:r>
          </w:p>
          <w:p>
            <w:pPr>
              <w:jc w:val="left"/>
              <w:rPr>
                <w:rFonts w:hint="eastAsia" w:ascii="仿宋" w:hAnsi="仿宋" w:eastAsia="仿宋" w:cs="仿宋"/>
                <w:szCs w:val="21"/>
              </w:rPr>
            </w:pPr>
            <w:r>
              <w:rPr>
                <w:rFonts w:hint="eastAsia" w:ascii="仿宋" w:hAnsi="仿宋" w:eastAsia="仿宋" w:cs="仿宋"/>
                <w:szCs w:val="21"/>
              </w:rPr>
              <w:t>本项目工作内容主要包含前期策划、组织实施、后期保障等工作，工作流程参照中国援外短期培训项目管理和服务流程。</w:t>
            </w:r>
          </w:p>
          <w:p>
            <w:pPr>
              <w:jc w:val="left"/>
              <w:rPr>
                <w:rFonts w:hint="eastAsia" w:ascii="仿宋" w:hAnsi="仿宋" w:eastAsia="仿宋" w:cs="仿宋"/>
                <w:szCs w:val="21"/>
              </w:rPr>
            </w:pPr>
            <w:r>
              <w:rPr>
                <w:rFonts w:hint="eastAsia" w:ascii="仿宋" w:hAnsi="仿宋" w:eastAsia="仿宋" w:cs="仿宋"/>
                <w:szCs w:val="21"/>
              </w:rPr>
              <w:t>（1）前期策划：根据项目具体情况，前期对接有关单位，组织领导专家团队踩点调研，制定实施方案，筹备师资和专家团队，做好学员请进，来华邀请</w:t>
            </w:r>
            <w:r>
              <w:rPr>
                <w:rFonts w:hint="eastAsia" w:ascii="仿宋" w:hAnsi="仿宋" w:eastAsia="仿宋" w:cs="仿宋"/>
                <w:szCs w:val="21"/>
                <w:lang w:eastAsia="zh-CN"/>
              </w:rPr>
              <w:t>及</w:t>
            </w:r>
            <w:r>
              <w:rPr>
                <w:rFonts w:hint="eastAsia" w:ascii="仿宋" w:hAnsi="仿宋" w:eastAsia="仿宋" w:cs="仿宋"/>
                <w:szCs w:val="21"/>
              </w:rPr>
              <w:t>学员来华前各项准备工作。</w:t>
            </w:r>
          </w:p>
          <w:p>
            <w:pPr>
              <w:jc w:val="left"/>
              <w:rPr>
                <w:rFonts w:hint="eastAsia" w:ascii="仿宋" w:hAnsi="仿宋" w:eastAsia="仿宋" w:cs="仿宋"/>
                <w:szCs w:val="21"/>
              </w:rPr>
            </w:pPr>
            <w:r>
              <w:rPr>
                <w:rFonts w:hint="eastAsia" w:ascii="仿宋" w:hAnsi="仿宋" w:eastAsia="仿宋" w:cs="仿宋"/>
                <w:szCs w:val="21"/>
              </w:rPr>
              <w:t>（2）组织实施：按照教学计划安排，有序组织学员报到入住开展破冰活动，按照日程方案进行教学安排，做好课程监控管理。外出考察期间遵循安全第一原则，确保项目开展安全、平稳、高效。</w:t>
            </w:r>
          </w:p>
          <w:p>
            <w:pPr>
              <w:jc w:val="left"/>
              <w:rPr>
                <w:rFonts w:hint="eastAsia" w:ascii="仿宋" w:hAnsi="仿宋" w:eastAsia="仿宋" w:cs="仿宋"/>
                <w:szCs w:val="21"/>
              </w:rPr>
            </w:pPr>
            <w:r>
              <w:rPr>
                <w:rFonts w:hint="eastAsia" w:ascii="仿宋" w:hAnsi="仿宋" w:eastAsia="仿宋" w:cs="仿宋"/>
                <w:szCs w:val="21"/>
              </w:rPr>
              <w:t>（3）后期保障：做好与培训相关的总结、宣传和评估等工作，及时上报培训总结材料。</w:t>
            </w:r>
          </w:p>
          <w:p>
            <w:pPr>
              <w:jc w:val="left"/>
              <w:rPr>
                <w:rFonts w:hint="eastAsia" w:ascii="仿宋" w:hAnsi="仿宋" w:eastAsia="仿宋" w:cs="仿宋"/>
                <w:szCs w:val="21"/>
              </w:rPr>
            </w:pPr>
            <w:r>
              <w:rPr>
                <w:rFonts w:hint="eastAsia" w:ascii="仿宋" w:hAnsi="仿宋" w:eastAsia="仿宋" w:cs="仿宋"/>
                <w:szCs w:val="21"/>
              </w:rPr>
              <w:t>（4）其他：协助国际红树林中心临时秘书处，协调相关场地及活动执行，共同起草各类宣传报道，统筹安排摄影、重点学员采访等工作，提高培训宣传影响力。</w:t>
            </w:r>
          </w:p>
        </w:tc>
      </w:tr>
      <w:tr>
        <w:trPr>
          <w:trHeight w:val="694" w:hRule="atLeast"/>
        </w:trPr>
        <w:tc>
          <w:tcPr>
            <w:tcW w:w="1560" w:type="dxa"/>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pPr>
              <w:jc w:val="left"/>
              <w:rPr>
                <w:rFonts w:hint="eastAsia" w:ascii="仿宋" w:hAnsi="仿宋" w:eastAsia="仿宋" w:cs="仿宋"/>
                <w:color w:val="000000"/>
                <w:szCs w:val="21"/>
              </w:rPr>
            </w:pPr>
            <w:r>
              <w:rPr>
                <w:rFonts w:hint="eastAsia" w:ascii="仿宋" w:hAnsi="仿宋" w:eastAsia="仿宋" w:cs="仿宋"/>
                <w:color w:val="000000"/>
                <w:szCs w:val="21"/>
              </w:rPr>
              <w:t>1、服务期限</w:t>
            </w:r>
          </w:p>
          <w:p>
            <w:pPr>
              <w:jc w:val="left"/>
              <w:rPr>
                <w:rFonts w:hint="eastAsia" w:ascii="仿宋" w:hAnsi="仿宋" w:eastAsia="仿宋" w:cs="仿宋"/>
                <w:color w:val="000000"/>
                <w:szCs w:val="21"/>
              </w:rPr>
            </w:pPr>
            <w:bookmarkStart w:id="0" w:name="_Hlk132040907"/>
            <w:r>
              <w:rPr>
                <w:rFonts w:hint="eastAsia" w:ascii="仿宋" w:hAnsi="仿宋" w:eastAsia="仿宋" w:cs="仿宋"/>
                <w:szCs w:val="21"/>
              </w:rPr>
              <w:t>合同签订之日起至202</w:t>
            </w:r>
            <w:r>
              <w:rPr>
                <w:rFonts w:hint="eastAsia" w:ascii="仿宋" w:hAnsi="仿宋" w:eastAsia="仿宋" w:cs="仿宋"/>
                <w:szCs w:val="21"/>
                <w:lang w:val="en-US" w:eastAsia="zh-CN"/>
              </w:rPr>
              <w:t>6</w:t>
            </w:r>
            <w:r>
              <w:rPr>
                <w:rFonts w:hint="eastAsia" w:ascii="仿宋" w:hAnsi="仿宋" w:eastAsia="仿宋" w:cs="仿宋"/>
                <w:szCs w:val="21"/>
              </w:rPr>
              <w:t>年1</w:t>
            </w:r>
            <w:r>
              <w:rPr>
                <w:rFonts w:hint="eastAsia" w:ascii="仿宋" w:hAnsi="仿宋" w:eastAsia="仿宋" w:cs="仿宋"/>
                <w:szCs w:val="21"/>
                <w:lang w:val="en-US" w:eastAsia="zh-CN"/>
              </w:rPr>
              <w:t>2</w:t>
            </w:r>
            <w:r>
              <w:rPr>
                <w:rFonts w:hint="eastAsia" w:ascii="仿宋" w:hAnsi="仿宋" w:eastAsia="仿宋" w:cs="仿宋"/>
                <w:szCs w:val="21"/>
              </w:rPr>
              <w:t>月3</w:t>
            </w:r>
            <w:r>
              <w:rPr>
                <w:rFonts w:hint="eastAsia" w:ascii="仿宋" w:hAnsi="仿宋" w:eastAsia="仿宋" w:cs="仿宋"/>
                <w:szCs w:val="21"/>
                <w:lang w:val="en-US" w:eastAsia="zh-CN"/>
              </w:rPr>
              <w:t>1</w:t>
            </w:r>
            <w:r>
              <w:rPr>
                <w:rFonts w:hint="eastAsia" w:ascii="仿宋" w:hAnsi="仿宋" w:eastAsia="仿宋" w:cs="仿宋"/>
                <w:szCs w:val="21"/>
              </w:rPr>
              <w:t>日，完成本项目的最终全部工作内容</w:t>
            </w:r>
            <w:bookmarkEnd w:id="0"/>
            <w:r>
              <w:rPr>
                <w:rFonts w:hint="eastAsia" w:ascii="仿宋" w:hAnsi="仿宋" w:eastAsia="仿宋" w:cs="仿宋"/>
                <w:color w:val="000000"/>
                <w:szCs w:val="21"/>
              </w:rPr>
              <w:t>。</w:t>
            </w:r>
          </w:p>
          <w:p>
            <w:pPr>
              <w:jc w:val="left"/>
              <w:rPr>
                <w:rFonts w:hint="eastAsia" w:ascii="仿宋" w:hAnsi="仿宋" w:eastAsia="仿宋" w:cs="仿宋"/>
                <w:color w:val="000000"/>
                <w:szCs w:val="21"/>
              </w:rPr>
            </w:pPr>
            <w:r>
              <w:rPr>
                <w:rFonts w:hint="eastAsia" w:ascii="仿宋" w:hAnsi="仿宋" w:eastAsia="仿宋" w:cs="仿宋"/>
                <w:color w:val="000000"/>
                <w:szCs w:val="21"/>
              </w:rPr>
              <w:t>2、进度安排</w:t>
            </w:r>
          </w:p>
          <w:p>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合同签订后，中标人应于一周内组织项目团队启动项目有关工作。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79"/>
              <w:gridCol w:w="2826"/>
            </w:tblGrid>
            <w:tr>
              <w:trPr>
                <w:trHeight w:val="375" w:hRule="atLeast"/>
              </w:trPr>
              <w:tc>
                <w:tcPr>
                  <w:tcW w:w="875" w:type="dxa"/>
                  <w:vAlign w:val="center"/>
                </w:tcPr>
                <w:p>
                  <w:pPr>
                    <w:spacing w:line="560" w:lineRule="exact"/>
                    <w:jc w:val="center"/>
                    <w:rPr>
                      <w:rFonts w:hint="eastAsia" w:ascii="宋体" w:hAnsi="宋体"/>
                      <w:b/>
                      <w:bCs/>
                      <w:szCs w:val="21"/>
                    </w:rPr>
                  </w:pPr>
                  <w:r>
                    <w:rPr>
                      <w:rFonts w:hint="eastAsia" w:ascii="宋体" w:hAnsi="宋体"/>
                      <w:b/>
                      <w:bCs/>
                      <w:szCs w:val="21"/>
                    </w:rPr>
                    <w:t>阶段</w:t>
                  </w:r>
                </w:p>
              </w:tc>
              <w:tc>
                <w:tcPr>
                  <w:tcW w:w="3479" w:type="dxa"/>
                  <w:vAlign w:val="center"/>
                </w:tcPr>
                <w:p>
                  <w:pPr>
                    <w:spacing w:line="560" w:lineRule="exact"/>
                    <w:jc w:val="center"/>
                    <w:rPr>
                      <w:rFonts w:hint="eastAsia" w:ascii="宋体" w:hAnsi="宋体"/>
                      <w:b/>
                      <w:bCs/>
                      <w:szCs w:val="21"/>
                    </w:rPr>
                  </w:pPr>
                  <w:r>
                    <w:rPr>
                      <w:rFonts w:hint="eastAsia" w:ascii="宋体" w:hAnsi="宋体"/>
                      <w:b/>
                      <w:bCs/>
                      <w:szCs w:val="21"/>
                    </w:rPr>
                    <w:t>工作内容</w:t>
                  </w:r>
                </w:p>
              </w:tc>
              <w:tc>
                <w:tcPr>
                  <w:tcW w:w="2826" w:type="dxa"/>
                  <w:vAlign w:val="center"/>
                </w:tcPr>
                <w:p>
                  <w:pPr>
                    <w:spacing w:line="560" w:lineRule="exact"/>
                    <w:jc w:val="center"/>
                    <w:rPr>
                      <w:rFonts w:hint="eastAsia" w:ascii="宋体" w:hAnsi="宋体"/>
                      <w:b/>
                      <w:bCs/>
                      <w:szCs w:val="21"/>
                    </w:rPr>
                  </w:pPr>
                  <w:r>
                    <w:rPr>
                      <w:rFonts w:hint="eastAsia" w:ascii="宋体" w:hAnsi="宋体"/>
                      <w:b/>
                      <w:bCs/>
                      <w:szCs w:val="21"/>
                    </w:rPr>
                    <w:t>时间安排</w:t>
                  </w:r>
                </w:p>
              </w:tc>
            </w:tr>
            <w:tr>
              <w:trPr>
                <w:trHeight w:val="369" w:hRule="atLeast"/>
              </w:trPr>
              <w:tc>
                <w:tcPr>
                  <w:tcW w:w="875"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1</w:t>
                  </w:r>
                </w:p>
              </w:tc>
              <w:tc>
                <w:tcPr>
                  <w:tcW w:w="3479"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前期</w:t>
                  </w:r>
                  <w:r>
                    <w:rPr>
                      <w:rFonts w:hint="eastAsia" w:ascii="仿宋" w:hAnsi="仿宋" w:eastAsia="仿宋" w:cs="仿宋"/>
                      <w:szCs w:val="21"/>
                    </w:rPr>
                    <w:t>准备</w:t>
                  </w:r>
                </w:p>
              </w:tc>
              <w:tc>
                <w:tcPr>
                  <w:tcW w:w="2826" w:type="dxa"/>
                  <w:vAlign w:val="center"/>
                </w:tcPr>
                <w:p>
                  <w:pPr>
                    <w:rPr>
                      <w:rFonts w:hint="eastAsia" w:ascii="仿宋" w:hAnsi="仿宋" w:eastAsia="仿宋" w:cs="仿宋"/>
                      <w:szCs w:val="21"/>
                      <w:highlight w:val="none"/>
                    </w:rPr>
                  </w:pPr>
                  <w:r>
                    <w:rPr>
                      <w:rFonts w:hint="eastAsia" w:ascii="仿宋" w:hAnsi="仿宋" w:eastAsia="仿宋" w:cs="仿宋"/>
                      <w:szCs w:val="21"/>
                      <w:highlight w:val="none"/>
                    </w:rPr>
                    <w:t>合同签订后至202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月初</w:t>
                  </w:r>
                </w:p>
              </w:tc>
            </w:tr>
            <w:tr>
              <w:trPr>
                <w:trHeight w:val="80" w:hRule="atLeast"/>
              </w:trPr>
              <w:tc>
                <w:tcPr>
                  <w:tcW w:w="875"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2</w:t>
                  </w:r>
                </w:p>
              </w:tc>
              <w:tc>
                <w:tcPr>
                  <w:tcW w:w="3479" w:type="dxa"/>
                  <w:vAlign w:val="center"/>
                </w:tcPr>
                <w:p>
                  <w:pPr>
                    <w:ind w:firstLine="420" w:firstLineChars="200"/>
                    <w:jc w:val="center"/>
                    <w:rPr>
                      <w:rFonts w:hint="default" w:ascii="仿宋" w:hAnsi="仿宋" w:eastAsia="仿宋" w:cs="仿宋"/>
                      <w:szCs w:val="21"/>
                      <w:lang w:val="en-US" w:eastAsia="zh-CN"/>
                    </w:rPr>
                  </w:pPr>
                  <w:r>
                    <w:rPr>
                      <w:rFonts w:hint="eastAsia" w:ascii="仿宋" w:hAnsi="仿宋" w:eastAsia="仿宋" w:cs="仿宋"/>
                      <w:szCs w:val="21"/>
                    </w:rPr>
                    <w:t>研讨班</w:t>
                  </w:r>
                  <w:r>
                    <w:rPr>
                      <w:rFonts w:hint="eastAsia" w:ascii="仿宋" w:hAnsi="仿宋" w:eastAsia="仿宋" w:cs="仿宋"/>
                      <w:szCs w:val="21"/>
                      <w:lang w:eastAsia="zh-CN"/>
                    </w:rPr>
                    <w:t>（</w:t>
                  </w:r>
                  <w:r>
                    <w:rPr>
                      <w:rFonts w:hint="eastAsia" w:ascii="仿宋" w:hAnsi="仿宋" w:eastAsia="仿宋" w:cs="仿宋"/>
                      <w:szCs w:val="21"/>
                      <w:lang w:val="en-US" w:eastAsia="zh-CN"/>
                    </w:rPr>
                    <w:t>一期）</w:t>
                  </w:r>
                </w:p>
              </w:tc>
              <w:tc>
                <w:tcPr>
                  <w:tcW w:w="2826"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月中</w:t>
                  </w:r>
                  <w:r>
                    <w:rPr>
                      <w:rFonts w:hint="eastAsia" w:ascii="仿宋" w:hAnsi="仿宋" w:eastAsia="仿宋" w:cs="仿宋"/>
                      <w:szCs w:val="21"/>
                      <w:highlight w:val="none"/>
                      <w:lang w:val="en-US" w:eastAsia="zh-CN"/>
                    </w:rPr>
                    <w:t>上</w:t>
                  </w:r>
                  <w:r>
                    <w:rPr>
                      <w:rFonts w:hint="eastAsia" w:ascii="仿宋" w:hAnsi="仿宋" w:eastAsia="仿宋" w:cs="仿宋"/>
                      <w:szCs w:val="21"/>
                      <w:highlight w:val="none"/>
                    </w:rPr>
                    <w:t>旬</w:t>
                  </w:r>
                </w:p>
              </w:tc>
            </w:tr>
            <w:tr>
              <w:trPr>
                <w:trHeight w:val="80" w:hRule="atLeast"/>
              </w:trPr>
              <w:tc>
                <w:tcPr>
                  <w:tcW w:w="875" w:type="dxa"/>
                  <w:vAlign w:val="center"/>
                </w:tcPr>
                <w:p>
                  <w:pPr>
                    <w:ind w:firstLine="420" w:firstLineChars="200"/>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3479" w:type="dxa"/>
                  <w:vAlign w:val="center"/>
                </w:tcPr>
                <w:p>
                  <w:pPr>
                    <w:ind w:firstLine="420" w:firstLineChars="200"/>
                    <w:jc w:val="center"/>
                    <w:rPr>
                      <w:rFonts w:hint="eastAsia" w:ascii="仿宋" w:hAnsi="仿宋" w:eastAsia="仿宋" w:cs="仿宋"/>
                      <w:szCs w:val="21"/>
                    </w:rPr>
                  </w:pPr>
                  <w:r>
                    <w:rPr>
                      <w:rFonts w:hint="eastAsia" w:ascii="仿宋" w:hAnsi="仿宋" w:eastAsia="仿宋" w:cs="仿宋"/>
                      <w:szCs w:val="21"/>
                    </w:rPr>
                    <w:t>研讨班</w:t>
                  </w:r>
                  <w:r>
                    <w:rPr>
                      <w:rFonts w:hint="eastAsia" w:ascii="仿宋" w:hAnsi="仿宋" w:eastAsia="仿宋" w:cs="仿宋"/>
                      <w:szCs w:val="21"/>
                      <w:lang w:eastAsia="zh-CN"/>
                    </w:rPr>
                    <w:t>（</w:t>
                  </w:r>
                  <w:r>
                    <w:rPr>
                      <w:rFonts w:hint="eastAsia" w:ascii="仿宋" w:hAnsi="仿宋" w:eastAsia="仿宋" w:cs="仿宋"/>
                      <w:szCs w:val="21"/>
                      <w:lang w:val="en-US" w:eastAsia="zh-CN"/>
                    </w:rPr>
                    <w:t>二期）</w:t>
                  </w:r>
                </w:p>
              </w:tc>
              <w:tc>
                <w:tcPr>
                  <w:tcW w:w="2826"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11</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中</w:t>
                  </w:r>
                  <w:r>
                    <w:rPr>
                      <w:rFonts w:hint="eastAsia" w:ascii="仿宋" w:hAnsi="仿宋" w:eastAsia="仿宋" w:cs="仿宋"/>
                      <w:szCs w:val="21"/>
                      <w:highlight w:val="none"/>
                      <w:lang w:eastAsia="zh-CN"/>
                    </w:rPr>
                    <w:t>上</w:t>
                  </w:r>
                  <w:r>
                    <w:rPr>
                      <w:rFonts w:hint="eastAsia" w:ascii="仿宋" w:hAnsi="仿宋" w:eastAsia="仿宋" w:cs="仿宋"/>
                      <w:szCs w:val="21"/>
                      <w:highlight w:val="none"/>
                    </w:rPr>
                    <w:t>旬</w:t>
                  </w:r>
                </w:p>
              </w:tc>
            </w:tr>
          </w:tbl>
          <w:p>
            <w:pPr>
              <w:jc w:val="left"/>
              <w:rPr>
                <w:rFonts w:hint="eastAsia" w:ascii="仿宋" w:hAnsi="仿宋" w:eastAsia="仿宋" w:cs="仿宋"/>
                <w:color w:val="000000"/>
                <w:szCs w:val="21"/>
              </w:rPr>
            </w:pPr>
            <w:r>
              <w:rPr>
                <w:rFonts w:ascii="仿宋" w:hAnsi="仿宋" w:eastAsia="仿宋" w:cs="仿宋"/>
                <w:color w:val="000000"/>
                <w:szCs w:val="21"/>
                <w:lang w:val="en"/>
              </w:rPr>
              <w:t>3</w:t>
            </w:r>
            <w:r>
              <w:rPr>
                <w:rFonts w:hint="eastAsia" w:ascii="仿宋" w:hAnsi="仿宋" w:eastAsia="仿宋" w:cs="仿宋"/>
                <w:color w:val="000000"/>
                <w:szCs w:val="21"/>
                <w:lang w:val="en"/>
              </w:rPr>
              <w:t>、</w:t>
            </w:r>
            <w:r>
              <w:rPr>
                <w:rFonts w:hint="eastAsia" w:ascii="仿宋" w:hAnsi="仿宋" w:eastAsia="仿宋" w:cs="仿宋"/>
                <w:color w:val="000000"/>
                <w:szCs w:val="21"/>
              </w:rPr>
              <w:t>成果要求</w:t>
            </w:r>
          </w:p>
          <w:p>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（1）</w:t>
            </w:r>
            <w:r>
              <w:rPr>
                <w:rFonts w:hint="eastAsia" w:ascii="仿宋" w:hAnsi="仿宋" w:eastAsia="仿宋" w:cs="仿宋"/>
                <w:color w:val="000000"/>
                <w:szCs w:val="21"/>
              </w:rPr>
              <w:t>高标准</w:t>
            </w:r>
            <w:r>
              <w:rPr>
                <w:rFonts w:hint="eastAsia" w:ascii="仿宋" w:hAnsi="仿宋" w:eastAsia="仿宋" w:cs="仿宋"/>
                <w:color w:val="000000"/>
                <w:szCs w:val="21"/>
                <w:lang w:val="en"/>
              </w:rPr>
              <w:t>完成</w:t>
            </w:r>
            <w:r>
              <w:rPr>
                <w:rFonts w:hint="eastAsia" w:ascii="仿宋" w:hAnsi="仿宋" w:eastAsia="仿宋" w:cs="仿宋"/>
                <w:color w:val="000000"/>
                <w:szCs w:val="21"/>
                <w:lang w:val="en" w:eastAsia="zh-CN"/>
              </w:rPr>
              <w:t>国际红树林中心2026年红树林保护修复研讨班（两期）</w:t>
            </w:r>
            <w:r>
              <w:rPr>
                <w:rFonts w:hint="eastAsia" w:ascii="仿宋" w:hAnsi="仿宋" w:eastAsia="仿宋" w:cs="仿宋"/>
                <w:color w:val="000000"/>
                <w:szCs w:val="21"/>
                <w:lang w:val="en"/>
              </w:rPr>
              <w:t>；</w:t>
            </w:r>
          </w:p>
          <w:p>
            <w:pPr>
              <w:jc w:val="left"/>
              <w:rPr>
                <w:rFonts w:hint="eastAsia" w:ascii="仿宋" w:hAnsi="仿宋" w:eastAsia="仿宋" w:cs="仿宋"/>
                <w:color w:val="000000"/>
                <w:szCs w:val="21"/>
              </w:rPr>
            </w:pPr>
            <w:r>
              <w:rPr>
                <w:rFonts w:hint="eastAsia" w:ascii="仿宋" w:hAnsi="仿宋" w:eastAsia="仿宋" w:cs="仿宋"/>
                <w:color w:val="000000"/>
                <w:szCs w:val="21"/>
              </w:rPr>
              <w:t>（2）全程影像跟拍以及归档课程等相关影音资料；</w:t>
            </w:r>
          </w:p>
          <w:p>
            <w:pPr>
              <w:jc w:val="left"/>
              <w:rPr>
                <w:rFonts w:hint="eastAsia" w:ascii="仿宋" w:hAnsi="仿宋" w:eastAsia="仿宋" w:cs="仿宋"/>
                <w:color w:val="000000"/>
                <w:szCs w:val="21"/>
              </w:rPr>
            </w:pPr>
            <w:r>
              <w:rPr>
                <w:rFonts w:hint="eastAsia" w:ascii="仿宋" w:hAnsi="仿宋" w:eastAsia="仿宋" w:cs="仿宋"/>
                <w:color w:val="000000"/>
                <w:szCs w:val="21"/>
              </w:rPr>
              <w:t>（3）归档总结材料（包括培训相关材料、外业考察相关解说词、总结报告、学员评价等培训全过程相关资料）；</w:t>
            </w:r>
          </w:p>
          <w:p>
            <w:pPr>
              <w:jc w:val="left"/>
              <w:rPr>
                <w:rFonts w:hint="eastAsia" w:ascii="仿宋" w:hAnsi="仿宋" w:eastAsia="仿宋" w:cs="仿宋"/>
                <w:color w:val="000000"/>
                <w:szCs w:val="21"/>
              </w:rPr>
            </w:pPr>
            <w:r>
              <w:rPr>
                <w:rFonts w:hint="eastAsia" w:ascii="仿宋" w:hAnsi="仿宋" w:eastAsia="仿宋" w:cs="仿宋"/>
                <w:color w:val="000000"/>
                <w:szCs w:val="21"/>
              </w:rPr>
              <w:t xml:space="preserve">4、服务质量监督和项目验收要求 </w:t>
            </w:r>
          </w:p>
          <w:p>
            <w:pPr>
              <w:jc w:val="left"/>
              <w:rPr>
                <w:rFonts w:hint="eastAsia" w:ascii="仿宋" w:hAnsi="仿宋" w:eastAsia="仿宋" w:cs="仿宋"/>
                <w:color w:val="000000"/>
                <w:szCs w:val="21"/>
              </w:rPr>
            </w:pPr>
            <w:r>
              <w:rPr>
                <w:rFonts w:hint="eastAsia" w:ascii="仿宋" w:hAnsi="仿宋" w:eastAsia="仿宋" w:cs="仿宋"/>
                <w:color w:val="000000"/>
                <w:szCs w:val="21"/>
              </w:rPr>
              <w:t>按采购方的招标技术及时间要求，完成相应工作成果并全部提交后，采购方将进行项目验收。验收方式为</w:t>
            </w:r>
            <w:r>
              <w:rPr>
                <w:rFonts w:hint="eastAsia" w:ascii="仿宋" w:hAnsi="仿宋" w:eastAsia="仿宋" w:cs="仿宋"/>
                <w:szCs w:val="21"/>
              </w:rPr>
              <w:t>国际红树林中心建设工作专班</w:t>
            </w:r>
            <w:r>
              <w:rPr>
                <w:rFonts w:hint="eastAsia" w:ascii="仿宋" w:hAnsi="仿宋" w:eastAsia="仿宋" w:cs="仿宋"/>
                <w:szCs w:val="21"/>
                <w:lang w:eastAsia="zh-CN"/>
              </w:rPr>
              <w:t>审批存档</w:t>
            </w:r>
            <w:r>
              <w:rPr>
                <w:rFonts w:hint="eastAsia" w:ascii="仿宋" w:hAnsi="仿宋" w:eastAsia="仿宋" w:cs="仿宋"/>
                <w:color w:val="000000"/>
                <w:szCs w:val="21"/>
              </w:rPr>
              <w:t>。</w:t>
            </w:r>
          </w:p>
          <w:p>
            <w:pPr>
              <w:widowControl/>
              <w:jc w:val="left"/>
              <w:rPr>
                <w:rFonts w:hint="eastAsia"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w:t>
            </w:r>
            <w:r>
              <w:rPr>
                <w:rFonts w:ascii="仿宋" w:hAnsi="仿宋" w:eastAsia="仿宋" w:cs="仿宋"/>
                <w:color w:val="000000"/>
                <w:szCs w:val="21"/>
              </w:rPr>
              <w:t>售后服务要求</w:t>
            </w:r>
          </w:p>
          <w:p>
            <w:pPr>
              <w:jc w:val="left"/>
              <w:rPr>
                <w:rFonts w:hint="eastAsia" w:ascii="仿宋" w:hAnsi="仿宋" w:eastAsia="仿宋" w:cs="仿宋"/>
                <w:color w:val="000000"/>
                <w:szCs w:val="21"/>
              </w:rPr>
            </w:pPr>
            <w:r>
              <w:rPr>
                <w:rFonts w:ascii="仿宋" w:hAnsi="仿宋" w:eastAsia="仿宋" w:cs="仿宋"/>
                <w:color w:val="000000"/>
                <w:szCs w:val="21"/>
              </w:rPr>
              <w:t>项目售后服务期限自最终成果提交采购方之日起的</w:t>
            </w:r>
            <w:r>
              <w:rPr>
                <w:rFonts w:ascii="仿宋" w:hAnsi="仿宋" w:eastAsia="仿宋" w:cs="仿宋"/>
                <w:color w:val="000000"/>
                <w:szCs w:val="21"/>
                <w:highlight w:val="none"/>
              </w:rPr>
              <w:t>6个月内</w:t>
            </w:r>
            <w:r>
              <w:rPr>
                <w:rFonts w:ascii="仿宋" w:hAnsi="仿宋" w:eastAsia="仿宋" w:cs="仿宋"/>
                <w:color w:val="000000"/>
                <w:szCs w:val="21"/>
              </w:rPr>
              <w:t>，中标方须与采购方保持密切沟通，随时跟进项目后续的服务需求，提供相关技术支持，配合做好相关汇报工作。</w:t>
            </w:r>
          </w:p>
          <w:p>
            <w:pPr>
              <w:jc w:val="left"/>
              <w:rPr>
                <w:rFonts w:hint="eastAsia" w:ascii="仿宋" w:hAnsi="仿宋" w:eastAsia="仿宋" w:cs="仿宋"/>
                <w:color w:val="000000"/>
                <w:szCs w:val="21"/>
              </w:rPr>
            </w:pPr>
            <w:r>
              <w:rPr>
                <w:rFonts w:hint="eastAsia" w:ascii="仿宋" w:hAnsi="仿宋" w:eastAsia="仿宋" w:cs="仿宋"/>
                <w:color w:val="000000"/>
                <w:szCs w:val="21"/>
              </w:rPr>
              <w:t>6、其他要求</w:t>
            </w:r>
          </w:p>
          <w:p>
            <w:pPr>
              <w:pStyle w:val="3"/>
              <w:spacing w:before="78" w:beforeLines="25" w:after="78" w:afterLines="25"/>
              <w:ind w:firstLine="0"/>
              <w:rPr>
                <w:rFonts w:hint="eastAsia" w:ascii="仿宋" w:hAnsi="仿宋" w:eastAsia="仿宋" w:cs="仿宋"/>
                <w:szCs w:val="21"/>
              </w:rPr>
            </w:pPr>
            <w:r>
              <w:rPr>
                <w:rFonts w:hint="eastAsia" w:ascii="仿宋" w:hAnsi="仿宋" w:eastAsia="仿宋" w:cs="仿宋"/>
                <w:szCs w:val="21"/>
              </w:rPr>
              <w:t>（1）投标方应确保投标文件中的人员信息及所提交资料的真实、有效。</w:t>
            </w:r>
          </w:p>
          <w:p>
            <w:pPr>
              <w:jc w:val="left"/>
              <w:rPr>
                <w:rFonts w:hint="eastAsia" w:ascii="仿宋" w:hAnsi="仿宋" w:eastAsia="仿宋" w:cs="仿宋"/>
                <w:color w:val="000000"/>
                <w:szCs w:val="21"/>
              </w:rPr>
            </w:pPr>
            <w:r>
              <w:rPr>
                <w:rFonts w:hint="eastAsia" w:ascii="仿宋" w:hAnsi="仿宋" w:eastAsia="仿宋" w:cs="仿宋"/>
                <w:szCs w:val="21"/>
              </w:rPr>
              <w:t>（2）投标方必须保守国家机密，不得泄漏采购方所提供的属</w:t>
            </w:r>
            <w:bookmarkStart w:id="1" w:name="_GoBack"/>
            <w:bookmarkEnd w:id="1"/>
            <w:r>
              <w:rPr>
                <w:rFonts w:hint="eastAsia" w:ascii="仿宋" w:hAnsi="仿宋" w:eastAsia="仿宋" w:cs="仿宋"/>
                <w:szCs w:val="21"/>
              </w:rPr>
              <w:t>国家秘密的信息和数据；未经采购方允许，不得向第三方提供本项目的相关信息或数据。</w:t>
            </w:r>
          </w:p>
        </w:tc>
      </w:tr>
      <w:tr>
        <w:trPr>
          <w:trHeight w:val="388" w:hRule="atLeast"/>
        </w:trPr>
        <w:tc>
          <w:tcPr>
            <w:tcW w:w="1560" w:type="dxa"/>
            <w:vMerge w:val="restart"/>
          </w:tcPr>
          <w:p>
            <w:pPr>
              <w:jc w:val="center"/>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pPr>
              <w:jc w:val="left"/>
              <w:rPr>
                <w:rFonts w:hint="eastAsia" w:ascii="仿宋" w:hAnsi="仿宋" w:eastAsia="仿宋" w:cs="仿宋"/>
                <w:szCs w:val="21"/>
              </w:rPr>
            </w:pPr>
            <w:r>
              <w:rPr>
                <w:rFonts w:hint="eastAsia" w:ascii="仿宋" w:hAnsi="仿宋" w:eastAsia="仿宋" w:cs="仿宋"/>
                <w:szCs w:val="21"/>
              </w:rPr>
              <w:t>特定供应商的名称、项目负责人及联系方式</w:t>
            </w:r>
          </w:p>
        </w:tc>
      </w:tr>
      <w:tr>
        <w:trPr>
          <w:trHeight w:val="315" w:hRule="atLeast"/>
        </w:trPr>
        <w:tc>
          <w:tcPr>
            <w:tcW w:w="1560" w:type="dxa"/>
            <w:vMerge w:val="continue"/>
          </w:tcPr>
          <w:p>
            <w:pPr>
              <w:jc w:val="left"/>
              <w:rPr>
                <w:rFonts w:hint="eastAsia" w:ascii="仿宋" w:hAnsi="仿宋" w:eastAsia="仿宋" w:cs="仿宋"/>
                <w:szCs w:val="21"/>
              </w:rPr>
            </w:pPr>
          </w:p>
        </w:tc>
        <w:tc>
          <w:tcPr>
            <w:tcW w:w="850" w:type="dxa"/>
            <w:vMerge w:val="restart"/>
          </w:tcPr>
          <w:p>
            <w:pPr>
              <w:jc w:val="left"/>
              <w:rPr>
                <w:rFonts w:hint="eastAsia" w:ascii="仿宋" w:hAnsi="仿宋" w:eastAsia="仿宋" w:cs="仿宋"/>
                <w:szCs w:val="21"/>
              </w:rPr>
            </w:pPr>
            <w:r>
              <w:rPr>
                <w:rFonts w:hint="eastAsia" w:ascii="仿宋" w:hAnsi="仿宋" w:eastAsia="仿宋" w:cs="仿宋"/>
                <w:szCs w:val="21"/>
              </w:rPr>
              <w:t>特定供应商</w:t>
            </w: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单位名称：国家林业和草原局管理干部学院</w:t>
            </w:r>
          </w:p>
        </w:tc>
      </w:tr>
      <w:tr>
        <w:trPr>
          <w:trHeight w:val="325"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szCs w:val="21"/>
              </w:rPr>
            </w:pP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项目负责人：刘冠宇</w:t>
            </w:r>
          </w:p>
        </w:tc>
      </w:tr>
      <w:tr>
        <w:trPr>
          <w:trHeight w:val="283"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szCs w:val="21"/>
              </w:rPr>
            </w:pP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 xml:space="preserve">联系电话：010-60282111 </w:t>
            </w:r>
          </w:p>
        </w:tc>
      </w:tr>
      <w:tr>
        <w:tc>
          <w:tcPr>
            <w:tcW w:w="1560" w:type="dxa"/>
            <w:tcBorders>
              <w:top w:val="single" w:color="auto" w:sz="4" w:space="0"/>
              <w:left w:val="single" w:color="auto" w:sz="4" w:space="0"/>
              <w:right w:val="single" w:color="auto" w:sz="4" w:space="0"/>
            </w:tcBorders>
          </w:tcPr>
          <w:p>
            <w:pPr>
              <w:jc w:val="center"/>
              <w:rPr>
                <w:rFonts w:hint="eastAsia" w:ascii="仿宋" w:hAnsi="仿宋" w:eastAsia="仿宋" w:cs="仿宋"/>
                <w:szCs w:val="21"/>
              </w:rPr>
            </w:pPr>
            <w:r>
              <w:rPr>
                <w:rFonts w:hint="eastAsia" w:ascii="仿宋" w:hAnsi="仿宋" w:eastAsia="仿宋" w:cs="仿宋"/>
                <w:szCs w:val="21"/>
              </w:rPr>
              <w:t>评标信息</w:t>
            </w:r>
          </w:p>
        </w:tc>
        <w:tc>
          <w:tcPr>
            <w:tcW w:w="7407" w:type="dxa"/>
            <w:gridSpan w:val="4"/>
            <w:tcBorders>
              <w:top w:val="single" w:color="auto" w:sz="4" w:space="0"/>
              <w:left w:val="single" w:color="auto" w:sz="4" w:space="0"/>
              <w:bottom w:val="single" w:color="auto" w:sz="4" w:space="0"/>
              <w:right w:val="single" w:color="auto" w:sz="4" w:space="0"/>
            </w:tcBorders>
          </w:tcPr>
          <w:p>
            <w:pPr>
              <w:spacing w:after="156" w:afterLines="50"/>
              <w:ind w:firstLine="33" w:firstLineChars="16"/>
              <w:jc w:val="left"/>
              <w:rPr>
                <w:rFonts w:hint="eastAsia" w:ascii="仿宋" w:hAnsi="仿宋" w:eastAsia="仿宋" w:cs="仿宋"/>
                <w:szCs w:val="21"/>
              </w:rPr>
            </w:pPr>
            <w:r>
              <w:rPr>
                <w:rFonts w:hint="eastAsia" w:ascii="仿宋" w:hAnsi="仿宋" w:eastAsia="仿宋" w:cs="仿宋"/>
                <w:szCs w:val="21"/>
              </w:rPr>
              <w:t>单一来源采购，拟与潜在供应商国家林业和草原局管理干部学院开展谈判确定。</w:t>
            </w:r>
          </w:p>
        </w:tc>
      </w:tr>
    </w:tbl>
    <w:p>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rPr>
          <w:rFonts w:hint="eastAsia" w:ascii="仿宋" w:hAnsi="仿宋" w:eastAsia="仿宋"/>
          <w:bCs/>
          <w:color w:val="000000"/>
          <w:szCs w:val="21"/>
        </w:rPr>
      </w:pPr>
      <w:r>
        <w:rPr>
          <w:rFonts w:hint="eastAsia" w:ascii="仿宋" w:hAnsi="仿宋" w:eastAsia="仿宋"/>
          <w:bCs/>
          <w:color w:val="000000"/>
          <w:szCs w:val="21"/>
        </w:rPr>
        <w:t>3、采购单位以上填报的商务条款、技术条款若存在倾向性或不公正性条款，由此引起的不良后果将由采购单位自行承担。</w:t>
      </w:r>
    </w:p>
    <w:p>
      <w:pPr>
        <w:rPr>
          <w:color w:val="00000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ambria">
    <w:altName w:val="苹方-简"/>
    <w:panose1 w:val="02040503050406030204"/>
    <w:charset w:val="00"/>
    <w:family w:val="roman"/>
    <w:pitch w:val="default"/>
    <w:sig w:usb0="00000000" w:usb1="00000000" w:usb2="02000000"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70B661E"/>
    <w:rsid w:val="140B7FF3"/>
    <w:rsid w:val="1800599F"/>
    <w:rsid w:val="18BFAF94"/>
    <w:rsid w:val="1E68704C"/>
    <w:rsid w:val="25704025"/>
    <w:rsid w:val="27A21C1E"/>
    <w:rsid w:val="289D3530"/>
    <w:rsid w:val="29246737"/>
    <w:rsid w:val="2A8FCBDA"/>
    <w:rsid w:val="2FFC70E5"/>
    <w:rsid w:val="31B13859"/>
    <w:rsid w:val="374EE7BF"/>
    <w:rsid w:val="37D1ADBB"/>
    <w:rsid w:val="37FFECEA"/>
    <w:rsid w:val="38425367"/>
    <w:rsid w:val="3BF84DE7"/>
    <w:rsid w:val="3DBDB6A8"/>
    <w:rsid w:val="3F5DF255"/>
    <w:rsid w:val="3F7363D7"/>
    <w:rsid w:val="3FBD270B"/>
    <w:rsid w:val="3FEBBE60"/>
    <w:rsid w:val="47CF312A"/>
    <w:rsid w:val="48233465"/>
    <w:rsid w:val="49C97A9C"/>
    <w:rsid w:val="4CF352AC"/>
    <w:rsid w:val="553755F6"/>
    <w:rsid w:val="55B15923"/>
    <w:rsid w:val="569A63F6"/>
    <w:rsid w:val="57FB3B64"/>
    <w:rsid w:val="5D6E1A8B"/>
    <w:rsid w:val="5EDDB99A"/>
    <w:rsid w:val="5FBFF009"/>
    <w:rsid w:val="5FFFC9B0"/>
    <w:rsid w:val="67363FF7"/>
    <w:rsid w:val="6E54327C"/>
    <w:rsid w:val="6F3592EA"/>
    <w:rsid w:val="6FF7686A"/>
    <w:rsid w:val="72FA4DA6"/>
    <w:rsid w:val="743BBE01"/>
    <w:rsid w:val="74E7F739"/>
    <w:rsid w:val="75625322"/>
    <w:rsid w:val="75BEB14A"/>
    <w:rsid w:val="75FE4280"/>
    <w:rsid w:val="76DD495A"/>
    <w:rsid w:val="77251B6B"/>
    <w:rsid w:val="77FA9395"/>
    <w:rsid w:val="7B5F95A0"/>
    <w:rsid w:val="7CFF75D7"/>
    <w:rsid w:val="7DA9106D"/>
    <w:rsid w:val="7DFC9289"/>
    <w:rsid w:val="7DFFBAC9"/>
    <w:rsid w:val="7E35A5E7"/>
    <w:rsid w:val="7E7FBD02"/>
    <w:rsid w:val="7EC26E55"/>
    <w:rsid w:val="7EEA0760"/>
    <w:rsid w:val="7EFFAA2F"/>
    <w:rsid w:val="7FD74127"/>
    <w:rsid w:val="7FED09B6"/>
    <w:rsid w:val="8DF6C7F1"/>
    <w:rsid w:val="8F3F4F83"/>
    <w:rsid w:val="A39F5C83"/>
    <w:rsid w:val="ADF99E3B"/>
    <w:rsid w:val="AEDF3833"/>
    <w:rsid w:val="B7BB78EC"/>
    <w:rsid w:val="B7BC21A4"/>
    <w:rsid w:val="B7FE5796"/>
    <w:rsid w:val="BB9F010D"/>
    <w:rsid w:val="BBFA8ACB"/>
    <w:rsid w:val="BFB76DC7"/>
    <w:rsid w:val="BFBF589F"/>
    <w:rsid w:val="BFFD2304"/>
    <w:rsid w:val="DBF92A12"/>
    <w:rsid w:val="DBFDE723"/>
    <w:rsid w:val="DDFFB6CA"/>
    <w:rsid w:val="DF3EDCC0"/>
    <w:rsid w:val="E57D0AFD"/>
    <w:rsid w:val="E6B97382"/>
    <w:rsid w:val="E89F4ED1"/>
    <w:rsid w:val="E8AAD269"/>
    <w:rsid w:val="EBF32ADD"/>
    <w:rsid w:val="ED5FCACE"/>
    <w:rsid w:val="EDFDCE19"/>
    <w:rsid w:val="EFD724DC"/>
    <w:rsid w:val="EFDB7936"/>
    <w:rsid w:val="EFFF62DC"/>
    <w:rsid w:val="F3A58CE4"/>
    <w:rsid w:val="F3BFF85B"/>
    <w:rsid w:val="F5F3053C"/>
    <w:rsid w:val="F6FE2E1C"/>
    <w:rsid w:val="F6FF62F6"/>
    <w:rsid w:val="F7AFB82A"/>
    <w:rsid w:val="F7FF4800"/>
    <w:rsid w:val="F9FA2435"/>
    <w:rsid w:val="FDEB120D"/>
    <w:rsid w:val="FDFC3904"/>
    <w:rsid w:val="FE3E357D"/>
    <w:rsid w:val="FE7FF85C"/>
    <w:rsid w:val="FEF54E4F"/>
    <w:rsid w:val="FF57854E"/>
    <w:rsid w:val="FF756E39"/>
    <w:rsid w:val="FF9FB609"/>
    <w:rsid w:val="FFA64865"/>
    <w:rsid w:val="FFD76D0C"/>
    <w:rsid w:val="FFF96AC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spacing w:line="259" w:lineRule="auto"/>
    </w:pPr>
    <w:rPr>
      <w:rFonts w:ascii="等线" w:hAnsi="等线" w:eastAsia="等线"/>
      <w:kern w:val="0"/>
      <w:sz w:val="22"/>
    </w:rPr>
  </w:style>
  <w:style w:type="paragraph" w:styleId="5">
    <w:name w:val="Body Text"/>
    <w:basedOn w:val="1"/>
    <w:next w:val="6"/>
    <w:qFormat/>
    <w:uiPriority w:val="0"/>
    <w:pPr>
      <w:spacing w:before="61"/>
      <w:ind w:left="102"/>
    </w:pPr>
    <w:rPr>
      <w:rFonts w:ascii="宋体" w:hAnsi="宋体"/>
      <w:kern w:val="0"/>
      <w:sz w:val="28"/>
      <w:szCs w:val="28"/>
      <w:lang w:eastAsia="en-US"/>
    </w:rPr>
  </w:style>
  <w:style w:type="paragraph" w:styleId="6">
    <w:name w:val="Title"/>
    <w:basedOn w:val="1"/>
    <w:next w:val="1"/>
    <w:qFormat/>
    <w:uiPriority w:val="0"/>
    <w:pPr>
      <w:spacing w:before="240" w:after="60"/>
      <w:jc w:val="center"/>
      <w:outlineLvl w:val="0"/>
    </w:pPr>
    <w:rPr>
      <w:rFonts w:ascii="Cambria" w:hAnsi="Cambria"/>
      <w:b/>
      <w:bCs/>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479</Words>
  <Characters>2734</Characters>
  <Lines>22</Lines>
  <Paragraphs>6</Paragraphs>
  <TotalTime>11</TotalTime>
  <ScaleCrop>false</ScaleCrop>
  <LinksUpToDate>false</LinksUpToDate>
  <CharactersWithSpaces>3207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2025-03-21T01:37:00Z</dcterms:created>
  <dc:creator>qiling</dc:creator>
  <cp:lastModifiedBy>ᴍɪᴛᴀᴏɢ</cp:lastModifiedBy>
  <cp:lastPrinted>2026-04-05T11:11:00Z</cp:lastPrinted>
  <dcterms:modified xsi:type="dcterms:W3CDTF">2026-05-07T15:50:29Z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DB63F239D131B67C4D63D7698F44A777_43</vt:lpwstr>
  </property>
</Properties>
</file>