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深圳市斜坡类地质灾害风险调查项目采购需求</w:t>
      </w:r>
      <w:bookmarkStart w:id="1" w:name="_GoBack"/>
      <w:bookmarkEnd w:id="1"/>
    </w:p>
    <w:tbl>
      <w:tblPr>
        <w:tblStyle w:val="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4"/>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深圳市斜坡类地质灾害风险调查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gridSpan w:val="2"/>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深圳市规划和自然资源局</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gridSpan w:val="2"/>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粤财资环</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2025</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170号</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中央财政2026年自然灾害防治体系建设补助资金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gridSpan w:val="2"/>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6930000</w:t>
            </w:r>
          </w:p>
        </w:tc>
        <w:tc>
          <w:tcPr>
            <w:tcW w:w="1366"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olor w:val="000000"/>
                <w:szCs w:val="21"/>
              </w:rPr>
              <w:t>/</w:t>
            </w:r>
          </w:p>
        </w:tc>
        <w:tc>
          <w:tcPr>
            <w:tcW w:w="2261"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4"/>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党的二十大报告明确指出，要“提高城市规划、建设、治理水平，加强城市基础设施建设，打造宜居、韧性、智慧城市”。为贯彻这一精神，自然资源部、住建部等四部委联合发布了《关于加强城市地质安全风险防控的通知》（自然资发〔2024〕19号），对城市地质安全工作提出了新的、更高的要求。城市地质安全是城市全生命周期管理的核心基石，贯穿于规划、建设与运行的每一个环节。深圳市作为中国特色社会主义先行示范区，在高速发展与品质提升的进程中，率先响应国家号召，对开展精细化地质灾害风险调查的需求尤为凸显。</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深圳市地处南海之滨，属亚热带海洋性气候，季风显著，雨量丰沛。全市山地、丘陵面积占比较大，地形地貌复杂，地势东南高、西北低。同时，作为超大城市，深圳人口与建设密度超高，各类工程活动对地质环境影响强烈。这些自然与人为因素叠加，使得深圳成为地质灾害的易发区域，防灾减灾形势严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近年来，深圳虽已开展了1:5万地质灾害详细调查等工作，基本查明了全市地质灾害的发育分布情况，并取得了一定成效。然而，面对新形势，以往的成果在精度上已难以满足城市高质量发展的需求，尤其无法满足国家提出的地质灾害防控由“隐患点”防治向“隐患点+风险区”双控转变的新要求。随着全球气候变化导致台风、暴雨等极端天气频发，以及城市更新、地下空间开发等工程活动对地质结构的持续扰动，地质灾害的突发性和隐蔽性增强，给城市安全带来了新的挑战。</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为此，为有效应对当前严峻复杂的防灾形势，全面落实国家关于城市地质安全风险防控的最新部署，亟需在现有工作基础上，对深圳市开展更为系统、精细的地质灾害调查。本次调查旨在全面摸清</w:t>
            </w:r>
            <w:r>
              <w:rPr>
                <w:rFonts w:hint="eastAsia" w:ascii="仿宋" w:hAnsi="仿宋" w:eastAsia="仿宋" w:cs="仿宋"/>
                <w:color w:val="000000"/>
                <w:szCs w:val="21"/>
                <w:highlight w:val="none"/>
                <w:lang w:val="en-US" w:eastAsia="zh-CN"/>
              </w:rPr>
              <w:t>斜坡类</w:t>
            </w:r>
            <w:r>
              <w:rPr>
                <w:rFonts w:hint="eastAsia" w:ascii="仿宋" w:hAnsi="仿宋" w:eastAsia="仿宋" w:cs="仿宋"/>
                <w:color w:val="000000"/>
                <w:szCs w:val="21"/>
                <w:highlight w:val="none"/>
              </w:rPr>
              <w:t>地质灾害风险隐患底数，为实现精准的风险管控、科学的城市规划和高效的应急响应提供核心基础依据。项目成果不仅将为打造宜居、韧性、智慧的先行示范区提供坚实的安全保障，更将为未来建设国土空间地质安全风险防控重点实验室打下关键的数据和方法论基础，具有重大的现实意义和紧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4"/>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4"/>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注意：采购人根据项目所需提供明确、具体的资质要求，资质要求的内容必须与项目等级相匹配且符合相关法律规定。（设置的投标人资格要求必须提交有法律法规依据的证明文件，且不具备倾向性）</w:t>
            </w:r>
          </w:p>
          <w:p>
            <w:pPr>
              <w:numPr>
                <w:ilvl w:val="0"/>
                <w:numId w:val="1"/>
              </w:numPr>
              <w:rPr>
                <w:rFonts w:hint="eastAsia" w:ascii="仿宋" w:hAnsi="仿宋" w:eastAsia="仿宋" w:cs="仿宋"/>
                <w:kern w:val="0"/>
                <w:szCs w:val="21"/>
              </w:rPr>
            </w:pPr>
            <w:r>
              <w:rPr>
                <w:rFonts w:hint="eastAsia" w:ascii="仿宋" w:hAnsi="仿宋" w:eastAsia="仿宋" w:cs="仿宋"/>
                <w:kern w:val="0"/>
                <w:szCs w:val="21"/>
                <w:lang w:val="en-US" w:eastAsia="zh-CN"/>
              </w:rPr>
              <w:t>具有独立法人资格</w:t>
            </w:r>
            <w:r>
              <w:rPr>
                <w:rFonts w:hint="eastAsia" w:ascii="仿宋" w:hAnsi="仿宋" w:eastAsia="仿宋" w:cs="仿宋"/>
                <w:kern w:val="0"/>
                <w:szCs w:val="21"/>
              </w:rPr>
              <w:t>；</w:t>
            </w:r>
          </w:p>
          <w:p>
            <w:pPr>
              <w:pStyle w:val="2"/>
              <w:numPr>
                <w:ilvl w:val="0"/>
                <w:numId w:val="0"/>
              </w:numPr>
              <w:rPr>
                <w:rFonts w:hint="eastAsia" w:eastAsia="仿宋"/>
                <w:lang w:eastAsia="zh-CN"/>
              </w:rPr>
            </w:pPr>
            <w:r>
              <w:rPr>
                <w:rFonts w:hint="eastAsia" w:ascii="仿宋" w:hAnsi="仿宋" w:eastAsia="仿宋" w:cs="仿宋"/>
                <w:kern w:val="0"/>
                <w:szCs w:val="21"/>
                <w:lang w:val="en-US" w:eastAsia="zh-CN"/>
              </w:rPr>
              <w:t>二、</w:t>
            </w:r>
            <w:r>
              <w:rPr>
                <w:rFonts w:hint="eastAsia" w:ascii="仿宋" w:hAnsi="仿宋" w:eastAsia="仿宋" w:cs="仿宋"/>
                <w:kern w:val="0"/>
                <w:szCs w:val="21"/>
              </w:rPr>
              <w:t>本项目不接受联合体投标</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不允许分包，（不接受投标人选用进口产品参与投标）</w:t>
            </w:r>
            <w:r>
              <w:rPr>
                <w:rFonts w:hint="eastAsia" w:ascii="仿宋" w:hAnsi="仿宋" w:eastAsia="仿宋" w:cs="仿宋"/>
                <w:kern w:val="0"/>
                <w:szCs w:val="21"/>
                <w:lang w:eastAsia="zh-CN"/>
              </w:rPr>
              <w:t>；</w:t>
            </w:r>
          </w:p>
          <w:p>
            <w:pPr>
              <w:rPr>
                <w:rFonts w:hint="eastAsia" w:eastAsia="仿宋"/>
                <w:lang w:eastAsia="zh-CN"/>
              </w:rPr>
            </w:pPr>
            <w:r>
              <w:rPr>
                <w:rFonts w:hint="eastAsia" w:ascii="仿宋" w:hAnsi="仿宋" w:eastAsia="仿宋" w:cs="仿宋"/>
                <w:kern w:val="0"/>
                <w:szCs w:val="21"/>
                <w:lang w:val="en-US" w:eastAsia="zh-CN"/>
              </w:rPr>
              <w:t>三、</w:t>
            </w:r>
            <w:r>
              <w:rPr>
                <w:rFonts w:hint="eastAsia" w:ascii="仿宋" w:hAnsi="仿宋" w:eastAsia="仿宋" w:cs="仿宋"/>
                <w:kern w:val="0"/>
                <w:szCs w:val="21"/>
              </w:rPr>
              <w:t>具有地质灾害评估和治理工程勘查设计乙级及以上资质，</w:t>
            </w:r>
            <w:r>
              <w:rPr>
                <w:rFonts w:hint="eastAsia" w:ascii="仿宋" w:hAnsi="仿宋" w:eastAsia="仿宋" w:cs="仿宋"/>
                <w:kern w:val="0"/>
                <w:szCs w:val="21"/>
                <w:lang w:val="en-US" w:eastAsia="zh-CN"/>
              </w:rPr>
              <w:t>测绘资质（</w:t>
            </w:r>
            <w:r>
              <w:rPr>
                <w:rFonts w:hint="eastAsia" w:ascii="仿宋" w:hAnsi="仿宋" w:eastAsia="仿宋" w:cs="仿宋"/>
                <w:kern w:val="0"/>
                <w:szCs w:val="21"/>
              </w:rPr>
              <w:t>测绘航空摄影</w:t>
            </w:r>
            <w:r>
              <w:rPr>
                <w:rFonts w:hint="eastAsia" w:ascii="仿宋" w:hAnsi="仿宋" w:eastAsia="仿宋" w:cs="仿宋"/>
                <w:kern w:val="0"/>
                <w:szCs w:val="21"/>
                <w:lang w:eastAsia="zh-CN"/>
              </w:rPr>
              <w:t>、</w:t>
            </w:r>
            <w:r>
              <w:rPr>
                <w:rFonts w:hint="eastAsia" w:ascii="仿宋" w:hAnsi="仿宋" w:eastAsia="仿宋" w:cs="仿宋"/>
                <w:kern w:val="0"/>
                <w:szCs w:val="21"/>
              </w:rPr>
              <w:t>摄影测量与遥感</w:t>
            </w:r>
            <w:r>
              <w:rPr>
                <w:rFonts w:hint="eastAsia" w:ascii="仿宋" w:hAnsi="仿宋" w:eastAsia="仿宋" w:cs="仿宋"/>
                <w:kern w:val="0"/>
                <w:szCs w:val="21"/>
                <w:lang w:eastAsia="zh-CN"/>
              </w:rPr>
              <w:t>、</w:t>
            </w:r>
            <w:r>
              <w:rPr>
                <w:rFonts w:hint="eastAsia" w:ascii="仿宋" w:hAnsi="仿宋" w:eastAsia="仿宋" w:cs="仿宋"/>
                <w:kern w:val="0"/>
                <w:szCs w:val="21"/>
              </w:rPr>
              <w:t>工程测量</w:t>
            </w:r>
            <w:r>
              <w:rPr>
                <w:rFonts w:hint="eastAsia" w:ascii="仿宋" w:hAnsi="仿宋" w:eastAsia="仿宋" w:cs="仿宋"/>
                <w:kern w:val="0"/>
                <w:szCs w:val="21"/>
                <w:lang w:eastAsia="zh-CN"/>
              </w:rPr>
              <w:t>、</w:t>
            </w:r>
            <w:r>
              <w:rPr>
                <w:rFonts w:hint="eastAsia" w:ascii="仿宋" w:hAnsi="仿宋" w:eastAsia="仿宋" w:cs="仿宋"/>
                <w:kern w:val="0"/>
                <w:szCs w:val="21"/>
              </w:rPr>
              <w:t>地理信息系统工程</w:t>
            </w:r>
            <w:r>
              <w:rPr>
                <w:rFonts w:hint="eastAsia" w:ascii="仿宋" w:hAnsi="仿宋" w:eastAsia="仿宋" w:cs="仿宋"/>
                <w:kern w:val="0"/>
                <w:szCs w:val="21"/>
                <w:lang w:eastAsia="zh-CN"/>
              </w:rPr>
              <w:t>）</w:t>
            </w:r>
            <w:r>
              <w:rPr>
                <w:rFonts w:hint="eastAsia" w:ascii="仿宋" w:hAnsi="仿宋" w:eastAsia="仿宋" w:cs="仿宋"/>
                <w:kern w:val="0"/>
                <w:szCs w:val="21"/>
              </w:rPr>
              <w:t>乙级及以上资质</w:t>
            </w:r>
            <w:r>
              <w:rPr>
                <w:rFonts w:hint="eastAsia" w:ascii="仿宋" w:hAnsi="仿宋" w:eastAsia="仿宋" w:cs="仿宋"/>
                <w:kern w:val="0"/>
                <w:szCs w:val="21"/>
                <w:lang w:eastAsia="zh-CN"/>
              </w:rPr>
              <w:t>；</w:t>
            </w:r>
          </w:p>
          <w:p>
            <w:pPr>
              <w:rPr>
                <w:rFonts w:hint="eastAsia" w:ascii="仿宋" w:hAnsi="仿宋" w:eastAsia="仿宋" w:cs="仿宋"/>
                <w:kern w:val="0"/>
                <w:szCs w:val="21"/>
              </w:rPr>
            </w:pPr>
            <w:r>
              <w:rPr>
                <w:rFonts w:hint="eastAsia" w:ascii="仿宋" w:hAnsi="仿宋" w:eastAsia="仿宋" w:cs="仿宋"/>
                <w:kern w:val="0"/>
                <w:szCs w:val="21"/>
                <w:lang w:val="en-US" w:eastAsia="zh-CN"/>
              </w:rPr>
              <w:t>四、</w:t>
            </w:r>
            <w:r>
              <w:rPr>
                <w:rFonts w:hint="eastAsia" w:ascii="仿宋" w:hAnsi="仿宋" w:eastAsia="仿宋" w:cs="仿宋"/>
                <w:kern w:val="0"/>
                <w:szCs w:val="21"/>
              </w:rPr>
              <w:t>近三年内无行贿犯罪记录（由深圳市政府采购中心定期向人民检察院申请对政府采购供应商中注册有效的供应商进行集中查询，无须单独开具《行贿犯罪档案查询告知函》）；</w:t>
            </w:r>
          </w:p>
          <w:p>
            <w:pPr>
              <w:rPr>
                <w:rFonts w:hint="eastAsia" w:ascii="仿宋" w:hAnsi="仿宋" w:eastAsia="仿宋" w:cs="仿宋"/>
                <w:kern w:val="0"/>
                <w:szCs w:val="21"/>
                <w:lang w:eastAsia="zh-CN"/>
              </w:rPr>
            </w:pPr>
            <w:r>
              <w:rPr>
                <w:rFonts w:hint="eastAsia" w:ascii="仿宋" w:hAnsi="仿宋" w:eastAsia="仿宋" w:cs="仿宋"/>
                <w:kern w:val="0"/>
                <w:szCs w:val="21"/>
                <w:lang w:val="en-US" w:eastAsia="zh-CN"/>
              </w:rPr>
              <w:t>五、</w:t>
            </w:r>
            <w:r>
              <w:rPr>
                <w:rFonts w:hint="eastAsia" w:ascii="仿宋" w:hAnsi="仿宋" w:eastAsia="仿宋" w:cs="仿宋"/>
                <w:kern w:val="0"/>
                <w:szCs w:val="21"/>
              </w:rPr>
              <w:t>投标人信誉良好，近三年在政府采购及建设系统的招投标活动中，没有因串通投标、骗取中标、严重违约及重大工程安全及质量问题等不良行为而禁止在本市投标的投标申请人；涉嫌串通投标并正在接受主管部门的投标申请人不被接受（提供承诺函并加盖投标人公章）</w:t>
            </w:r>
            <w:r>
              <w:rPr>
                <w:rFonts w:hint="eastAsia" w:ascii="仿宋" w:hAnsi="仿宋" w:eastAsia="仿宋" w:cs="仿宋"/>
                <w:kern w:val="0"/>
                <w:szCs w:val="21"/>
                <w:lang w:eastAsia="zh-CN"/>
              </w:rPr>
              <w:t>。</w:t>
            </w:r>
          </w:p>
          <w:p>
            <w:pPr>
              <w:keepNext w:val="0"/>
              <w:keepLines w:val="0"/>
              <w:pageBreakBefore w:val="0"/>
              <w:widowControl w:val="0"/>
              <w:kinsoku/>
              <w:overflowPunct/>
              <w:topLinePunct w:val="0"/>
              <w:autoSpaceDE/>
              <w:autoSpaceDN/>
              <w:bidi w:val="0"/>
              <w:jc w:val="left"/>
              <w:rPr>
                <w:rFonts w:hint="eastAsia" w:ascii="仿宋" w:hAnsi="仿宋" w:eastAsia="仿宋" w:cs="仿宋"/>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4"/>
            <w:noWrap w:val="0"/>
            <w:vAlign w:val="top"/>
          </w:tcPr>
          <w:p>
            <w:pPr>
              <w:jc w:val="left"/>
              <w:rPr>
                <w:rFonts w:ascii="仿宋" w:hAnsi="仿宋" w:eastAsia="仿宋"/>
                <w:b/>
                <w:color w:val="000000"/>
                <w:szCs w:val="21"/>
              </w:rPr>
            </w:pPr>
            <w:r>
              <w:rPr>
                <w:rFonts w:hint="default" w:ascii="仿宋" w:hAnsi="仿宋" w:eastAsia="仿宋"/>
                <w:b/>
                <w:color w:val="000000"/>
                <w:szCs w:val="21"/>
              </w:rPr>
              <w:t>一</w:t>
            </w:r>
            <w:r>
              <w:rPr>
                <w:rFonts w:ascii="仿宋" w:hAnsi="仿宋" w:eastAsia="仿宋"/>
                <w:b/>
                <w:bCs w:val="0"/>
                <w:color w:val="000000"/>
                <w:szCs w:val="21"/>
              </w:rPr>
              <w:t>、</w:t>
            </w:r>
            <w:r>
              <w:rPr>
                <w:rFonts w:ascii="仿宋" w:hAnsi="仿宋" w:eastAsia="仿宋"/>
                <w:b/>
                <w:color w:val="000000"/>
                <w:szCs w:val="21"/>
              </w:rPr>
              <w:t>报价要求（明确分项报价要求）</w:t>
            </w:r>
          </w:p>
          <w:p>
            <w:pPr>
              <w:ind w:firstLine="420" w:firstLineChars="200"/>
              <w:jc w:val="left"/>
              <w:rPr>
                <w:rFonts w:hint="eastAsia" w:ascii="仿宋" w:hAnsi="仿宋" w:eastAsia="仿宋"/>
                <w:color w:val="000000"/>
                <w:szCs w:val="21"/>
              </w:rPr>
            </w:pPr>
            <w:r>
              <w:rPr>
                <w:rFonts w:hint="eastAsia" w:ascii="仿宋" w:hAnsi="仿宋" w:eastAsia="仿宋"/>
                <w:color w:val="000000"/>
                <w:szCs w:val="21"/>
              </w:rPr>
              <w:t>投标方应提供报价详细清单（含报价依据及其详细计算过程等）</w:t>
            </w:r>
            <w:r>
              <w:rPr>
                <w:rFonts w:ascii="仿宋" w:hAnsi="仿宋" w:eastAsia="仿宋"/>
                <w:color w:val="000000"/>
                <w:szCs w:val="21"/>
              </w:rPr>
              <w:t>。</w:t>
            </w:r>
          </w:p>
          <w:p>
            <w:pPr>
              <w:jc w:val="left"/>
              <w:rPr>
                <w:rFonts w:ascii="仿宋" w:hAnsi="仿宋" w:eastAsia="仿宋"/>
                <w:b/>
                <w:color w:val="000000"/>
                <w:szCs w:val="21"/>
              </w:rPr>
            </w:pPr>
            <w:r>
              <w:rPr>
                <w:rFonts w:hint="default" w:ascii="仿宋" w:hAnsi="仿宋" w:eastAsia="仿宋"/>
                <w:b/>
                <w:color w:val="000000"/>
                <w:szCs w:val="21"/>
              </w:rPr>
              <w:t>二</w:t>
            </w:r>
            <w:r>
              <w:rPr>
                <w:rFonts w:ascii="仿宋" w:hAnsi="仿宋" w:eastAsia="仿宋"/>
                <w:b/>
                <w:color w:val="000000"/>
                <w:szCs w:val="21"/>
              </w:rPr>
              <w:t>、付款方式</w:t>
            </w:r>
          </w:p>
          <w:p>
            <w:pPr>
              <w:ind w:firstLine="420" w:firstLineChars="200"/>
              <w:rPr>
                <w:rFonts w:ascii="仿宋_GB2312" w:hAnsi="宋体" w:eastAsia="仿宋_GB2312"/>
                <w:color w:val="000000"/>
                <w:szCs w:val="21"/>
              </w:rPr>
            </w:pPr>
            <w:r>
              <w:rPr>
                <w:rFonts w:hint="eastAsia" w:ascii="仿宋_GB2312" w:hAnsi="宋体" w:eastAsia="仿宋_GB2312"/>
                <w:color w:val="000000"/>
                <w:szCs w:val="21"/>
              </w:rPr>
              <w:t>项目按相关规定分</w:t>
            </w:r>
            <w:r>
              <w:rPr>
                <w:rFonts w:hint="eastAsia" w:ascii="仿宋_GB2312" w:hAnsi="宋体" w:eastAsia="仿宋_GB2312"/>
                <w:color w:val="000000"/>
                <w:szCs w:val="21"/>
                <w:lang w:val="en-US" w:eastAsia="zh-CN"/>
              </w:rPr>
              <w:t>三</w:t>
            </w:r>
            <w:r>
              <w:rPr>
                <w:rFonts w:hint="eastAsia" w:ascii="仿宋_GB2312" w:hAnsi="宋体" w:eastAsia="仿宋_GB2312"/>
                <w:color w:val="000000"/>
                <w:szCs w:val="21"/>
              </w:rPr>
              <w:t>期付款。</w:t>
            </w:r>
          </w:p>
          <w:p>
            <w:pPr>
              <w:ind w:firstLine="420" w:firstLineChars="200"/>
              <w:rPr>
                <w:rFonts w:hint="eastAsia" w:ascii="仿宋_GB2312" w:hAnsi="宋体" w:eastAsia="仿宋"/>
                <w:color w:val="000000"/>
                <w:szCs w:val="21"/>
                <w:lang w:eastAsia="zh-CN"/>
              </w:rPr>
            </w:pPr>
            <w:r>
              <w:rPr>
                <w:rFonts w:hint="eastAsia" w:ascii="仿宋_GB2312" w:hAnsi="宋体" w:eastAsia="仿宋_GB2312"/>
                <w:color w:val="000000"/>
                <w:szCs w:val="21"/>
              </w:rPr>
              <w:t>（</w:t>
            </w:r>
            <w:r>
              <w:rPr>
                <w:rFonts w:hint="eastAsia" w:ascii="仿宋_GB2312" w:hAnsi="宋体" w:eastAsia="仿宋_GB2312"/>
                <w:color w:val="000000"/>
                <w:szCs w:val="21"/>
                <w:lang w:val="en-US" w:eastAsia="zh-CN"/>
              </w:rPr>
              <w:t>一</w:t>
            </w:r>
            <w:r>
              <w:rPr>
                <w:rFonts w:hint="eastAsia" w:ascii="仿宋_GB2312" w:hAnsi="宋体" w:eastAsia="仿宋_GB2312"/>
                <w:color w:val="000000"/>
                <w:szCs w:val="21"/>
              </w:rPr>
              <w:t>）</w:t>
            </w:r>
            <w:r>
              <w:rPr>
                <w:rFonts w:hint="eastAsia" w:ascii="仿宋" w:hAnsi="仿宋" w:eastAsia="仿宋" w:cs="仿宋"/>
                <w:szCs w:val="21"/>
              </w:rPr>
              <w:t>自双方签订合同之日起</w:t>
            </w:r>
            <w:r>
              <w:rPr>
                <w:rFonts w:ascii="仿宋" w:hAnsi="仿宋" w:eastAsia="仿宋" w:cs="仿宋"/>
                <w:szCs w:val="21"/>
              </w:rPr>
              <w:t xml:space="preserve"> 30 个工作日内，</w:t>
            </w:r>
            <w:r>
              <w:rPr>
                <w:rFonts w:hint="eastAsia" w:ascii="仿宋" w:hAnsi="仿宋" w:eastAsia="仿宋" w:cs="仿宋"/>
                <w:szCs w:val="21"/>
                <w:lang w:val="en-US" w:eastAsia="zh-CN"/>
              </w:rPr>
              <w:t>根据乙方提出的付款申请及编写的</w:t>
            </w:r>
            <w:r>
              <w:rPr>
                <w:rFonts w:ascii="仿宋" w:hAnsi="仿宋" w:eastAsia="仿宋" w:cs="仿宋"/>
                <w:szCs w:val="21"/>
              </w:rPr>
              <w:t>项目总体</w:t>
            </w:r>
            <w:r>
              <w:rPr>
                <w:rFonts w:hint="eastAsia" w:ascii="仿宋" w:hAnsi="仿宋" w:eastAsia="仿宋" w:cs="仿宋"/>
                <w:szCs w:val="21"/>
                <w:lang w:eastAsia="zh-CN"/>
              </w:rPr>
              <w:t>技术方案</w:t>
            </w:r>
            <w:r>
              <w:rPr>
                <w:rFonts w:ascii="仿宋" w:hAnsi="仿宋" w:eastAsia="仿宋" w:cs="仿宋"/>
                <w:szCs w:val="21"/>
              </w:rPr>
              <w:t>，</w:t>
            </w:r>
            <w:r>
              <w:rPr>
                <w:rFonts w:hint="eastAsia" w:ascii="仿宋" w:hAnsi="仿宋" w:eastAsia="仿宋" w:cs="仿宋"/>
                <w:szCs w:val="21"/>
                <w:lang w:eastAsia="zh-CN"/>
              </w:rPr>
              <w:t>甲方提请支付乙方</w:t>
            </w:r>
            <w:r>
              <w:rPr>
                <w:rFonts w:ascii="仿宋" w:hAnsi="仿宋" w:eastAsia="仿宋" w:cs="仿宋"/>
                <w:szCs w:val="21"/>
              </w:rPr>
              <w:t>合同价款的</w:t>
            </w:r>
            <w:r>
              <w:rPr>
                <w:rFonts w:hint="eastAsia" w:ascii="仿宋" w:hAnsi="仿宋" w:eastAsia="仿宋" w:cs="仿宋"/>
                <w:szCs w:val="21"/>
                <w:lang w:val="en-US" w:eastAsia="zh-CN"/>
              </w:rPr>
              <w:t>4</w:t>
            </w:r>
            <w:r>
              <w:rPr>
                <w:rFonts w:ascii="仿宋" w:hAnsi="仿宋" w:eastAsia="仿宋" w:cs="仿宋"/>
                <w:szCs w:val="21"/>
              </w:rPr>
              <w:t>0%</w:t>
            </w:r>
            <w:r>
              <w:rPr>
                <w:rFonts w:hint="eastAsia" w:ascii="仿宋" w:hAnsi="仿宋" w:eastAsia="仿宋" w:cs="仿宋"/>
                <w:szCs w:val="21"/>
                <w:lang w:eastAsia="zh-CN"/>
              </w:rPr>
              <w:t>；</w:t>
            </w:r>
          </w:p>
          <w:p>
            <w:pPr>
              <w:ind w:firstLine="420" w:firstLineChars="200"/>
              <w:rPr>
                <w:rFonts w:ascii="仿宋_GB2312" w:hAnsi="宋体" w:eastAsia="仿宋_GB2312"/>
                <w:color w:val="000000"/>
                <w:szCs w:val="21"/>
              </w:rPr>
            </w:pPr>
            <w:r>
              <w:rPr>
                <w:rFonts w:hint="eastAsia" w:ascii="仿宋_GB2312" w:hAnsi="宋体" w:eastAsia="仿宋_GB2312"/>
                <w:color w:val="000000"/>
                <w:szCs w:val="21"/>
              </w:rPr>
              <w:t>（</w:t>
            </w:r>
            <w:r>
              <w:rPr>
                <w:rFonts w:hint="eastAsia" w:ascii="仿宋_GB2312" w:hAnsi="宋体" w:eastAsia="仿宋_GB2312"/>
                <w:color w:val="000000"/>
                <w:szCs w:val="21"/>
                <w:lang w:val="en-US" w:eastAsia="zh-CN"/>
              </w:rPr>
              <w:t>二</w:t>
            </w:r>
            <w:r>
              <w:rPr>
                <w:rFonts w:hint="eastAsia" w:ascii="仿宋_GB2312" w:hAnsi="宋体" w:eastAsia="仿宋_GB2312"/>
                <w:color w:val="000000"/>
                <w:szCs w:val="21"/>
              </w:rPr>
              <w:t>）</w:t>
            </w:r>
            <w:r>
              <w:rPr>
                <w:rFonts w:hint="eastAsia" w:ascii="仿宋_GB2312" w:hAnsi="宋体" w:eastAsia="仿宋_GB2312"/>
                <w:color w:val="000000"/>
                <w:szCs w:val="21"/>
                <w:lang w:val="en-US" w:eastAsia="zh-CN"/>
              </w:rPr>
              <w:t>完成150平方公里</w:t>
            </w:r>
            <w:r>
              <w:rPr>
                <w:rFonts w:hint="eastAsia" w:ascii="仿宋_GB2312" w:hAnsi="宋体" w:eastAsia="仿宋_GB2312"/>
                <w:color w:val="000000"/>
                <w:szCs w:val="21"/>
              </w:rPr>
              <w:t>重点调查区1:2000地质灾害测量工作以及</w:t>
            </w:r>
            <w:r>
              <w:rPr>
                <w:rFonts w:hint="eastAsia" w:ascii="仿宋_GB2312" w:hAnsi="宋体" w:eastAsia="仿宋_GB2312"/>
                <w:color w:val="000000"/>
                <w:szCs w:val="21"/>
                <w:lang w:val="en-US" w:eastAsia="zh-CN"/>
              </w:rPr>
              <w:t>100平方公里的</w:t>
            </w:r>
            <w:r>
              <w:rPr>
                <w:rFonts w:hint="eastAsia" w:ascii="仿宋_GB2312" w:hAnsi="宋体" w:eastAsia="仿宋_GB2312"/>
                <w:color w:val="000000"/>
                <w:szCs w:val="21"/>
              </w:rPr>
              <w:t>无人机机载激光雷达调查工作</w:t>
            </w:r>
            <w:r>
              <w:rPr>
                <w:rFonts w:hint="eastAsia" w:ascii="仿宋_GB2312" w:hAnsi="宋体" w:eastAsia="仿宋_GB2312"/>
                <w:color w:val="000000"/>
                <w:szCs w:val="21"/>
                <w:lang w:eastAsia="zh-CN"/>
              </w:rPr>
              <w:t>，</w:t>
            </w:r>
            <w:r>
              <w:rPr>
                <w:rFonts w:hint="eastAsia" w:ascii="仿宋_GB2312" w:hAnsi="宋体" w:eastAsia="仿宋_GB2312"/>
                <w:color w:val="000000"/>
                <w:szCs w:val="21"/>
                <w:lang w:val="en-US" w:eastAsia="zh-CN"/>
              </w:rPr>
              <w:t>根据乙方提出的付款申请及提交的调查表格、DEM模型</w:t>
            </w:r>
            <w:r>
              <w:rPr>
                <w:rFonts w:hint="eastAsia" w:ascii="仿宋" w:hAnsi="仿宋" w:eastAsia="仿宋" w:cs="仿宋"/>
                <w:szCs w:val="21"/>
                <w:lang w:eastAsia="zh-CN"/>
              </w:rPr>
              <w:t>，甲方提请支付乙方</w:t>
            </w:r>
            <w:r>
              <w:rPr>
                <w:rFonts w:ascii="仿宋" w:hAnsi="仿宋" w:eastAsia="仿宋" w:cs="仿宋"/>
                <w:szCs w:val="21"/>
              </w:rPr>
              <w:t>合同价款的</w:t>
            </w:r>
            <w:r>
              <w:rPr>
                <w:rFonts w:hint="eastAsia" w:ascii="仿宋_GB2312" w:hAnsi="宋体" w:eastAsia="仿宋_GB2312"/>
                <w:color w:val="000000"/>
                <w:szCs w:val="21"/>
              </w:rPr>
              <w:t>的</w:t>
            </w:r>
            <w:r>
              <w:rPr>
                <w:rFonts w:hint="eastAsia" w:ascii="仿宋_GB2312" w:hAnsi="宋体" w:eastAsia="仿宋_GB2312"/>
                <w:color w:val="000000"/>
                <w:szCs w:val="21"/>
                <w:lang w:val="en-US" w:eastAsia="zh-CN"/>
              </w:rPr>
              <w:t>5</w:t>
            </w:r>
            <w:r>
              <w:rPr>
                <w:rFonts w:hint="eastAsia" w:ascii="仿宋_GB2312" w:hAnsi="宋体" w:eastAsia="仿宋_GB2312"/>
                <w:color w:val="000000"/>
                <w:szCs w:val="21"/>
              </w:rPr>
              <w:t>0%；</w:t>
            </w:r>
          </w:p>
          <w:p>
            <w:pPr>
              <w:ind w:firstLine="420" w:firstLineChars="200"/>
              <w:jc w:val="left"/>
              <w:rPr>
                <w:rFonts w:hint="eastAsia" w:ascii="仿宋" w:hAnsi="仿宋" w:eastAsia="仿宋" w:cs="仿宋"/>
                <w:szCs w:val="21"/>
                <w:lang w:eastAsia="zh-CN"/>
              </w:rPr>
            </w:pPr>
            <w:r>
              <w:rPr>
                <w:rFonts w:hint="eastAsia" w:ascii="仿宋_GB2312" w:hAnsi="宋体" w:eastAsia="仿宋_GB2312"/>
                <w:color w:val="000000"/>
                <w:szCs w:val="21"/>
              </w:rPr>
              <w:t>（</w:t>
            </w:r>
            <w:r>
              <w:rPr>
                <w:rFonts w:hint="eastAsia" w:ascii="仿宋_GB2312" w:hAnsi="宋体" w:eastAsia="仿宋_GB2312"/>
                <w:color w:val="000000"/>
                <w:szCs w:val="21"/>
                <w:lang w:val="en-US" w:eastAsia="zh-CN"/>
              </w:rPr>
              <w:t>三</w:t>
            </w:r>
            <w:r>
              <w:rPr>
                <w:rFonts w:hint="eastAsia" w:ascii="仿宋_GB2312" w:hAnsi="宋体" w:eastAsia="仿宋_GB2312"/>
                <w:color w:val="000000"/>
                <w:szCs w:val="21"/>
              </w:rPr>
              <w:t>）</w:t>
            </w:r>
            <w:r>
              <w:rPr>
                <w:rFonts w:hint="eastAsia" w:ascii="仿宋" w:hAnsi="仿宋" w:eastAsia="仿宋" w:cs="仿宋"/>
                <w:szCs w:val="21"/>
              </w:rPr>
              <w:t>完成合同规定的各项工作内容，提交全部成果并通过成果验收后</w:t>
            </w:r>
            <w:r>
              <w:rPr>
                <w:rFonts w:hint="eastAsia" w:ascii="仿宋" w:hAnsi="仿宋" w:eastAsia="仿宋" w:cs="仿宋"/>
                <w:szCs w:val="21"/>
                <w:lang w:eastAsia="zh-CN"/>
              </w:rPr>
              <w:t>，根据乙方提出的付款申请，甲方提请支付乙方</w:t>
            </w:r>
            <w:r>
              <w:rPr>
                <w:rFonts w:ascii="仿宋" w:hAnsi="仿宋" w:eastAsia="仿宋" w:cs="仿宋"/>
                <w:szCs w:val="21"/>
              </w:rPr>
              <w:t>合同价款的</w:t>
            </w:r>
            <w:r>
              <w:rPr>
                <w:rFonts w:hint="eastAsia" w:ascii="仿宋" w:hAnsi="仿宋" w:eastAsia="仿宋" w:cs="仿宋"/>
                <w:szCs w:val="21"/>
                <w:lang w:val="en-US" w:eastAsia="zh-CN"/>
              </w:rPr>
              <w:t>1</w:t>
            </w:r>
            <w:r>
              <w:rPr>
                <w:rFonts w:ascii="仿宋" w:hAnsi="仿宋" w:eastAsia="仿宋" w:cs="仿宋"/>
                <w:szCs w:val="21"/>
              </w:rPr>
              <w:t>0%</w:t>
            </w:r>
            <w:r>
              <w:rPr>
                <w:rFonts w:hint="eastAsia" w:ascii="仿宋" w:hAnsi="仿宋" w:eastAsia="仿宋" w:cs="仿宋"/>
                <w:szCs w:val="21"/>
                <w:lang w:eastAsia="zh-CN"/>
              </w:rPr>
              <w:t>。</w:t>
            </w:r>
          </w:p>
          <w:p>
            <w:pPr>
              <w:jc w:val="left"/>
              <w:rPr>
                <w:rFonts w:ascii="仿宋" w:hAnsi="仿宋" w:eastAsia="仿宋"/>
                <w:b/>
                <w:color w:val="000000"/>
                <w:szCs w:val="21"/>
              </w:rPr>
            </w:pPr>
            <w:r>
              <w:rPr>
                <w:rFonts w:hint="default" w:ascii="仿宋" w:hAnsi="仿宋" w:eastAsia="仿宋"/>
                <w:b/>
                <w:color w:val="000000"/>
                <w:szCs w:val="21"/>
              </w:rPr>
              <w:t>三</w:t>
            </w:r>
            <w:r>
              <w:rPr>
                <w:rFonts w:ascii="仿宋" w:hAnsi="仿宋" w:eastAsia="仿宋"/>
                <w:b/>
                <w:color w:val="000000"/>
                <w:szCs w:val="21"/>
              </w:rPr>
              <w:t>、履约保证金</w:t>
            </w:r>
          </w:p>
          <w:p>
            <w:pPr>
              <w:ind w:firstLine="420" w:firstLineChars="200"/>
              <w:jc w:val="left"/>
              <w:rPr>
                <w:rFonts w:hint="eastAsia" w:ascii="仿宋" w:hAnsi="仿宋" w:eastAsia="仿宋"/>
                <w:color w:val="000000"/>
                <w:szCs w:val="21"/>
              </w:rPr>
            </w:pPr>
            <w:r>
              <w:rPr>
                <w:rFonts w:hint="eastAsia" w:ascii="仿宋" w:hAnsi="仿宋" w:eastAsia="仿宋"/>
                <w:color w:val="000000"/>
                <w:szCs w:val="21"/>
              </w:rPr>
              <w:t>无</w:t>
            </w:r>
          </w:p>
          <w:p>
            <w:pPr>
              <w:jc w:val="lef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四、违约责任</w:t>
            </w:r>
          </w:p>
          <w:p>
            <w:pPr>
              <w:ind w:firstLine="420" w:firstLineChars="200"/>
              <w:jc w:val="left"/>
              <w:rPr>
                <w:rFonts w:hint="eastAsia" w:ascii="仿宋_GB2312" w:hAnsi="仿宋_GB2312" w:eastAsia="仿宋_GB2312" w:cs="仿宋_GB2312"/>
                <w:color w:val="000000"/>
                <w:szCs w:val="21"/>
              </w:rPr>
            </w:pPr>
            <w:bookmarkStart w:id="0" w:name="_Hlk66008812"/>
            <w:r>
              <w:rPr>
                <w:rFonts w:hint="eastAsia" w:ascii="仿宋" w:hAnsi="仿宋" w:eastAsia="仿宋" w:cs="仿宋"/>
                <w:szCs w:val="21"/>
              </w:rPr>
              <w:t>投标人需提供书面违约承诺书，投标人承诺及违约责任应无歧义，违约责任的承担方式应明确</w:t>
            </w:r>
            <w:bookmarkEnd w:id="0"/>
            <w:r>
              <w:rPr>
                <w:rFonts w:hint="eastAsia" w:ascii="仿宋" w:hAnsi="仿宋" w:eastAsia="仿宋" w:cs="仿宋"/>
                <w:szCs w:val="21"/>
              </w:rPr>
              <w:t>。</w:t>
            </w:r>
          </w:p>
          <w:p>
            <w:pPr>
              <w:jc w:val="left"/>
              <w:rPr>
                <w:rFonts w:ascii="仿宋" w:hAnsi="仿宋" w:eastAsia="仿宋"/>
                <w:b/>
                <w:color w:val="000000"/>
                <w:szCs w:val="21"/>
              </w:rPr>
            </w:pPr>
            <w:r>
              <w:rPr>
                <w:rFonts w:hint="default" w:ascii="仿宋" w:hAnsi="仿宋" w:eastAsia="仿宋"/>
                <w:b/>
                <w:color w:val="000000"/>
                <w:szCs w:val="21"/>
              </w:rPr>
              <w:t>五</w:t>
            </w:r>
            <w:r>
              <w:rPr>
                <w:rFonts w:ascii="仿宋" w:hAnsi="仿宋" w:eastAsia="仿宋"/>
                <w:b/>
                <w:color w:val="000000"/>
                <w:szCs w:val="21"/>
              </w:rPr>
              <w:t>、服务质量监督和项目验收要求</w:t>
            </w:r>
          </w:p>
          <w:p>
            <w:pPr>
              <w:ind w:firstLine="420" w:firstLineChars="200"/>
              <w:jc w:val="left"/>
              <w:rPr>
                <w:rFonts w:hint="eastAsia" w:ascii="仿宋" w:hAnsi="仿宋" w:eastAsia="仿宋" w:cs="仿宋"/>
                <w:szCs w:val="21"/>
              </w:rPr>
            </w:pPr>
            <w:r>
              <w:rPr>
                <w:rFonts w:hint="eastAsia" w:ascii="仿宋" w:hAnsi="仿宋" w:eastAsia="仿宋" w:cs="仿宋"/>
                <w:szCs w:val="21"/>
              </w:rPr>
              <w:t>投标人需按采购方的招标技术及时间要求，在完成每个阶段的相应工作后通过采购方组织的专家验收。</w:t>
            </w:r>
          </w:p>
          <w:p>
            <w:pPr>
              <w:ind w:firstLine="420" w:firstLineChars="20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color w:val="000000"/>
                <w:szCs w:val="21"/>
                <w:highlight w:val="none"/>
                <w:lang w:eastAsia="zh-CN"/>
              </w:rPr>
              <w:t>技术方案</w:t>
            </w:r>
            <w:r>
              <w:rPr>
                <w:rFonts w:hint="eastAsia" w:ascii="仿宋" w:hAnsi="仿宋" w:eastAsia="仿宋" w:cs="仿宋"/>
                <w:szCs w:val="21"/>
              </w:rPr>
              <w:t>评审。中标人在开展研究工作前，应组织编写</w:t>
            </w:r>
            <w:r>
              <w:rPr>
                <w:rFonts w:hint="eastAsia" w:ascii="仿宋" w:hAnsi="仿宋" w:eastAsia="仿宋" w:cs="仿宋"/>
                <w:szCs w:val="21"/>
                <w:lang w:val="en-US" w:eastAsia="zh-CN"/>
              </w:rPr>
              <w:t>总体技术方案</w:t>
            </w:r>
            <w:r>
              <w:rPr>
                <w:rFonts w:hint="eastAsia" w:ascii="仿宋" w:hAnsi="仿宋" w:eastAsia="仿宋" w:cs="仿宋"/>
                <w:szCs w:val="21"/>
              </w:rPr>
              <w:t>，由采购人组织召开专家评审会</w:t>
            </w:r>
            <w:r>
              <w:rPr>
                <w:rFonts w:hint="eastAsia" w:ascii="仿宋" w:hAnsi="仿宋" w:eastAsia="仿宋" w:cs="仿宋"/>
                <w:szCs w:val="21"/>
                <w:lang w:eastAsia="zh-CN"/>
              </w:rPr>
              <w:t>，</w:t>
            </w:r>
            <w:r>
              <w:rPr>
                <w:rFonts w:hint="eastAsia" w:ascii="仿宋" w:hAnsi="仿宋" w:eastAsia="仿宋" w:cs="仿宋"/>
                <w:szCs w:val="21"/>
              </w:rPr>
              <w:t>中标人根据专家意见进行修改完善。</w:t>
            </w:r>
          </w:p>
          <w:p>
            <w:pPr>
              <w:ind w:firstLine="420" w:firstLineChars="200"/>
              <w:jc w:val="left"/>
              <w:rPr>
                <w:rFonts w:hint="eastAsia" w:ascii="仿宋" w:hAnsi="仿宋" w:eastAsia="仿宋" w:cs="仿宋"/>
                <w:color w:val="000000"/>
                <w:szCs w:val="21"/>
                <w:highlight w:val="none"/>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）项目最终成果验收。中标人按照</w:t>
            </w:r>
            <w:r>
              <w:rPr>
                <w:rFonts w:hint="eastAsia" w:ascii="仿宋" w:hAnsi="仿宋" w:eastAsia="仿宋" w:cs="仿宋"/>
                <w:szCs w:val="21"/>
                <w:lang w:eastAsia="zh-CN"/>
              </w:rPr>
              <w:t>技术方案</w:t>
            </w:r>
            <w:r>
              <w:rPr>
                <w:rFonts w:hint="eastAsia" w:ascii="仿宋" w:hAnsi="仿宋" w:eastAsia="仿宋" w:cs="仿宋"/>
                <w:szCs w:val="21"/>
              </w:rPr>
              <w:t>和相关技术规范要求完成</w:t>
            </w:r>
            <w:r>
              <w:rPr>
                <w:rFonts w:hint="eastAsia" w:ascii="仿宋" w:hAnsi="仿宋" w:eastAsia="仿宋" w:cs="仿宋"/>
                <w:szCs w:val="21"/>
                <w:lang w:val="en-US" w:eastAsia="zh-CN"/>
              </w:rPr>
              <w:t>项目</w:t>
            </w:r>
            <w:r>
              <w:rPr>
                <w:rFonts w:hint="eastAsia" w:ascii="仿宋" w:hAnsi="仿宋" w:eastAsia="仿宋" w:cs="仿宋"/>
                <w:szCs w:val="21"/>
              </w:rPr>
              <w:t>后，采购方组织开展项目成果的专家评审，通过专家评审并修改完善后提交终期成果资料。终期成果资料经采购方</w:t>
            </w:r>
            <w:r>
              <w:rPr>
                <w:rFonts w:hint="eastAsia" w:ascii="仿宋" w:hAnsi="仿宋" w:eastAsia="仿宋" w:cs="仿宋"/>
                <w:szCs w:val="21"/>
                <w:lang w:val="en-US" w:eastAsia="zh-CN"/>
              </w:rPr>
              <w:t>专题</w:t>
            </w:r>
            <w:r>
              <w:rPr>
                <w:rFonts w:hint="eastAsia" w:ascii="仿宋" w:hAnsi="仿宋" w:eastAsia="仿宋" w:cs="仿宋"/>
                <w:szCs w:val="21"/>
              </w:rPr>
              <w:t>会审议通过后，提交最终成果资料。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具体技术要求</w:t>
            </w:r>
          </w:p>
        </w:tc>
        <w:tc>
          <w:tcPr>
            <w:tcW w:w="7407"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b/>
                <w:color w:val="000000"/>
                <w:szCs w:val="21"/>
                <w:lang w:val="en-US" w:eastAsia="zh-CN"/>
              </w:rPr>
            </w:pPr>
            <w:r>
              <w:rPr>
                <w:rFonts w:hint="eastAsia" w:ascii="仿宋" w:hAnsi="仿宋" w:eastAsia="仿宋"/>
                <w:b/>
                <w:color w:val="000000"/>
                <w:szCs w:val="21"/>
                <w:lang w:val="en-US" w:eastAsia="zh-CN"/>
              </w:rPr>
              <w:t>一、工作任务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开展福田区、南山区、罗湖区、龙华区、龙岗区、盐田区、光明区、大鹏新区以及深汕特别合作区共计完成工作区1917平方公里的遥感地质解译工作，开展200平方公里重点调查区的无人机机载激光雷达（LiDAR）调查并完成高精度数字高程模型建设，完成385平方公里重点调查区1:2000地质灾害测量工作。</w:t>
            </w:r>
            <w:r>
              <w:rPr>
                <w:rFonts w:hint="eastAsia" w:ascii="仿宋" w:hAnsi="仿宋" w:eastAsia="仿宋" w:cs="仿宋"/>
                <w:color w:val="000000"/>
                <w:szCs w:val="21"/>
                <w:highlight w:val="none"/>
                <w:lang w:eastAsia="zh-CN"/>
              </w:rPr>
              <w:t>划分斜坡单元，识别疑似风险区</w:t>
            </w:r>
            <w:r>
              <w:rPr>
                <w:rFonts w:hint="eastAsia" w:ascii="仿宋" w:hAnsi="仿宋" w:eastAsia="仿宋" w:cs="仿宋"/>
                <w:color w:val="000000"/>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（二）</w:t>
            </w:r>
            <w:r>
              <w:rPr>
                <w:rFonts w:hint="eastAsia" w:ascii="仿宋" w:hAnsi="仿宋" w:eastAsia="仿宋" w:cs="仿宋"/>
                <w:color w:val="000000"/>
                <w:szCs w:val="21"/>
                <w:highlight w:val="none"/>
                <w:lang w:eastAsia="zh-CN"/>
              </w:rPr>
              <w:t>编写202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lang w:eastAsia="zh-CN"/>
              </w:rPr>
              <w:t xml:space="preserve">年度工作报告，全面总结本阶段工作执行情况，汇交全域遥感解译报告图件、高精度数字高程模型以及1:2000地质灾害测量等阶段性成果，为后续工作提供基础底图和关键区域的精细化数据。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szCs w:val="21"/>
                <w:lang w:val="en-US" w:eastAsia="zh-CN"/>
              </w:rPr>
            </w:pPr>
            <w:r>
              <w:rPr>
                <w:rFonts w:hint="eastAsia" w:ascii="仿宋" w:hAnsi="仿宋" w:eastAsia="仿宋" w:cs="仿宋"/>
                <w:b/>
                <w:bCs/>
                <w:szCs w:val="21"/>
              </w:rPr>
              <w:t>二、</w:t>
            </w:r>
            <w:r>
              <w:rPr>
                <w:rFonts w:hint="eastAsia" w:ascii="仿宋" w:hAnsi="仿宋" w:eastAsia="仿宋" w:cs="仿宋"/>
                <w:b/>
                <w:bCs/>
                <w:szCs w:val="21"/>
                <w:lang w:val="en-US" w:eastAsia="zh-CN"/>
              </w:rPr>
              <w:t>工作部署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一</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总体</w:t>
            </w:r>
            <w:r>
              <w:rPr>
                <w:rFonts w:hint="eastAsia" w:ascii="仿宋" w:hAnsi="仿宋" w:eastAsia="仿宋" w:cs="仿宋"/>
                <w:color w:val="000000"/>
                <w:szCs w:val="21"/>
                <w:highlight w:val="none"/>
                <w:lang w:eastAsia="zh-CN"/>
              </w:rPr>
              <w:t>技术方案</w:t>
            </w:r>
            <w:r>
              <w:rPr>
                <w:rFonts w:hint="eastAsia" w:ascii="仿宋" w:hAnsi="仿宋" w:eastAsia="仿宋" w:cs="仿宋"/>
                <w:color w:val="000000"/>
                <w:szCs w:val="21"/>
                <w:highlight w:val="none"/>
              </w:rPr>
              <w:t>编写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1. </w:t>
            </w:r>
            <w:r>
              <w:rPr>
                <w:rFonts w:hint="eastAsia" w:ascii="仿宋" w:hAnsi="仿宋" w:eastAsia="仿宋" w:cs="仿宋"/>
                <w:color w:val="000000"/>
                <w:szCs w:val="21"/>
                <w:highlight w:val="none"/>
              </w:rPr>
              <w:t>收集调查区基础地理信息数据，包括：地形数据、高分辨率遥感影像数据、数字高程模型、无人机测量成果等。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2. </w:t>
            </w:r>
            <w:r>
              <w:rPr>
                <w:rFonts w:hint="eastAsia" w:ascii="仿宋" w:hAnsi="仿宋" w:eastAsia="仿宋" w:cs="仿宋"/>
                <w:color w:val="000000"/>
                <w:szCs w:val="21"/>
                <w:highlight w:val="none"/>
              </w:rPr>
              <w:t>收集调查区孕灾地质环境条件资料，包括：气象、水文、地形地貌、地质构造、地震、水文地质和人类工程经济活动等。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3. </w:t>
            </w:r>
            <w:r>
              <w:rPr>
                <w:rFonts w:hint="eastAsia" w:ascii="仿宋" w:hAnsi="仿宋" w:eastAsia="仿宋" w:cs="仿宋"/>
                <w:color w:val="000000"/>
                <w:szCs w:val="21"/>
                <w:highlight w:val="none"/>
              </w:rPr>
              <w:t>收集调查区地质灾害防治资料，包括：地质灾害调查评价、监测预警、工程治理等防治资料，地质灾害防治规划、年度防治及实施方案，历史灾害资料（历史上发生的地质灾害时间、类型、规模、灾情及其应急抢险救灾等相关资料）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4. </w:t>
            </w:r>
            <w:r>
              <w:rPr>
                <w:rFonts w:hint="eastAsia" w:ascii="仿宋" w:hAnsi="仿宋" w:eastAsia="仿宋" w:cs="仿宋"/>
                <w:color w:val="000000"/>
                <w:szCs w:val="21"/>
                <w:highlight w:val="none"/>
              </w:rPr>
              <w:t>收集调查区社会经济资料，包括：国民经济和社会发展统计公报、国情地理普查、“房地一体”农村宅基地和集体建设用地权籍调查数据，城镇化、交通等建设工程分布状况，国民经济建设规划、村镇发展规划、生态环境保护规划等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5. </w:t>
            </w:r>
            <w:r>
              <w:rPr>
                <w:rFonts w:hint="eastAsia" w:ascii="仿宋" w:hAnsi="仿宋" w:eastAsia="仿宋" w:cs="仿宋"/>
                <w:color w:val="000000"/>
                <w:szCs w:val="21"/>
                <w:highlight w:val="none"/>
              </w:rPr>
              <w:t>充分利用已有成果，初步分析调查区地质灾害发育分布状况、形成条件与诱发因素；全域覆盖划分斜坡单元，初步分析确定拟调查、核查的地质灾害隐患点/风险点和疑似风险区。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6. </w:t>
            </w:r>
            <w:r>
              <w:rPr>
                <w:rFonts w:hint="eastAsia" w:ascii="仿宋" w:hAnsi="仿宋" w:eastAsia="仿宋" w:cs="仿宋"/>
                <w:color w:val="000000"/>
                <w:szCs w:val="21"/>
                <w:highlight w:val="none"/>
              </w:rPr>
              <w:t>通过综合分析，结合遥感调查解译，进行地质灾害隐患点/风险点和风险区分布预编图。将搜集到的资料进行数字化，并分图层镶嵌、配准、套合到同一坐标系统中。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7. </w:t>
            </w:r>
            <w:r>
              <w:rPr>
                <w:rFonts w:hint="eastAsia" w:ascii="仿宋" w:hAnsi="仿宋" w:eastAsia="仿宋" w:cs="仿宋"/>
                <w:color w:val="000000"/>
                <w:szCs w:val="21"/>
                <w:highlight w:val="none"/>
              </w:rPr>
              <w:t>在</w:t>
            </w:r>
            <w:r>
              <w:rPr>
                <w:rFonts w:hint="eastAsia" w:ascii="仿宋" w:hAnsi="仿宋" w:eastAsia="仿宋" w:cs="仿宋"/>
                <w:color w:val="000000"/>
                <w:szCs w:val="21"/>
                <w:highlight w:val="none"/>
                <w:lang w:val="en-US" w:eastAsia="zh-CN"/>
              </w:rPr>
              <w:t>上述收集到的</w:t>
            </w:r>
            <w:r>
              <w:rPr>
                <w:rFonts w:hint="eastAsia" w:ascii="仿宋" w:hAnsi="仿宋" w:eastAsia="仿宋" w:cs="仿宋"/>
                <w:color w:val="000000"/>
                <w:szCs w:val="21"/>
                <w:highlight w:val="none"/>
              </w:rPr>
              <w:t>资料整理结合野外踏勘的基础上，按照相关要求，结合工作区地质灾害特点开展</w:t>
            </w:r>
            <w:r>
              <w:rPr>
                <w:rFonts w:hint="eastAsia" w:ascii="仿宋" w:hAnsi="仿宋" w:eastAsia="仿宋" w:cs="仿宋"/>
                <w:color w:val="000000"/>
                <w:szCs w:val="21"/>
                <w:highlight w:val="none"/>
                <w:lang w:eastAsia="zh-CN"/>
              </w:rPr>
              <w:t>技术方案</w:t>
            </w:r>
            <w:r>
              <w:rPr>
                <w:rFonts w:hint="eastAsia" w:ascii="仿宋" w:hAnsi="仿宋" w:eastAsia="仿宋" w:cs="仿宋"/>
                <w:color w:val="000000"/>
                <w:szCs w:val="21"/>
                <w:highlight w:val="none"/>
              </w:rPr>
              <w:t>编写。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(二)</w:t>
            </w:r>
            <w:r>
              <w:rPr>
                <w:rFonts w:hint="eastAsia" w:ascii="仿宋" w:hAnsi="仿宋" w:eastAsia="仿宋" w:cs="仿宋"/>
                <w:color w:val="000000"/>
                <w:szCs w:val="21"/>
                <w:highlight w:val="none"/>
              </w:rPr>
              <w:t>遥感解译与重点区地质灾害测量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遥感地质解译搭配无人机机载激光雷达调查是本次工作的基础环节，通过遥感地质解译以及无人机获取的高精度三维点云数据，生成高精度数字高程模型，为孕灾地质条件、地质灾害及隐患、承灾体等要素的精细化分析提供数据支撑。</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斜坡单元划分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以本次遥感地质解译结果以及无人机机载激光雷达调查生成的高精度数字高程模型为核心数据，利用Arcgis（10.2以上版本）平台，根据地形地貌、地层岩性等特征划分斜坡单元，然后根据居民区分布情况确定重点调查地段，并提取各斜坡单元的地形地貌、地层岩性、植被覆盖率、居民区分布情况等信息划分斜坡单元。</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调查区划分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地质灾害隐患危害对象以及地质灾害易发性区划分级，将调查区划分重点调查区和一般调查区，重点调查区的界线宜考虑斜坡单元边界、山脊线、汇水线等自然形态界线。重点调查区斜坡以分水岭为界，沟谷应包括整个流域范围。考虑到威胁对象的分布以及规范要求，将重点调查区面积设置为385km</w:t>
            </w:r>
            <w:r>
              <w:rPr>
                <w:rFonts w:hint="eastAsia" w:ascii="仿宋" w:hAnsi="仿宋" w:eastAsia="仿宋" w:cs="仿宋"/>
                <w:color w:val="000000"/>
                <w:szCs w:val="21"/>
                <w:highlight w:val="none"/>
                <w:vertAlign w:val="superscript"/>
              </w:rPr>
              <w:t>2</w:t>
            </w:r>
            <w:r>
              <w:rPr>
                <w:rFonts w:hint="eastAsia" w:ascii="仿宋" w:hAnsi="仿宋" w:eastAsia="仿宋" w:cs="仿宋"/>
                <w:color w:val="000000"/>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本阶段将完成遥感解译工作以及无人机机载激光雷达调查，划分斜坡单元，并集中力量对重点调查区开展1:2000地质灾害测量，为后续工作提供基础底图和关键区域的精细化数据。</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遥感解译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完成工作区1917平方公里的遥感地质解译工作，初步划分斜坡单元，识别疑似风险区。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无人机机载激光雷达调查：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对200平方公里的重点调查区，开展无人机机载激光雷达（LiDAR）调查，生产高精度数字高程模型。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重点调查区地质灾害测量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完成385平方公里重点调查区的1:2000地质灾害测量工作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形成202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年度工作报告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系统梳理并编写提交202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年度工作报告。该报告将全面总结本阶段的工作执行情况，汇交全域遥感解译报告图件、200平方公里重点区的高精度数字高程模型以及1:2000地质灾害测量等阶段性成果。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三</w:t>
            </w:r>
            <w:r>
              <w:rPr>
                <w:rFonts w:hint="eastAsia" w:ascii="仿宋" w:hAnsi="仿宋" w:eastAsia="仿宋" w:cs="仿宋"/>
                <w:b/>
                <w:bCs/>
                <w:szCs w:val="21"/>
                <w:highlight w:val="none"/>
              </w:rPr>
              <w:t>、预期成果及其形式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本项目的主要成果包括：</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szCs w:val="21"/>
                <w:lang w:val="en-US"/>
              </w:rPr>
            </w:pPr>
            <w:r>
              <w:rPr>
                <w:rFonts w:hint="eastAsia" w:ascii="仿宋" w:hAnsi="仿宋" w:eastAsia="仿宋" w:cs="仿宋"/>
                <w:szCs w:val="21"/>
                <w:lang w:eastAsia="zh-CN"/>
              </w:rPr>
              <w:t>（</w:t>
            </w:r>
            <w:r>
              <w:rPr>
                <w:rFonts w:hint="eastAsia" w:ascii="仿宋" w:hAnsi="仿宋" w:eastAsia="仿宋" w:cs="仿宋"/>
                <w:szCs w:val="21"/>
                <w:lang w:val="en-US" w:eastAsia="zh-CN"/>
              </w:rPr>
              <w:t>一</w:t>
            </w:r>
            <w:r>
              <w:rPr>
                <w:rFonts w:hint="eastAsia" w:ascii="仿宋" w:hAnsi="仿宋" w:eastAsia="仿宋" w:cs="仿宋"/>
                <w:szCs w:val="21"/>
                <w:lang w:eastAsia="zh-CN"/>
              </w:rPr>
              <w:t>）</w:t>
            </w:r>
            <w:r>
              <w:rPr>
                <w:rFonts w:hint="eastAsia" w:ascii="仿宋" w:hAnsi="仿宋" w:eastAsia="仿宋" w:cs="仿宋"/>
                <w:szCs w:val="21"/>
              </w:rPr>
              <w:t>深圳市斜坡类地质灾害风险调查</w:t>
            </w:r>
            <w:r>
              <w:rPr>
                <w:rFonts w:hint="eastAsia" w:ascii="仿宋" w:hAnsi="仿宋" w:eastAsia="仿宋" w:cs="仿宋"/>
                <w:szCs w:val="21"/>
                <w:lang w:val="en-US" w:eastAsia="zh-CN"/>
              </w:rPr>
              <w:t>2026年度工作报告；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szCs w:val="21"/>
                <w:lang w:val="en-US"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二</w:t>
            </w:r>
            <w:r>
              <w:rPr>
                <w:rFonts w:hint="eastAsia" w:ascii="仿宋" w:hAnsi="仿宋" w:eastAsia="仿宋" w:cs="仿宋"/>
                <w:szCs w:val="21"/>
                <w:lang w:eastAsia="zh-CN"/>
              </w:rPr>
              <w:t>）</w:t>
            </w:r>
            <w:r>
              <w:rPr>
                <w:rFonts w:hint="eastAsia" w:ascii="仿宋" w:hAnsi="仿宋" w:eastAsia="仿宋" w:cs="仿宋"/>
                <w:color w:val="000000"/>
                <w:szCs w:val="21"/>
                <w:highlight w:val="none"/>
              </w:rPr>
              <w:t>1917平方公里</w:t>
            </w:r>
            <w:r>
              <w:rPr>
                <w:rFonts w:hint="eastAsia" w:ascii="仿宋" w:hAnsi="仿宋" w:eastAsia="仿宋" w:cs="仿宋"/>
                <w:szCs w:val="21"/>
                <w:lang w:val="en-US" w:eastAsia="zh-CN"/>
              </w:rPr>
              <w:t>地质灾害遥感解译报告以及遥感解译专题图；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三</w:t>
            </w:r>
            <w:r>
              <w:rPr>
                <w:rFonts w:hint="eastAsia" w:ascii="仿宋" w:hAnsi="仿宋" w:eastAsia="仿宋" w:cs="仿宋"/>
                <w:szCs w:val="21"/>
                <w:lang w:eastAsia="zh-CN"/>
              </w:rPr>
              <w:t>）</w:t>
            </w:r>
            <w:r>
              <w:rPr>
                <w:rFonts w:hint="eastAsia" w:ascii="仿宋" w:hAnsi="仿宋" w:eastAsia="仿宋" w:cs="仿宋"/>
                <w:szCs w:val="21"/>
                <w:lang w:val="en-US" w:eastAsia="zh-CN"/>
              </w:rPr>
              <w:t>200平方公里数字高程模型DEM；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default" w:ascii="仿宋" w:hAnsi="仿宋" w:eastAsia="仿宋" w:cs="仿宋"/>
                <w:szCs w:val="21"/>
                <w:lang w:val="en-US"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四</w:t>
            </w:r>
            <w:r>
              <w:rPr>
                <w:rFonts w:hint="eastAsia" w:ascii="仿宋" w:hAnsi="仿宋" w:eastAsia="仿宋" w:cs="仿宋"/>
                <w:szCs w:val="21"/>
                <w:lang w:eastAsia="zh-CN"/>
              </w:rPr>
              <w:t>）</w:t>
            </w:r>
            <w:r>
              <w:rPr>
                <w:rFonts w:hint="eastAsia" w:ascii="仿宋" w:hAnsi="仿宋" w:eastAsia="仿宋" w:cs="仿宋"/>
                <w:szCs w:val="21"/>
                <w:lang w:val="en-US" w:eastAsia="zh-CN"/>
              </w:rPr>
              <w:t>385平方公里</w:t>
            </w:r>
            <w:r>
              <w:rPr>
                <w:rFonts w:hint="eastAsia" w:ascii="仿宋" w:hAnsi="仿宋" w:eastAsia="仿宋" w:cs="仿宋"/>
                <w:color w:val="000000"/>
                <w:szCs w:val="21"/>
                <w:highlight w:val="none"/>
              </w:rPr>
              <w:t>重点调查区地质灾害测量</w:t>
            </w:r>
            <w:r>
              <w:rPr>
                <w:rFonts w:hint="eastAsia" w:ascii="仿宋" w:hAnsi="仿宋" w:eastAsia="仿宋" w:cs="仿宋"/>
                <w:color w:val="000000"/>
                <w:szCs w:val="21"/>
                <w:highlight w:val="none"/>
                <w:lang w:val="en-US" w:eastAsia="zh-CN"/>
              </w:rPr>
              <w:t>成果</w:t>
            </w:r>
            <w:r>
              <w:rPr>
                <w:rFonts w:hint="eastAsia" w:ascii="仿宋" w:hAnsi="仿宋" w:eastAsia="仿宋" w:cs="仿宋"/>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Cs w:val="21"/>
              </w:rPr>
            </w:pPr>
            <w:r>
              <w:rPr>
                <w:rFonts w:hint="eastAsia" w:ascii="仿宋" w:hAnsi="仿宋" w:eastAsia="仿宋" w:cs="仿宋"/>
                <w:b/>
                <w:bCs/>
                <w:szCs w:val="21"/>
                <w:lang w:val="en-US" w:eastAsia="zh-CN"/>
              </w:rPr>
              <w:t>四</w:t>
            </w:r>
            <w:r>
              <w:rPr>
                <w:rFonts w:hint="eastAsia" w:ascii="仿宋" w:hAnsi="仿宋" w:eastAsia="仿宋" w:cs="仿宋"/>
                <w:b/>
                <w:bCs/>
                <w:szCs w:val="21"/>
              </w:rPr>
              <w:t>、进度安排</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计划项目时间自合同签订之日起至2026年</w:t>
            </w:r>
            <w:r>
              <w:rPr>
                <w:rFonts w:hint="eastAsia" w:ascii="仿宋" w:hAnsi="仿宋" w:eastAsia="仿宋" w:cs="仿宋"/>
                <w:szCs w:val="21"/>
                <w:lang w:val="en-US" w:eastAsia="zh-CN"/>
              </w:rPr>
              <w:t>12</w:t>
            </w:r>
            <w:r>
              <w:rPr>
                <w:rFonts w:hint="eastAsia" w:ascii="仿宋" w:hAnsi="仿宋" w:eastAsia="仿宋" w:cs="仿宋"/>
                <w:szCs w:val="21"/>
              </w:rPr>
              <w:t>月，具体以项目实际开展为准。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Cs w:val="21"/>
              </w:rPr>
            </w:pPr>
            <w:r>
              <w:rPr>
                <w:rFonts w:hint="eastAsia" w:ascii="仿宋" w:hAnsi="仿宋" w:eastAsia="仿宋" w:cs="仿宋"/>
                <w:b/>
                <w:bCs/>
                <w:szCs w:val="21"/>
                <w:lang w:val="en-US" w:eastAsia="zh-CN"/>
              </w:rPr>
              <w:t>五</w:t>
            </w:r>
            <w:r>
              <w:rPr>
                <w:rFonts w:hint="eastAsia" w:ascii="仿宋" w:hAnsi="仿宋" w:eastAsia="仿宋" w:cs="仿宋"/>
                <w:b/>
                <w:bCs/>
                <w:szCs w:val="21"/>
              </w:rPr>
              <w:t>、项目组成员要求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Cs w:val="21"/>
                <w:highlight w:val="none"/>
              </w:rPr>
            </w:pPr>
            <w:r>
              <w:rPr>
                <w:rFonts w:hint="eastAsia" w:ascii="仿宋" w:hAnsi="仿宋" w:eastAsia="仿宋" w:cs="仿宋"/>
                <w:szCs w:val="21"/>
                <w:highlight w:val="none"/>
              </w:rPr>
              <w:t>投标方投入本项目的项目组成员应熟悉我市地质环境条件、地质灾害类型、城市地质调查、数据库建设等相关情况，安排</w:t>
            </w:r>
            <w:r>
              <w:rPr>
                <w:rFonts w:hint="eastAsia" w:ascii="仿宋" w:hAnsi="仿宋" w:eastAsia="仿宋" w:cs="仿宋"/>
                <w:szCs w:val="21"/>
                <w:highlight w:val="none"/>
                <w:lang w:val="en-US" w:eastAsia="zh-CN"/>
              </w:rPr>
              <w:t>项目负责人</w:t>
            </w:r>
            <w:r>
              <w:rPr>
                <w:rFonts w:hint="eastAsia" w:ascii="仿宋" w:hAnsi="仿宋" w:eastAsia="仿宋" w:cs="仿宋"/>
                <w:szCs w:val="21"/>
                <w:highlight w:val="none"/>
              </w:rPr>
              <w:t>学历至少硕士研究生</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w:t>
            </w:r>
            <w:r>
              <w:rPr>
                <w:rFonts w:hint="eastAsia" w:ascii="仿宋" w:hAnsi="仿宋" w:eastAsia="仿宋" w:cs="仿宋"/>
                <w:szCs w:val="21"/>
                <w:highlight w:val="none"/>
                <w:lang w:val="en-US" w:eastAsia="zh-CN"/>
              </w:rPr>
              <w:t>且具有水工环地质专业正高级职称，安排项目组成员至少硕士研究生及以上，</w:t>
            </w:r>
            <w:r>
              <w:rPr>
                <w:rFonts w:hint="eastAsia" w:ascii="仿宋" w:hAnsi="仿宋" w:eastAsia="仿宋" w:cs="仿宋"/>
                <w:szCs w:val="21"/>
                <w:highlight w:val="none"/>
              </w:rPr>
              <w:t>项目团队成员不少于10人。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合同执行过程中，未经采购人同意，中标人不得随意更换项目负责人和项目组成员。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1560" w:type="dxa"/>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4"/>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1" w:firstLineChars="200"/>
              <w:jc w:val="left"/>
              <w:textAlignment w:val="auto"/>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完成工作区1917平方公里的遥感地质解译工作，开展200平方公里重点调查区的无人机机载激光雷达（LiDAR）调查并完成高精度数字高程模型建设，完成385平方公里重点调查区1:2000地质灾害测量工作。划分斜坡单元，识别疑似风险区。编写2026年度工作报告，全面总结本阶段工作执行情况，汇交全域遥感解译报告图件、高精度数字高程模型以及1:2000地质灾害测量等阶段性成果，为后续工作提供基础底图和关键区域的精细化数据。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1" w:firstLineChars="200"/>
              <w:jc w:val="left"/>
              <w:textAlignment w:val="auto"/>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项目所依据及参考的标准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（一）自然资源部地质勘查管理司印发了《县级地质灾害“隐患点风险区”双控体系建设指南（试行）》（2023年11月28日），要求县级人民政府及自然 资源主管部门进行风险识别更新精细化，聚焦地质灾害隐患点和风险区“在哪 里”和“结构是什么”，深入开展全域1:5万地质灾害风险调查和重点地区1:1万 地质灾害精细调查，开展重点区段、重点斜坡以及地质灾害隐患点1:2千调查；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（二）自然资源部、住房城乡建设部、水利部 、应急管理部联合印发了《关于加强城市地质安全风险防控的通知》（ 自然资发〔2024〕19号），要求高度重视城市地质安全风险，加强城市地质基础调查工作；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（三） 《自然资源部关于印发&lt;全国地质灾害防治“十四五”规划&gt;的通知》 (自然资发〔2022〕216号)明确，针对人口聚集区、重点移民城镇、公共基础设施区等部署开展1:1万地质灾害调查，加强地质灾害成灾机理研究，掌握地质灾害隐患和潜在致灾体的结构特征、稳定性变化趋势、威胁范围和风险等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四）《广东省地质灾害防治“十四五”规划》，要求开展100个重点乡镇精细化风险调查，掌握地质灾害隐患和潜在致灾体的结构特征、失稳趋势、威胁范围，科学评价风险程度等级，编制风险管控图册，提出风险管控措施建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（五）广东省自然资源厅关于印发《广东省乡镇（街道）地质灾害风险调查评价技术要求（ 1 ∶ 10000）》的通知（粤自然资地勘〔2023〕1528号），为保障人民群众生命财产安全，支撑地方政府地质灾害防治管理工作，亟需在县（市、区）1 ∶50000地质灾害风险调查评价工作的基础上，部署开展乡镇（街道）1:10000地质灾害风险调查评价工作；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六）《广东省人民政府办公厅关于印发广东省地质灾害综合防治能力提升三年行动方案（2023—2025年）的通知》（粤办函〔2023〕43号），其中重点任务之一为：开展重点区域地质灾害综合调查，实施不少于100个重点乡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Cs w:val="21"/>
              </w:rPr>
            </w:pPr>
            <w:r>
              <w:rPr>
                <w:rFonts w:hint="eastAsia" w:ascii="仿宋" w:hAnsi="仿宋" w:eastAsia="仿宋" w:cs="仿宋"/>
                <w:szCs w:val="21"/>
              </w:rPr>
              <w:t>1:10000地质灾害精细化调查；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七）广东省自然资源厅关于印发《广东省县域斜坡地质灾害风险排查技术要求(1:10000)(试行)》的通知（粤自然资函〔2025〕328号），为保障人民群众生命财产安全，快速推动地质灾害防控重点由“隐患点”向“隐患点+风险区”转变，亟需以县(市、区)为单元部署开展斜坡地质灾害风险排查，为县级地质灾害“隐患点+风险区”双控体系建设提供基础依据。</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项目采购范围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深圳市</w:t>
            </w:r>
            <w:r>
              <w:rPr>
                <w:rFonts w:hint="eastAsia" w:ascii="仿宋" w:hAnsi="仿宋" w:eastAsia="仿宋" w:cs="仿宋"/>
                <w:szCs w:val="21"/>
              </w:rPr>
              <w:t>福田区、南山区、罗湖区、龙华区、龙岗区、盐田区、光明区、大鹏新区以及深汕特别合作区共计1917平方公里</w:t>
            </w:r>
            <w:r>
              <w:rPr>
                <w:rFonts w:hint="eastAsia" w:ascii="仿宋" w:hAnsi="仿宋" w:eastAsia="仿宋" w:cs="仿宋"/>
                <w:szCs w:val="21"/>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1" w:firstLineChars="200"/>
              <w:jc w:val="left"/>
              <w:textAlignment w:val="auto"/>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项目服务期限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自合同签订之日起至2026年12月31日。</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1" w:firstLineChars="200"/>
              <w:jc w:val="left"/>
              <w:textAlignment w:val="auto"/>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组织实施要求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为确保本次招标项目管理规范、实施有力，供应商应成立项目组，按采购单位要求完成项目成果。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rPr>
            </w:pPr>
            <w:r>
              <w:rPr>
                <w:rFonts w:hint="eastAsia" w:ascii="仿宋" w:hAnsi="仿宋" w:eastAsia="仿宋" w:cs="仿宋"/>
                <w:szCs w:val="21"/>
              </w:rPr>
              <w:t>供应商须配合采购方组织、举办本项目各工作阶段的汇报、审查、研讨、意见征集和专家咨询等工作，并负责解答相关问题。</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售后服务要求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kern w:val="0"/>
                <w:szCs w:val="21"/>
                <w:highlight w:val="none"/>
              </w:rPr>
            </w:pPr>
            <w:r>
              <w:rPr>
                <w:rFonts w:hint="eastAsia" w:ascii="仿宋" w:hAnsi="仿宋" w:eastAsia="仿宋" w:cs="仿宋"/>
                <w:szCs w:val="21"/>
              </w:rPr>
              <w:t>服务方应按照合同规定，在限定期限内完成该项目的编制、汇报、审查等工作。项目售后服务期限自最终成果提交采购方之日起的</w:t>
            </w:r>
            <w:r>
              <w:rPr>
                <w:rFonts w:hint="eastAsia" w:ascii="仿宋" w:hAnsi="仿宋" w:eastAsia="仿宋" w:cs="仿宋"/>
                <w:szCs w:val="21"/>
                <w:lang w:val="en-US" w:eastAsia="zh-CN"/>
              </w:rPr>
              <w:t>1</w:t>
            </w:r>
            <w:r>
              <w:rPr>
                <w:rFonts w:ascii="仿宋" w:hAnsi="仿宋" w:eastAsia="仿宋" w:cs="仿宋"/>
                <w:szCs w:val="21"/>
              </w:rPr>
              <w:t>年内，服务方须与采购方保持密切沟通，随时跟进项目后续的服务需求，为项目成果提供相关技术支持。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60" w:type="dxa"/>
            <w:vMerge w:val="restart"/>
            <w:noWrap w:val="0"/>
            <w:vAlign w:val="top"/>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其他要求</w:t>
            </w:r>
          </w:p>
        </w:tc>
        <w:tc>
          <w:tcPr>
            <w:tcW w:w="7407" w:type="dxa"/>
            <w:gridSpan w:val="4"/>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r>
              <w:rPr>
                <w:rFonts w:hint="eastAsia" w:ascii="仿宋" w:hAnsi="仿宋" w:eastAsia="仿宋" w:cs="仿宋"/>
                <w:b/>
                <w:color w:val="000000"/>
                <w:szCs w:val="21"/>
                <w:highlight w:val="none"/>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6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p>
        </w:tc>
        <w:tc>
          <w:tcPr>
            <w:tcW w:w="850" w:type="dxa"/>
            <w:vMerge w:val="restart"/>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kern w:val="0"/>
                <w:szCs w:val="21"/>
                <w:highlight w:val="none"/>
              </w:rPr>
            </w:pPr>
            <w:r>
              <w:rPr>
                <w:rFonts w:hint="eastAsia" w:ascii="仿宋" w:hAnsi="仿宋" w:eastAsia="仿宋" w:cs="仿宋"/>
                <w:bCs/>
                <w:color w:val="000000"/>
                <w:szCs w:val="21"/>
                <w:highlight w:val="none"/>
              </w:rPr>
              <w:t>特定供应商</w:t>
            </w: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default" w:ascii="仿宋" w:hAnsi="仿宋" w:eastAsia="仿宋" w:cs="仿宋"/>
                <w:bCs/>
                <w:color w:val="000000"/>
                <w:kern w:val="0"/>
                <w:szCs w:val="21"/>
                <w:highlight w:val="none"/>
                <w:lang w:val="en-US" w:eastAsia="zh-CN"/>
              </w:rPr>
            </w:pPr>
            <w:r>
              <w:rPr>
                <w:rFonts w:hint="eastAsia" w:ascii="仿宋" w:hAnsi="仿宋" w:eastAsia="仿宋" w:cs="仿宋"/>
                <w:bCs/>
                <w:color w:val="000000"/>
                <w:szCs w:val="21"/>
                <w:highlight w:val="none"/>
              </w:rPr>
              <w:t>单位名称：</w:t>
            </w:r>
            <w:r>
              <w:rPr>
                <w:rFonts w:hint="eastAsia" w:ascii="仿宋" w:hAnsi="仿宋" w:eastAsia="仿宋" w:cs="仿宋"/>
                <w:bCs/>
                <w:color w:val="000000"/>
                <w:szCs w:val="21"/>
                <w:highlight w:val="none"/>
                <w:lang w:val="en-US" w:eastAsia="zh-CN"/>
              </w:rPr>
              <w:t>深圳市自然资源和不动产评估发展研究中心（深圳市地质环境监测中心）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6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p>
        </w:tc>
        <w:tc>
          <w:tcPr>
            <w:tcW w:w="85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kern w:val="0"/>
                <w:szCs w:val="21"/>
                <w:highlight w:val="none"/>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kern w:val="0"/>
                <w:szCs w:val="21"/>
                <w:highlight w:val="none"/>
                <w:lang w:val="en-US" w:eastAsia="zh-CN"/>
              </w:rPr>
            </w:pPr>
            <w:r>
              <w:rPr>
                <w:rFonts w:hint="eastAsia" w:ascii="仿宋" w:hAnsi="仿宋" w:eastAsia="仿宋" w:cs="仿宋"/>
                <w:bCs/>
                <w:color w:val="000000"/>
                <w:szCs w:val="21"/>
                <w:highlight w:val="none"/>
              </w:rPr>
              <w:t>项目经办人：</w:t>
            </w:r>
            <w:r>
              <w:rPr>
                <w:rFonts w:hint="eastAsia" w:ascii="仿宋" w:hAnsi="仿宋" w:eastAsia="仿宋" w:cs="仿宋"/>
                <w:bCs/>
                <w:color w:val="000000"/>
                <w:szCs w:val="21"/>
                <w:highlight w:val="none"/>
                <w:lang w:val="en-US" w:eastAsia="zh-CN"/>
              </w:rPr>
              <w:t>李文博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6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p>
        </w:tc>
        <w:tc>
          <w:tcPr>
            <w:tcW w:w="85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kern w:val="0"/>
                <w:szCs w:val="21"/>
                <w:highlight w:val="none"/>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default" w:ascii="仿宋" w:hAnsi="仿宋" w:eastAsia="仿宋" w:cs="仿宋"/>
                <w:bCs/>
                <w:color w:val="000000"/>
                <w:kern w:val="0"/>
                <w:szCs w:val="21"/>
                <w:highlight w:val="none"/>
                <w:lang w:val="en-US" w:eastAsia="zh-CN"/>
              </w:rPr>
            </w:pPr>
            <w:r>
              <w:rPr>
                <w:rFonts w:hint="eastAsia" w:ascii="仿宋" w:hAnsi="仿宋" w:eastAsia="仿宋" w:cs="仿宋"/>
                <w:bCs/>
                <w:color w:val="000000"/>
                <w:szCs w:val="21"/>
                <w:highlight w:val="none"/>
              </w:rPr>
              <w:t>联系电话：</w:t>
            </w:r>
            <w:r>
              <w:rPr>
                <w:rFonts w:hint="eastAsia" w:ascii="仿宋" w:hAnsi="仿宋" w:eastAsia="仿宋" w:cs="仿宋"/>
                <w:bCs/>
                <w:color w:val="000000"/>
                <w:szCs w:val="21"/>
                <w:highlight w:val="none"/>
                <w:lang w:val="en-US" w:eastAsia="zh-CN"/>
              </w:rPr>
              <w:t>13378669528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Adobe ｺﾚﾌ・Std R">
    <w:altName w:val="MS Gothic"/>
    <w:panose1 w:val="00000000000000000000"/>
    <w:charset w:val="80"/>
    <w:family w:val="swiss"/>
    <w:pitch w:val="default"/>
    <w:sig w:usb0="00000000" w:usb1="00000000" w:usb2="00000000" w:usb3="00000000" w:csb0="0002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44D00"/>
    <w:multiLevelType w:val="singleLevel"/>
    <w:tmpl w:val="9E044D00"/>
    <w:lvl w:ilvl="0" w:tentative="0">
      <w:start w:val="1"/>
      <w:numFmt w:val="decimal"/>
      <w:suff w:val="space"/>
      <w:lvlText w:val="%1."/>
      <w:lvlJc w:val="left"/>
    </w:lvl>
  </w:abstractNum>
  <w:abstractNum w:abstractNumId="1">
    <w:nsid w:val="33420A48"/>
    <w:multiLevelType w:val="singleLevel"/>
    <w:tmpl w:val="33420A48"/>
    <w:lvl w:ilvl="0" w:tentative="0">
      <w:start w:val="1"/>
      <w:numFmt w:val="chineseCounting"/>
      <w:suff w:val="nothing"/>
      <w:lvlText w:val="%1、"/>
      <w:lvlJc w:val="left"/>
      <w:rPr>
        <w:rFonts w:hint="eastAsia"/>
      </w:rPr>
    </w:lvl>
  </w:abstractNum>
  <w:abstractNum w:abstractNumId="2">
    <w:nsid w:val="619489E4"/>
    <w:multiLevelType w:val="singleLevel"/>
    <w:tmpl w:val="619489E4"/>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B29D1"/>
    <w:rsid w:val="0ADE7763"/>
    <w:rsid w:val="0B2800A8"/>
    <w:rsid w:val="0DE56E88"/>
    <w:rsid w:val="0E6B29D1"/>
    <w:rsid w:val="12035A9B"/>
    <w:rsid w:val="15611601"/>
    <w:rsid w:val="1D167F1C"/>
    <w:rsid w:val="1E035989"/>
    <w:rsid w:val="20B006C4"/>
    <w:rsid w:val="24C97D64"/>
    <w:rsid w:val="25223279"/>
    <w:rsid w:val="25E31850"/>
    <w:rsid w:val="2C9C6A54"/>
    <w:rsid w:val="2E2B414C"/>
    <w:rsid w:val="30325AC7"/>
    <w:rsid w:val="32E614FB"/>
    <w:rsid w:val="33DFBFA2"/>
    <w:rsid w:val="54291C48"/>
    <w:rsid w:val="5A4C5CA0"/>
    <w:rsid w:val="5F3CFE31"/>
    <w:rsid w:val="64884B71"/>
    <w:rsid w:val="7C0B15F2"/>
    <w:rsid w:val="DFBFE964"/>
    <w:rsid w:val="FF7F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autoSpaceDE w:val="0"/>
      <w:autoSpaceDN w:val="0"/>
      <w:ind w:left="153" w:firstLine="458"/>
    </w:pPr>
    <w:rPr>
      <w:rFonts w:hint="eastAsia" w:ascii="Adobe ｺﾚﾌ・Std R" w:hAnsi="Adobe ｺﾚﾌ・Std R" w:eastAsia="Adobe ｺﾚﾌ・Std 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spacing w:before="240" w:after="60"/>
      <w:jc w:val="center"/>
      <w:outlineLvl w:val="0"/>
    </w:pPr>
    <w:rPr>
      <w:rFonts w:ascii="Cambria" w:hAnsi="Cambria" w:eastAsia="宋体"/>
      <w:b/>
      <w:bCs/>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8519</Words>
  <Characters>8909</Characters>
  <Lines>1</Lines>
  <Paragraphs>1</Paragraphs>
  <TotalTime>15</TotalTime>
  <ScaleCrop>false</ScaleCrop>
  <LinksUpToDate>false</LinksUpToDate>
  <CharactersWithSpaces>8970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2026-02-05T10:26:00Z</dcterms:created>
  <dc:creator>NEMO</dc:creator>
  <cp:lastModifiedBy>ql</cp:lastModifiedBy>
  <dcterms:modified xsi:type="dcterms:W3CDTF">2026-04-30T16:11:49Z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F2E01A2FCE27F219C85CF0694FC175FE</vt:lpwstr>
  </property>
  <property fmtid="{D5CDD505-2E9C-101B-9397-08002B2CF9AE}" pid="4" name="KSOTemplateDocerSaveRecord">
    <vt:lpwstr>eyJoZGlkIjoiMTBiYjVmNTIzYjRiMzJlMjFiYjFkZDkxNmRjODc1ZWUiLCJ1c2VySWQiOiIxMDIyNjE5MjA0In0=</vt:lpwstr>
  </property>
</Properties>
</file>