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深圳市2026年度地质环境监测和地质灾害防治</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outlineLvl w:val="0"/>
        <w:rPr>
          <w:rFonts w:hint="eastAsia" w:ascii="方正小标宋_GBK" w:hAnsi="方正小标宋_GBK" w:eastAsia="方正小标宋_GBK" w:cs="方正小标宋_GBK"/>
          <w:b w:val="0"/>
          <w:bCs w:val="0"/>
          <w:color w:val="auto"/>
          <w:sz w:val="32"/>
          <w:szCs w:val="32"/>
          <w:highlight w:val="none"/>
        </w:rPr>
      </w:pPr>
      <w:r>
        <w:rPr>
          <w:rFonts w:hint="eastAsia" w:ascii="方正小标宋_GBK" w:hAnsi="方正小标宋_GBK" w:eastAsia="方正小标宋_GBK" w:cs="方正小标宋_GBK"/>
          <w:b w:val="0"/>
          <w:bCs w:val="0"/>
          <w:color w:val="auto"/>
          <w:sz w:val="32"/>
          <w:szCs w:val="32"/>
          <w:highlight w:val="none"/>
        </w:rPr>
        <w:t>综合服务项目采购需求</w:t>
      </w:r>
    </w:p>
    <w:tbl>
      <w:tblPr>
        <w:tblStyle w:val="11"/>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pPr>
              <w:jc w:val="left"/>
              <w:rPr>
                <w:rFonts w:ascii="Times New Roman" w:hAnsi="Times New Roman" w:eastAsia="仿宋"/>
                <w:szCs w:val="21"/>
                <w:highlight w:val="none"/>
              </w:rPr>
            </w:pPr>
            <w:r>
              <w:rPr>
                <w:rFonts w:ascii="Times New Roman" w:hAnsi="Times New Roman" w:eastAsia="仿宋"/>
                <w:b/>
                <w:szCs w:val="21"/>
                <w:highlight w:val="none"/>
              </w:rPr>
              <w:t>*</w:t>
            </w:r>
            <w:r>
              <w:rPr>
                <w:rFonts w:ascii="Times New Roman" w:hAnsi="Times New Roman" w:eastAsia="仿宋"/>
                <w:szCs w:val="21"/>
                <w:highlight w:val="none"/>
              </w:rPr>
              <w:t>项目名称</w:t>
            </w:r>
          </w:p>
        </w:tc>
        <w:tc>
          <w:tcPr>
            <w:tcW w:w="7407" w:type="dxa"/>
            <w:gridSpan w:val="4"/>
            <w:vAlign w:val="center"/>
          </w:tcPr>
          <w:p>
            <w:pPr>
              <w:jc w:val="left"/>
              <w:rPr>
                <w:rFonts w:ascii="Times New Roman" w:hAnsi="Times New Roman" w:eastAsia="仿宋"/>
                <w:szCs w:val="21"/>
                <w:highlight w:val="none"/>
              </w:rPr>
            </w:pPr>
            <w:r>
              <w:rPr>
                <w:rFonts w:ascii="Times New Roman" w:hAnsi="Times New Roman" w:eastAsia="仿宋"/>
                <w:szCs w:val="21"/>
                <w:highlight w:val="none"/>
              </w:rPr>
              <w:t>深圳市2026年度地质环境监测和地质灾害防治综合服务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pPr>
              <w:jc w:val="left"/>
              <w:rPr>
                <w:rFonts w:ascii="Times New Roman" w:hAnsi="Times New Roman" w:eastAsia="仿宋"/>
                <w:szCs w:val="21"/>
                <w:highlight w:val="none"/>
              </w:rPr>
            </w:pPr>
            <w:r>
              <w:rPr>
                <w:rFonts w:ascii="Times New Roman" w:hAnsi="Times New Roman" w:eastAsia="仿宋"/>
                <w:b/>
                <w:szCs w:val="21"/>
                <w:highlight w:val="none"/>
              </w:rPr>
              <w:t>*</w:t>
            </w:r>
            <w:r>
              <w:rPr>
                <w:rFonts w:ascii="Times New Roman" w:hAnsi="Times New Roman" w:eastAsia="仿宋"/>
                <w:szCs w:val="21"/>
                <w:highlight w:val="none"/>
              </w:rPr>
              <w:t>采购人名称</w:t>
            </w:r>
          </w:p>
        </w:tc>
        <w:tc>
          <w:tcPr>
            <w:tcW w:w="3780" w:type="dxa"/>
            <w:gridSpan w:val="2"/>
            <w:vAlign w:val="center"/>
          </w:tcPr>
          <w:p>
            <w:pPr>
              <w:jc w:val="left"/>
              <w:rPr>
                <w:rFonts w:ascii="Times New Roman" w:hAnsi="Times New Roman" w:eastAsia="仿宋"/>
                <w:szCs w:val="21"/>
                <w:highlight w:val="none"/>
              </w:rPr>
            </w:pPr>
            <w:r>
              <w:rPr>
                <w:rFonts w:ascii="Times New Roman" w:hAnsi="Times New Roman" w:eastAsia="仿宋"/>
                <w:szCs w:val="21"/>
                <w:highlight w:val="none"/>
              </w:rPr>
              <w:t>深圳市规划和自然资源局</w:t>
            </w:r>
          </w:p>
        </w:tc>
        <w:tc>
          <w:tcPr>
            <w:tcW w:w="1366" w:type="dxa"/>
            <w:vAlign w:val="center"/>
          </w:tcPr>
          <w:p>
            <w:pPr>
              <w:jc w:val="left"/>
              <w:rPr>
                <w:rFonts w:ascii="Times New Roman" w:hAnsi="Times New Roman" w:eastAsia="仿宋"/>
                <w:szCs w:val="21"/>
                <w:highlight w:val="none"/>
              </w:rPr>
            </w:pPr>
            <w:r>
              <w:rPr>
                <w:rFonts w:ascii="Times New Roman" w:hAnsi="Times New Roman" w:eastAsia="仿宋"/>
                <w:b/>
                <w:szCs w:val="21"/>
                <w:highlight w:val="none"/>
              </w:rPr>
              <w:t>*</w:t>
            </w:r>
            <w:r>
              <w:rPr>
                <w:rFonts w:ascii="Times New Roman" w:hAnsi="Times New Roman" w:eastAsia="仿宋"/>
                <w:szCs w:val="21"/>
                <w:highlight w:val="none"/>
              </w:rPr>
              <w:t>采购方式</w:t>
            </w:r>
          </w:p>
        </w:tc>
        <w:tc>
          <w:tcPr>
            <w:tcW w:w="2261" w:type="dxa"/>
            <w:vAlign w:val="center"/>
          </w:tcPr>
          <w:p>
            <w:pPr>
              <w:jc w:val="left"/>
              <w:rPr>
                <w:rFonts w:ascii="Times New Roman" w:hAnsi="Times New Roman" w:eastAsia="仿宋"/>
                <w:szCs w:val="21"/>
                <w:highlight w:val="none"/>
              </w:rPr>
            </w:pPr>
            <w:r>
              <w:rPr>
                <w:rFonts w:hint="eastAsia" w:ascii="Times New Roman" w:hAnsi="Times New Roman" w:eastAsia="仿宋"/>
                <w:szCs w:val="21"/>
                <w:highlight w:val="none"/>
              </w:rPr>
              <w:t>单一来源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pPr>
              <w:jc w:val="left"/>
              <w:rPr>
                <w:rFonts w:ascii="Times New Roman" w:hAnsi="Times New Roman" w:eastAsia="仿宋"/>
                <w:szCs w:val="21"/>
                <w:highlight w:val="none"/>
              </w:rPr>
            </w:pPr>
            <w:r>
              <w:rPr>
                <w:rFonts w:ascii="Times New Roman" w:hAnsi="Times New Roman" w:eastAsia="仿宋"/>
                <w:szCs w:val="21"/>
                <w:highlight w:val="none"/>
              </w:rPr>
              <w:t>计划立项批文号</w:t>
            </w:r>
          </w:p>
        </w:tc>
        <w:tc>
          <w:tcPr>
            <w:tcW w:w="3780" w:type="dxa"/>
            <w:gridSpan w:val="2"/>
            <w:vAlign w:val="center"/>
          </w:tcPr>
          <w:p>
            <w:pPr>
              <w:jc w:val="left"/>
              <w:rPr>
                <w:rFonts w:ascii="Times New Roman" w:hAnsi="Times New Roman" w:eastAsia="仿宋"/>
                <w:szCs w:val="21"/>
                <w:highlight w:val="none"/>
              </w:rPr>
            </w:pPr>
          </w:p>
        </w:tc>
        <w:tc>
          <w:tcPr>
            <w:tcW w:w="1366" w:type="dxa"/>
            <w:vAlign w:val="center"/>
          </w:tcPr>
          <w:p>
            <w:pPr>
              <w:jc w:val="left"/>
              <w:rPr>
                <w:rFonts w:ascii="Times New Roman" w:hAnsi="Times New Roman" w:eastAsia="仿宋"/>
                <w:szCs w:val="21"/>
                <w:highlight w:val="none"/>
              </w:rPr>
            </w:pPr>
            <w:r>
              <w:rPr>
                <w:rFonts w:ascii="Times New Roman" w:hAnsi="Times New Roman" w:eastAsia="仿宋"/>
                <w:b/>
                <w:szCs w:val="21"/>
                <w:highlight w:val="none"/>
              </w:rPr>
              <w:t>*</w:t>
            </w:r>
            <w:r>
              <w:rPr>
                <w:rFonts w:ascii="Times New Roman" w:hAnsi="Times New Roman" w:eastAsia="仿宋"/>
                <w:szCs w:val="21"/>
                <w:highlight w:val="none"/>
              </w:rPr>
              <w:t>资金来源</w:t>
            </w:r>
          </w:p>
        </w:tc>
        <w:tc>
          <w:tcPr>
            <w:tcW w:w="2261" w:type="dxa"/>
            <w:vAlign w:val="center"/>
          </w:tcPr>
          <w:p>
            <w:pPr>
              <w:jc w:val="left"/>
              <w:rPr>
                <w:rFonts w:ascii="Times New Roman" w:hAnsi="Times New Roman" w:eastAsia="仿宋"/>
                <w:szCs w:val="21"/>
                <w:highlight w:val="none"/>
              </w:rPr>
            </w:pPr>
            <w:r>
              <w:rPr>
                <w:rFonts w:ascii="Times New Roman" w:hAnsi="Times New Roman" w:eastAsia="仿宋"/>
                <w:szCs w:val="21"/>
                <w:highlight w:val="none"/>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pPr>
              <w:jc w:val="left"/>
              <w:rPr>
                <w:rFonts w:ascii="Times New Roman" w:hAnsi="Times New Roman" w:eastAsia="仿宋"/>
                <w:szCs w:val="21"/>
                <w:highlight w:val="none"/>
              </w:rPr>
            </w:pPr>
            <w:r>
              <w:rPr>
                <w:rFonts w:ascii="Times New Roman" w:hAnsi="Times New Roman" w:eastAsia="仿宋"/>
                <w:b/>
                <w:szCs w:val="21"/>
                <w:highlight w:val="none"/>
              </w:rPr>
              <w:t>*</w:t>
            </w:r>
            <w:r>
              <w:rPr>
                <w:rFonts w:ascii="Times New Roman" w:hAnsi="Times New Roman" w:eastAsia="仿宋"/>
                <w:szCs w:val="21"/>
                <w:highlight w:val="none"/>
              </w:rPr>
              <w:t>财政预算限额（元）</w:t>
            </w:r>
          </w:p>
        </w:tc>
        <w:tc>
          <w:tcPr>
            <w:tcW w:w="3780" w:type="dxa"/>
            <w:gridSpan w:val="2"/>
            <w:vAlign w:val="center"/>
          </w:tcPr>
          <w:p>
            <w:pPr>
              <w:jc w:val="left"/>
              <w:rPr>
                <w:rFonts w:ascii="Times New Roman" w:hAnsi="Times New Roman" w:eastAsia="仿宋"/>
                <w:szCs w:val="21"/>
                <w:highlight w:val="none"/>
              </w:rPr>
            </w:pPr>
            <w:r>
              <w:rPr>
                <w:rFonts w:hint="eastAsia" w:ascii="Times New Roman" w:hAnsi="Times New Roman" w:eastAsia="仿宋"/>
                <w:szCs w:val="21"/>
                <w:highlight w:val="none"/>
              </w:rPr>
              <w:t>1,775,000.00</w:t>
            </w:r>
          </w:p>
        </w:tc>
        <w:tc>
          <w:tcPr>
            <w:tcW w:w="1366" w:type="dxa"/>
            <w:vAlign w:val="center"/>
          </w:tcPr>
          <w:p>
            <w:pPr>
              <w:jc w:val="left"/>
              <w:rPr>
                <w:rFonts w:ascii="Times New Roman" w:hAnsi="Times New Roman" w:eastAsia="仿宋"/>
                <w:szCs w:val="21"/>
                <w:highlight w:val="none"/>
              </w:rPr>
            </w:pPr>
          </w:p>
        </w:tc>
        <w:tc>
          <w:tcPr>
            <w:tcW w:w="2261" w:type="dxa"/>
            <w:vAlign w:val="center"/>
          </w:tcPr>
          <w:p>
            <w:pPr>
              <w:jc w:val="left"/>
              <w:rPr>
                <w:rFonts w:ascii="Times New Roman" w:hAnsi="Times New Roman"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vAlign w:val="center"/>
          </w:tcPr>
          <w:p>
            <w:pPr>
              <w:jc w:val="left"/>
              <w:rPr>
                <w:rFonts w:ascii="Times New Roman" w:hAnsi="Times New Roman" w:eastAsia="仿宋"/>
                <w:szCs w:val="21"/>
                <w:highlight w:val="none"/>
              </w:rPr>
            </w:pPr>
            <w:r>
              <w:rPr>
                <w:rFonts w:ascii="Times New Roman" w:hAnsi="Times New Roman" w:eastAsia="仿宋"/>
                <w:szCs w:val="21"/>
                <w:highlight w:val="none"/>
              </w:rPr>
              <w:t>项目背景</w:t>
            </w:r>
          </w:p>
        </w:tc>
        <w:tc>
          <w:tcPr>
            <w:tcW w:w="7407" w:type="dxa"/>
            <w:gridSpan w:val="4"/>
            <w:vAlign w:val="center"/>
          </w:tcPr>
          <w:p>
            <w:pPr>
              <w:spacing w:line="360" w:lineRule="auto"/>
              <w:ind w:firstLine="420" w:firstLineChars="200"/>
              <w:rPr>
                <w:rFonts w:ascii="Times New Roman" w:hAnsi="Times New Roman" w:eastAsia="仿宋"/>
                <w:color w:val="000000"/>
                <w:szCs w:val="21"/>
                <w:highlight w:val="none"/>
              </w:rPr>
            </w:pPr>
            <w:r>
              <w:rPr>
                <w:rFonts w:ascii="Times New Roman" w:hAnsi="Times New Roman" w:eastAsia="仿宋"/>
                <w:color w:val="000000"/>
                <w:szCs w:val="21"/>
                <w:highlight w:val="none"/>
                <w:lang w:bidi="ar"/>
              </w:rPr>
              <w:t>本项目为深圳市2026年度地质环境监测和地质灾害防治综合技术支撑服务，主要包括四个部分内容：一是地质灾害气象风险预警；二是地质灾害防治</w:t>
            </w:r>
            <w:bookmarkStart w:id="0" w:name="_GoBack"/>
            <w:bookmarkEnd w:id="0"/>
            <w:r>
              <w:rPr>
                <w:rFonts w:ascii="Times New Roman" w:hAnsi="Times New Roman" w:eastAsia="仿宋"/>
                <w:color w:val="000000"/>
                <w:szCs w:val="21"/>
                <w:highlight w:val="none"/>
                <w:lang w:bidi="ar"/>
              </w:rPr>
              <w:t>基层人员综合防治能力提升；三是海水入侵灾害监测；四是地质灾害调查、核销、应急支撑和科技创新应用。</w:t>
            </w:r>
          </w:p>
          <w:p>
            <w:pPr>
              <w:spacing w:line="360" w:lineRule="auto"/>
              <w:ind w:firstLine="421" w:firstLineChars="200"/>
              <w:rPr>
                <w:rFonts w:ascii="Times New Roman" w:hAnsi="Times New Roman" w:eastAsia="仿宋"/>
                <w:b/>
                <w:bCs/>
                <w:color w:val="000000"/>
                <w:szCs w:val="21"/>
                <w:highlight w:val="none"/>
              </w:rPr>
            </w:pPr>
            <w:r>
              <w:rPr>
                <w:rFonts w:ascii="Times New Roman" w:hAnsi="Times New Roman" w:eastAsia="仿宋"/>
                <w:b/>
                <w:bCs/>
                <w:color w:val="000000"/>
                <w:szCs w:val="21"/>
                <w:highlight w:val="none"/>
                <w:lang w:bidi="ar"/>
              </w:rPr>
              <w:t>（一）地质灾害气象风险预警</w:t>
            </w:r>
          </w:p>
          <w:p>
            <w:pPr>
              <w:spacing w:line="360" w:lineRule="auto"/>
              <w:ind w:firstLine="420" w:firstLineChars="200"/>
              <w:rPr>
                <w:rFonts w:ascii="Times New Roman" w:hAnsi="Times New Roman" w:eastAsia="仿宋"/>
                <w:color w:val="000000"/>
                <w:szCs w:val="21"/>
                <w:highlight w:val="none"/>
              </w:rPr>
            </w:pPr>
            <w:r>
              <w:rPr>
                <w:rFonts w:ascii="Times New Roman" w:hAnsi="Times New Roman" w:eastAsia="仿宋"/>
                <w:color w:val="000000"/>
                <w:szCs w:val="21"/>
                <w:highlight w:val="none"/>
                <w:lang w:bidi="ar"/>
              </w:rPr>
              <w:t>深圳市地形以低山、丘陵和台地为主，地形起伏较大，地表多为基岩风化后形成的坡残积土；高速增长的经济建设中人类活动比较强烈，不合理的切削、开挖坡体的行为，会造成一些可能引发地质灾害的建筑边坡。受前期两个因素的影响，深圳市存在一定数量的斜坡类地质灾害隐患。加之，深圳地处东南沿海，属海洋性季风气候，每年的汛期，雨量丰沛，多台风、暴雨等灾害性天气频发，降雨的长期作用会诱发崩塌、滑坡、泥石流等斜坡类地质灾害。</w:t>
            </w:r>
          </w:p>
          <w:p>
            <w:pPr>
              <w:spacing w:line="360" w:lineRule="auto"/>
              <w:ind w:firstLine="420" w:firstLineChars="200"/>
              <w:rPr>
                <w:rFonts w:ascii="Times New Roman" w:hAnsi="Times New Roman" w:eastAsia="仿宋"/>
                <w:color w:val="000000"/>
                <w:szCs w:val="21"/>
                <w:highlight w:val="none"/>
              </w:rPr>
            </w:pPr>
            <w:r>
              <w:rPr>
                <w:rFonts w:ascii="Times New Roman" w:hAnsi="Times New Roman" w:eastAsia="仿宋"/>
                <w:color w:val="000000"/>
                <w:szCs w:val="21"/>
                <w:highlight w:val="none"/>
                <w:lang w:bidi="ar"/>
              </w:rPr>
              <w:t>汛期地质灾害具有较强的时间、空间规律性，具有可预警性、可防御性，汛期积极主动、有效地开展地质灾害气象风险预警对地灾害防治工作具有一定的重要意义，也是深圳市在地质灾害预防工作一直开展的重要日常工作。</w:t>
            </w:r>
          </w:p>
          <w:p>
            <w:pPr>
              <w:spacing w:line="360" w:lineRule="auto"/>
              <w:ind w:firstLine="421" w:firstLineChars="200"/>
              <w:rPr>
                <w:rFonts w:ascii="Times New Roman" w:hAnsi="Times New Roman" w:eastAsia="仿宋"/>
                <w:b/>
                <w:bCs/>
                <w:color w:val="000000"/>
                <w:szCs w:val="21"/>
                <w:highlight w:val="none"/>
              </w:rPr>
            </w:pPr>
            <w:r>
              <w:rPr>
                <w:rFonts w:ascii="Times New Roman" w:hAnsi="Times New Roman" w:eastAsia="仿宋"/>
                <w:b/>
                <w:bCs/>
                <w:color w:val="000000"/>
                <w:szCs w:val="21"/>
                <w:highlight w:val="none"/>
                <w:lang w:bidi="ar"/>
              </w:rPr>
              <w:t>（二）地质灾害防治基层人员综合防治能力提升</w:t>
            </w:r>
          </w:p>
          <w:p>
            <w:pPr>
              <w:pStyle w:val="9"/>
              <w:ind w:firstLine="420"/>
              <w:jc w:val="left"/>
              <w:rPr>
                <w:color w:val="000000"/>
                <w:sz w:val="21"/>
                <w:szCs w:val="21"/>
                <w:highlight w:val="none"/>
              </w:rPr>
            </w:pPr>
            <w:r>
              <w:rPr>
                <w:color w:val="000000"/>
                <w:sz w:val="21"/>
                <w:szCs w:val="21"/>
                <w:highlight w:val="none"/>
                <w:lang w:bidi="ar"/>
              </w:rPr>
              <w:t>为提高基层民众对地质灾害发育规律的认识，提高临灾避险能力，本项目旨在通过组织专家讲座等方式，为各级政府部门、职能部门、市民群众、学生、地勘行业技术人员、日常巡排查人员、群测群防员讲授地质灾害应急监测、应急响应、应急处置以及地质灾害快速识别等地质灾害基础知识、应急技术知识，提高群众识灾辨灾防灾、自警自护自救的意识、应急反应能力和工作人员的专业能力。对全国范围内的突发事件或类似的事件（例如梅大高速塌方、韶关强降雨引发的地质灾害链）进行分析和总结，并对基层人员进行普及和宣贯，以提升地质灾害防治综合管理能力。</w:t>
            </w:r>
          </w:p>
          <w:p>
            <w:pPr>
              <w:spacing w:line="360" w:lineRule="auto"/>
              <w:ind w:firstLine="421" w:firstLineChars="200"/>
              <w:rPr>
                <w:rFonts w:ascii="Times New Roman" w:hAnsi="Times New Roman" w:eastAsia="仿宋"/>
                <w:b/>
                <w:bCs/>
                <w:color w:val="000000"/>
                <w:szCs w:val="21"/>
                <w:highlight w:val="none"/>
              </w:rPr>
            </w:pPr>
            <w:r>
              <w:rPr>
                <w:rFonts w:ascii="Times New Roman" w:hAnsi="Times New Roman" w:eastAsia="仿宋"/>
                <w:b/>
                <w:bCs/>
                <w:color w:val="000000"/>
                <w:szCs w:val="21"/>
                <w:highlight w:val="none"/>
                <w:lang w:bidi="ar"/>
              </w:rPr>
              <w:t>（三）海水入侵灾害监测</w:t>
            </w:r>
          </w:p>
          <w:p>
            <w:pPr>
              <w:spacing w:line="360" w:lineRule="auto"/>
              <w:ind w:firstLine="420" w:firstLineChars="200"/>
              <w:rPr>
                <w:rFonts w:ascii="Times New Roman" w:hAnsi="Times New Roman" w:eastAsia="仿宋"/>
                <w:color w:val="000000"/>
                <w:szCs w:val="21"/>
                <w:highlight w:val="none"/>
              </w:rPr>
            </w:pPr>
            <w:r>
              <w:rPr>
                <w:rFonts w:ascii="Times New Roman" w:hAnsi="Times New Roman" w:eastAsia="仿宋"/>
                <w:color w:val="000000"/>
                <w:szCs w:val="21"/>
                <w:highlight w:val="none"/>
                <w:lang w:bidi="ar"/>
              </w:rPr>
              <w:t>深圳市作为全国经济最活跃的沿海城市，在经过40多年的高速发展后，土地资源的极度稀缺成为制约其发展的主要因素之一。在此背景下，深圳市出台了相应的填海规划，批复了若干围填海项目。之后，随着大量轨道交通、地下工程、工程基础等工程在近岸区和填海区内建设，这些工程有较高的因地下水咸化带来的抗腐蚀要求。如何科学评估近岸区和填海区的地下水咸化程度，为工程建设者制定有效、经济的防腐蚀措施提供科学依据，尤其是评估近十年来的高强度建设对海岸带地下水资源带来了何种影响，有赖于对海水入侵的长期监测研究和对监测体系的不断升级。因此，在本市开展海水入侵监测既是顺应国家层面的战略和理念，也是着眼于本市经济社会发展的实际需求，为深圳市近岸区的海水入侵灾害提供动态监测，为城市的地质环境安全、经济可持续发展提供保障。</w:t>
            </w:r>
          </w:p>
          <w:p>
            <w:pPr>
              <w:spacing w:line="360" w:lineRule="auto"/>
              <w:ind w:firstLine="421" w:firstLineChars="200"/>
              <w:jc w:val="left"/>
              <w:rPr>
                <w:rFonts w:ascii="Times New Roman" w:hAnsi="Times New Roman" w:eastAsia="仿宋"/>
                <w:b/>
                <w:bCs/>
                <w:color w:val="000000"/>
                <w:szCs w:val="21"/>
                <w:highlight w:val="none"/>
              </w:rPr>
            </w:pPr>
            <w:r>
              <w:rPr>
                <w:rFonts w:ascii="Times New Roman" w:hAnsi="Times New Roman" w:eastAsia="仿宋"/>
                <w:b/>
                <w:bCs/>
                <w:color w:val="000000"/>
                <w:szCs w:val="21"/>
                <w:highlight w:val="none"/>
                <w:lang w:bidi="ar"/>
              </w:rPr>
              <w:t>（四）地质灾害调查、核销、应急支撑和科技创新应用</w:t>
            </w:r>
          </w:p>
          <w:p>
            <w:pPr>
              <w:spacing w:line="360" w:lineRule="auto"/>
              <w:ind w:firstLine="420" w:firstLineChars="200"/>
              <w:jc w:val="left"/>
              <w:rPr>
                <w:rFonts w:ascii="Times New Roman" w:hAnsi="Times New Roman" w:eastAsia="仿宋"/>
                <w:color w:val="000000"/>
                <w:szCs w:val="21"/>
                <w:highlight w:val="none"/>
              </w:rPr>
            </w:pPr>
            <w:r>
              <w:rPr>
                <w:rFonts w:ascii="Times New Roman" w:hAnsi="Times New Roman" w:eastAsia="仿宋"/>
                <w:color w:val="000000"/>
                <w:szCs w:val="21"/>
                <w:highlight w:val="none"/>
                <w:lang w:bidi="ar"/>
              </w:rPr>
              <w:t>地质灾害调查、核销、应急支撑和科技创新应用工作</w:t>
            </w:r>
            <w:r>
              <w:rPr>
                <w:rFonts w:ascii="Times New Roman" w:hAnsi="Times New Roman" w:eastAsia="仿宋"/>
                <w:color w:val="000000"/>
                <w:kern w:val="0"/>
                <w:szCs w:val="21"/>
                <w:highlight w:val="none"/>
                <w:lang w:bidi="ar"/>
              </w:rPr>
              <w:t>是</w:t>
            </w:r>
            <w:r>
              <w:rPr>
                <w:rFonts w:ascii="Times New Roman" w:hAnsi="Times New Roman" w:eastAsia="仿宋"/>
                <w:color w:val="000000"/>
                <w:szCs w:val="21"/>
                <w:highlight w:val="none"/>
                <w:lang w:bidi="ar"/>
              </w:rPr>
              <w:t>根据《地质灾害防治条例》《深圳市地质灾害防治管理办法》《广东省地质灾害综合防治能力提升三年行动方案（2023-2025年）》《深圳市突发地质灾害应急预案（2025年修订版）》等相关文件要求展开的工作</w:t>
            </w:r>
            <w:r>
              <w:rPr>
                <w:rFonts w:ascii="Times New Roman" w:hAnsi="Times New Roman" w:eastAsia="仿宋"/>
                <w:color w:val="000000"/>
                <w:kern w:val="0"/>
                <w:szCs w:val="21"/>
                <w:highlight w:val="none"/>
                <w:lang w:bidi="ar"/>
              </w:rPr>
              <w:t>，项目旨在为</w:t>
            </w:r>
            <w:r>
              <w:rPr>
                <w:rFonts w:ascii="Times New Roman" w:hAnsi="Times New Roman" w:eastAsia="仿宋"/>
                <w:color w:val="000000"/>
                <w:szCs w:val="21"/>
                <w:highlight w:val="none"/>
                <w:lang w:bidi="ar"/>
              </w:rPr>
              <w:t>深圳市年度地质灾害调查、核销和应急等工作提供技术支撑，</w:t>
            </w:r>
            <w:r>
              <w:rPr>
                <w:rFonts w:ascii="Times New Roman" w:hAnsi="Times New Roman" w:eastAsia="仿宋"/>
                <w:color w:val="000000"/>
                <w:kern w:val="0"/>
                <w:szCs w:val="21"/>
                <w:highlight w:val="none"/>
                <w:lang w:bidi="ar"/>
              </w:rPr>
              <w:t>是落实国家、省、市地质灾害防治工作要求和市规划和自然资源局地质灾害防治工作职责的基础支撑。同时，将</w:t>
            </w:r>
            <w:r>
              <w:rPr>
                <w:rFonts w:ascii="Times New Roman" w:hAnsi="Times New Roman" w:eastAsia="仿宋"/>
                <w:color w:val="000000"/>
                <w:szCs w:val="21"/>
                <w:highlight w:val="none"/>
                <w:lang w:bidi="ar"/>
              </w:rPr>
              <w:t>无人机倾斜摄影、三维激光扫描等高科技手段创新应用于地质灾害调查和应急决策支撑工作中，是落实国家、省、市依靠科技创新，应用科技手段，提升地质灾害技防能力和智慧防灾能力的要求。</w:t>
            </w:r>
          </w:p>
          <w:p>
            <w:pPr>
              <w:spacing w:line="360" w:lineRule="auto"/>
              <w:ind w:firstLine="420" w:firstLineChars="200"/>
              <w:rPr>
                <w:rFonts w:ascii="Times New Roman" w:hAnsi="Times New Roman" w:eastAsia="仿宋"/>
                <w:color w:val="000000"/>
                <w:szCs w:val="21"/>
                <w:highlight w:val="none"/>
              </w:rPr>
            </w:pPr>
            <w:r>
              <w:rPr>
                <w:rFonts w:ascii="Times New Roman" w:hAnsi="Times New Roman" w:eastAsia="仿宋"/>
                <w:color w:val="000000"/>
                <w:szCs w:val="21"/>
                <w:highlight w:val="none"/>
                <w:lang w:bidi="ar"/>
              </w:rPr>
              <w:t>经过近年来的大规模治理，深圳市危险性较大的隐患点已大量减少，但由于近年来深圳市大规模开发建设，原较偏远的隐患点的危险性也发生动态变化。根据《广东省自然资源厅关于印发&lt;地质灾害隐患点信息管理工作制度&gt;的通知》（粤自然资函〔2020〕581号）、《广东省自然资源厅关于印发&lt;广东省地质灾害特征认定和分级标准&gt;的通知》（粤自然资函〔2021〕1035号）和《市规划和自然资源局地质灾害隐患点调查、责任认定和核销工作规程（2024年修订版）》（深规划资源发〔2024〕119号）等文件要求开展调查认定和核销支撑工作，对大型、特大型地质灾害隐患点进行复核，为后续防治工作提供建议。应急支撑工作一是在汛期开展疑似地质灾害应急调查工作，为突发地质灾害应急事件处置提供技术支撑，二是为市规划和自然资源局汛前、汛中、汛后检查提供技术支撑，三是对市规划和自然资源局对各区、各部门地质灾害防治工作的督导等提供技术支撑。无人机倾斜摄影、三维激光扫描等高科技手段的创新应用</w:t>
            </w:r>
            <w:r>
              <w:rPr>
                <w:rFonts w:ascii="Times New Roman" w:hAnsi="Times New Roman" w:eastAsia="仿宋"/>
                <w:color w:val="000000"/>
                <w:kern w:val="0"/>
                <w:szCs w:val="21"/>
                <w:highlight w:val="none"/>
                <w:lang w:bidi="ar"/>
              </w:rPr>
              <w:t>将</w:t>
            </w:r>
            <w:r>
              <w:rPr>
                <w:rFonts w:ascii="Times New Roman" w:hAnsi="Times New Roman" w:eastAsia="仿宋"/>
                <w:color w:val="000000"/>
                <w:szCs w:val="21"/>
                <w:highlight w:val="none"/>
                <w:lang w:bidi="ar"/>
              </w:rPr>
              <w:t>极大地提升我市地质灾害防治的科技含量和决策效率，有效降低地质灾害对人民生命财产的威胁，为我市经济社会的可持续发展提供坚实的安全保障。</w:t>
            </w:r>
          </w:p>
          <w:p>
            <w:pPr>
              <w:jc w:val="left"/>
              <w:rPr>
                <w:rFonts w:ascii="Times New Roman" w:hAnsi="Times New Roman" w:eastAsia="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pPr>
              <w:jc w:val="left"/>
              <w:rPr>
                <w:rFonts w:ascii="Times New Roman" w:hAnsi="Times New Roman" w:eastAsia="仿宋"/>
                <w:szCs w:val="21"/>
                <w:highlight w:val="none"/>
              </w:rPr>
            </w:pPr>
            <w:r>
              <w:rPr>
                <w:rFonts w:ascii="Times New Roman" w:hAnsi="Times New Roman" w:eastAsia="仿宋"/>
                <w:szCs w:val="21"/>
                <w:highlight w:val="none"/>
              </w:rPr>
              <w:t>项目前期设计、规划论证单位</w:t>
            </w:r>
          </w:p>
        </w:tc>
        <w:tc>
          <w:tcPr>
            <w:tcW w:w="7407" w:type="dxa"/>
            <w:gridSpan w:val="4"/>
            <w:vAlign w:val="center"/>
          </w:tcPr>
          <w:p>
            <w:pPr>
              <w:jc w:val="left"/>
              <w:rPr>
                <w:rFonts w:ascii="Times New Roman" w:hAnsi="Times New Roman" w:eastAsia="仿宋"/>
                <w:szCs w:val="21"/>
                <w:highlight w:val="none"/>
              </w:rPr>
            </w:pPr>
            <w:r>
              <w:rPr>
                <w:rFonts w:ascii="Times New Roman" w:hAnsi="Times New Roman" w:eastAsia="仿宋"/>
                <w:szCs w:val="21"/>
                <w:highlight w:val="none"/>
              </w:rPr>
              <w:t>（请如实填写。如无，填写“无”字）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560" w:type="dxa"/>
            <w:vAlign w:val="center"/>
          </w:tcPr>
          <w:p>
            <w:pPr>
              <w:jc w:val="center"/>
              <w:rPr>
                <w:rFonts w:ascii="Times New Roman" w:hAnsi="Times New Roman" w:eastAsia="仿宋"/>
                <w:szCs w:val="21"/>
                <w:highlight w:val="none"/>
              </w:rPr>
            </w:pPr>
            <w:r>
              <w:rPr>
                <w:rFonts w:ascii="Times New Roman" w:hAnsi="Times New Roman" w:eastAsia="仿宋"/>
                <w:kern w:val="0"/>
                <w:szCs w:val="21"/>
                <w:highlight w:val="none"/>
              </w:rPr>
              <w:t>投标人资质要求</w:t>
            </w:r>
          </w:p>
        </w:tc>
        <w:tc>
          <w:tcPr>
            <w:tcW w:w="7407" w:type="dxa"/>
            <w:gridSpan w:val="4"/>
          </w:tcPr>
          <w:p>
            <w:pPr>
              <w:spacing w:line="360" w:lineRule="auto"/>
              <w:jc w:val="left"/>
              <w:rPr>
                <w:rFonts w:ascii="Times New Roman" w:hAnsi="Times New Roman" w:eastAsia="仿宋"/>
                <w:b/>
                <w:kern w:val="0"/>
                <w:szCs w:val="21"/>
                <w:highlight w:val="none"/>
              </w:rPr>
            </w:pPr>
            <w:r>
              <w:rPr>
                <w:rFonts w:ascii="Times New Roman" w:hAnsi="Times New Roman" w:eastAsia="仿宋"/>
                <w:b/>
                <w:kern w:val="0"/>
                <w:szCs w:val="21"/>
                <w:highlight w:val="none"/>
              </w:rPr>
              <w:t>注意：采购人根据项目所需提供明确、具体的资质要求，资质要求的内容必须与项目等级相匹配且符合相关法律规定。（设置的投标人资格要求必须提交有法律法规依据的证明文件，且不具备倾向性）</w:t>
            </w:r>
          </w:p>
          <w:p>
            <w:pPr>
              <w:spacing w:line="360" w:lineRule="auto"/>
              <w:rPr>
                <w:rFonts w:ascii="Times New Roman" w:hAnsi="Times New Roman" w:eastAsia="仿宋"/>
                <w:kern w:val="0"/>
                <w:szCs w:val="21"/>
                <w:highlight w:val="none"/>
              </w:rPr>
            </w:pPr>
            <w:r>
              <w:rPr>
                <w:rFonts w:hint="eastAsia" w:ascii="Times New Roman" w:hAnsi="Times New Roman" w:eastAsia="仿宋"/>
                <w:kern w:val="0"/>
                <w:szCs w:val="21"/>
                <w:highlight w:val="none"/>
              </w:rPr>
              <w:t>合格的投标人必须具有下列资质和条件：</w:t>
            </w:r>
          </w:p>
          <w:p>
            <w:pPr>
              <w:spacing w:line="360" w:lineRule="auto"/>
              <w:rPr>
                <w:rFonts w:ascii="Times New Roman" w:hAnsi="Times New Roman" w:eastAsia="仿宋"/>
                <w:kern w:val="0"/>
                <w:szCs w:val="21"/>
                <w:highlight w:val="none"/>
              </w:rPr>
            </w:pPr>
            <w:r>
              <w:rPr>
                <w:rFonts w:hint="eastAsia" w:ascii="Times New Roman" w:hAnsi="Times New Roman" w:eastAsia="仿宋"/>
                <w:kern w:val="0"/>
                <w:szCs w:val="21"/>
                <w:highlight w:val="none"/>
              </w:rPr>
              <w:t>（1）投标人必须是在中华人民共和国境内注册的具有合法经营资格的国内独立法人（证明文件：须提供经年检的营业执照复印件或法人证书复印件加盖投标人公章）；</w:t>
            </w:r>
          </w:p>
          <w:p>
            <w:pPr>
              <w:spacing w:line="360" w:lineRule="auto"/>
              <w:rPr>
                <w:rFonts w:ascii="Times New Roman" w:hAnsi="Times New Roman" w:eastAsia="仿宋"/>
                <w:kern w:val="0"/>
                <w:szCs w:val="21"/>
                <w:highlight w:val="none"/>
              </w:rPr>
            </w:pPr>
            <w:r>
              <w:rPr>
                <w:rFonts w:hint="eastAsia" w:ascii="Times New Roman" w:hAnsi="Times New Roman" w:eastAsia="仿宋"/>
                <w:kern w:val="0"/>
                <w:szCs w:val="21"/>
                <w:highlight w:val="none"/>
              </w:rPr>
              <w:t>（2）近三年内无行贿犯罪记录（由深圳市政府采购中心定期向人民检察院申请对政府采购供应商中注册有效的供应商进行集中查询，无须单独开具《行贿犯罪档案查询告知函》）；</w:t>
            </w:r>
          </w:p>
          <w:p>
            <w:pPr>
              <w:spacing w:line="360" w:lineRule="auto"/>
              <w:rPr>
                <w:rFonts w:ascii="Times New Roman" w:hAnsi="Times New Roman" w:eastAsia="仿宋"/>
                <w:kern w:val="0"/>
                <w:szCs w:val="21"/>
                <w:highlight w:val="none"/>
              </w:rPr>
            </w:pPr>
            <w:r>
              <w:rPr>
                <w:rFonts w:hint="eastAsia" w:ascii="Times New Roman" w:hAnsi="Times New Roman" w:eastAsia="仿宋"/>
                <w:kern w:val="0"/>
                <w:szCs w:val="21"/>
                <w:highlight w:val="none"/>
              </w:rPr>
              <w:t>（3）投标人信誉良好，近三年在政府采购及建设系统的招投标活动中，没有因串通投标、骗取中标、严重违约及重大工程安全及质量问题等不良行为而禁止在本市投标的投标申请人；涉嫌串通投标并正在接受主管部门的投标申请人不被接受（提供承诺函并加盖投标人公章）；</w:t>
            </w:r>
          </w:p>
          <w:p>
            <w:pPr>
              <w:spacing w:line="360" w:lineRule="auto"/>
              <w:rPr>
                <w:rFonts w:ascii="Times New Roman" w:hAnsi="Times New Roman" w:eastAsia="仿宋"/>
                <w:b/>
                <w:kern w:val="0"/>
                <w:szCs w:val="21"/>
                <w:highlight w:val="none"/>
              </w:rPr>
            </w:pPr>
            <w:r>
              <w:rPr>
                <w:rFonts w:hint="eastAsia" w:ascii="Times New Roman" w:hAnsi="Times New Roman" w:eastAsia="仿宋"/>
                <w:kern w:val="0"/>
                <w:szCs w:val="21"/>
                <w:highlight w:val="none"/>
              </w:rPr>
              <w:t>（4）投标人需具有地质灾害评估和治理工程</w:t>
            </w:r>
            <w:r>
              <w:rPr>
                <w:rFonts w:hint="eastAsia" w:ascii="Times New Roman" w:hAnsi="Times New Roman" w:eastAsia="仿宋"/>
                <w:kern w:val="0"/>
                <w:szCs w:val="21"/>
                <w:highlight w:val="none"/>
                <w:lang w:eastAsia="zh-CN"/>
              </w:rPr>
              <w:t>勘查</w:t>
            </w:r>
            <w:r>
              <w:rPr>
                <w:rFonts w:hint="eastAsia" w:ascii="Times New Roman" w:hAnsi="Times New Roman" w:eastAsia="仿宋"/>
                <w:kern w:val="0"/>
                <w:szCs w:val="21"/>
                <w:highlight w:val="none"/>
              </w:rPr>
              <w:t>设计乙级资质</w:t>
            </w:r>
            <w:r>
              <w:rPr>
                <w:rFonts w:hint="eastAsia" w:ascii="Times New Roman" w:hAnsi="Times New Roman" w:eastAsia="仿宋"/>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1560" w:type="dxa"/>
            <w:vAlign w:val="center"/>
          </w:tcPr>
          <w:p>
            <w:pPr>
              <w:jc w:val="center"/>
              <w:rPr>
                <w:rFonts w:ascii="Times New Roman" w:hAnsi="Times New Roman" w:eastAsia="仿宋"/>
                <w:kern w:val="0"/>
                <w:szCs w:val="21"/>
                <w:highlight w:val="none"/>
              </w:rPr>
            </w:pPr>
            <w:r>
              <w:rPr>
                <w:rFonts w:ascii="Times New Roman" w:hAnsi="Times New Roman" w:eastAsia="仿宋"/>
                <w:bCs/>
                <w:szCs w:val="21"/>
                <w:highlight w:val="none"/>
              </w:rPr>
              <w:t>需求内容</w:t>
            </w:r>
          </w:p>
        </w:tc>
        <w:tc>
          <w:tcPr>
            <w:tcW w:w="7407" w:type="dxa"/>
            <w:gridSpan w:val="4"/>
          </w:tcPr>
          <w:p>
            <w:pPr>
              <w:ind w:firstLine="421" w:firstLineChars="200"/>
              <w:rPr>
                <w:rFonts w:ascii="Times New Roman" w:hAnsi="Times New Roman" w:eastAsia="仿宋"/>
                <w:szCs w:val="21"/>
                <w:highlight w:val="none"/>
              </w:rPr>
            </w:pPr>
            <w:r>
              <w:rPr>
                <w:rFonts w:ascii="Times New Roman" w:hAnsi="Times New Roman" w:eastAsia="仿宋"/>
                <w:b/>
                <w:szCs w:val="21"/>
                <w:highlight w:val="none"/>
              </w:rPr>
              <w:t>*</w:t>
            </w:r>
            <w:r>
              <w:rPr>
                <w:rFonts w:ascii="Times New Roman" w:hAnsi="Times New Roman" w:eastAsia="仿宋"/>
                <w:szCs w:val="21"/>
                <w:highlight w:val="none"/>
              </w:rPr>
              <w:t>一、报价要求（明确分项报价要求）</w:t>
            </w:r>
          </w:p>
          <w:p>
            <w:pPr>
              <w:spacing w:line="360" w:lineRule="auto"/>
              <w:ind w:firstLine="420" w:firstLineChars="200"/>
              <w:jc w:val="left"/>
              <w:rPr>
                <w:rFonts w:ascii="Times New Roman" w:hAnsi="Times New Roman" w:eastAsia="仿宋"/>
                <w:szCs w:val="21"/>
                <w:highlight w:val="none"/>
              </w:rPr>
            </w:pPr>
            <w:r>
              <w:rPr>
                <w:rFonts w:ascii="Times New Roman" w:hAnsi="Times New Roman" w:eastAsia="仿宋"/>
                <w:szCs w:val="21"/>
                <w:highlight w:val="none"/>
              </w:rPr>
              <w:t>1. 依据《深圳市规划和自然资源局项目预算标准》；</w:t>
            </w:r>
          </w:p>
          <w:p>
            <w:pPr>
              <w:spacing w:line="360" w:lineRule="auto"/>
              <w:ind w:firstLine="420" w:firstLineChars="200"/>
              <w:rPr>
                <w:rFonts w:ascii="Times New Roman" w:hAnsi="Times New Roman" w:eastAsia="仿宋"/>
                <w:szCs w:val="21"/>
                <w:highlight w:val="none"/>
              </w:rPr>
            </w:pPr>
            <w:r>
              <w:rPr>
                <w:rFonts w:ascii="Times New Roman" w:hAnsi="Times New Roman" w:eastAsia="仿宋"/>
                <w:szCs w:val="21"/>
                <w:highlight w:val="none"/>
              </w:rPr>
              <w:t>2. 投标方应提供报价详细清单（含报价依据及其详细计算过程等）；</w:t>
            </w:r>
          </w:p>
          <w:p>
            <w:pPr>
              <w:spacing w:line="360" w:lineRule="auto"/>
              <w:ind w:firstLine="420" w:firstLineChars="200"/>
              <w:rPr>
                <w:rFonts w:ascii="Times New Roman" w:hAnsi="Times New Roman" w:eastAsia="仿宋"/>
                <w:szCs w:val="21"/>
                <w:highlight w:val="none"/>
              </w:rPr>
            </w:pPr>
            <w:r>
              <w:rPr>
                <w:rFonts w:ascii="Times New Roman" w:hAnsi="Times New Roman" w:eastAsia="仿宋"/>
                <w:szCs w:val="21"/>
                <w:highlight w:val="none"/>
              </w:rPr>
              <w:t>3.本项目预算金额为含税全包最高限价。投标方的投标总报价不得超过此限价，否则按无效投标处理。报价应包含为完成本项目所需的一切成本、费用、税金及供应商应承担的所有风险和责任。</w:t>
            </w:r>
          </w:p>
          <w:p>
            <w:pPr>
              <w:ind w:firstLine="421" w:firstLineChars="200"/>
              <w:rPr>
                <w:rFonts w:ascii="Times New Roman" w:hAnsi="Times New Roman" w:eastAsia="仿宋"/>
                <w:sz w:val="24"/>
                <w:highlight w:val="none"/>
              </w:rPr>
            </w:pPr>
            <w:r>
              <w:rPr>
                <w:rFonts w:ascii="Times New Roman" w:hAnsi="Times New Roman" w:eastAsia="仿宋"/>
                <w:b/>
                <w:szCs w:val="21"/>
                <w:highlight w:val="none"/>
              </w:rPr>
              <w:t>*</w:t>
            </w:r>
            <w:r>
              <w:rPr>
                <w:rFonts w:ascii="Times New Roman" w:hAnsi="Times New Roman" w:eastAsia="仿宋"/>
                <w:sz w:val="24"/>
                <w:highlight w:val="none"/>
              </w:rPr>
              <w:t>二、付款方式</w:t>
            </w:r>
          </w:p>
          <w:p>
            <w:pPr>
              <w:ind w:firstLine="420" w:firstLineChars="200"/>
              <w:jc w:val="left"/>
              <w:rPr>
                <w:rFonts w:ascii="Times New Roman" w:hAnsi="Times New Roman" w:eastAsia="仿宋"/>
                <w:szCs w:val="21"/>
                <w:highlight w:val="none"/>
              </w:rPr>
            </w:pPr>
            <w:r>
              <w:rPr>
                <w:rFonts w:ascii="Times New Roman" w:hAnsi="Times New Roman" w:eastAsia="仿宋"/>
                <w:szCs w:val="21"/>
                <w:highlight w:val="none"/>
              </w:rPr>
              <w:t>本项目分三期支付合同款。</w:t>
            </w:r>
          </w:p>
          <w:p>
            <w:pPr>
              <w:pStyle w:val="9"/>
              <w:spacing w:line="274" w:lineRule="auto"/>
              <w:ind w:firstLine="420"/>
              <w:rPr>
                <w:sz w:val="21"/>
                <w:szCs w:val="21"/>
                <w:highlight w:val="none"/>
              </w:rPr>
            </w:pPr>
            <w:r>
              <w:rPr>
                <w:sz w:val="21"/>
                <w:szCs w:val="21"/>
                <w:highlight w:val="none"/>
                <w:lang w:bidi="ar"/>
              </w:rPr>
              <w:t>首期：</w:t>
            </w:r>
            <w:r>
              <w:rPr>
                <w:rFonts w:hint="eastAsia"/>
                <w:sz w:val="21"/>
                <w:szCs w:val="21"/>
                <w:highlight w:val="none"/>
                <w:lang w:bidi="ar"/>
              </w:rPr>
              <w:t>双方签订合同后，</w:t>
            </w:r>
            <w:r>
              <w:rPr>
                <w:rFonts w:hint="eastAsia" w:ascii="仿宋" w:hAnsi="仿宋" w:cs="仿宋"/>
                <w:sz w:val="21"/>
                <w:szCs w:val="21"/>
                <w:highlight w:val="none"/>
                <w:lang w:bidi="ar"/>
              </w:rPr>
              <w:t>乙方提供项目技术方案，</w:t>
            </w:r>
            <w:r>
              <w:rPr>
                <w:rFonts w:hint="eastAsia"/>
                <w:sz w:val="21"/>
                <w:szCs w:val="21"/>
                <w:highlight w:val="none"/>
                <w:lang w:bidi="ar"/>
              </w:rPr>
              <w:t>甲方应于乙方提交工作实施方案后，支付合同总价款的</w:t>
            </w:r>
            <w:r>
              <w:rPr>
                <w:rFonts w:hint="eastAsia"/>
                <w:sz w:val="21"/>
                <w:szCs w:val="21"/>
                <w:highlight w:val="none"/>
                <w:lang w:val="en-US" w:eastAsia="zh-CN" w:bidi="ar"/>
              </w:rPr>
              <w:t>4</w:t>
            </w:r>
            <w:r>
              <w:rPr>
                <w:rFonts w:hint="eastAsia"/>
                <w:sz w:val="21"/>
                <w:szCs w:val="21"/>
                <w:highlight w:val="none"/>
                <w:lang w:bidi="ar"/>
              </w:rPr>
              <w:t>0%，此笔款为首期款。</w:t>
            </w:r>
          </w:p>
          <w:p>
            <w:pPr>
              <w:pStyle w:val="9"/>
              <w:spacing w:line="274" w:lineRule="auto"/>
              <w:ind w:firstLine="420"/>
              <w:rPr>
                <w:sz w:val="21"/>
                <w:szCs w:val="21"/>
                <w:highlight w:val="none"/>
              </w:rPr>
            </w:pPr>
            <w:r>
              <w:rPr>
                <w:sz w:val="21"/>
                <w:szCs w:val="21"/>
                <w:highlight w:val="none"/>
                <w:lang w:bidi="ar"/>
              </w:rPr>
              <w:t>二期：乙方完成汛期地质灾害气象风险预警服务、完成两期海水入侵监测数据采集、完成2026年汛中技术支撑、完成3次地质灾害防治知识宣贯，甲方根据乙方申请，支付乙方合同总价款的</w:t>
            </w:r>
            <w:r>
              <w:rPr>
                <w:rFonts w:hint="eastAsia"/>
                <w:sz w:val="21"/>
                <w:szCs w:val="21"/>
                <w:highlight w:val="none"/>
                <w:lang w:val="en-US" w:eastAsia="zh-CN" w:bidi="ar"/>
              </w:rPr>
              <w:t>5</w:t>
            </w:r>
            <w:r>
              <w:rPr>
                <w:sz w:val="21"/>
                <w:szCs w:val="21"/>
                <w:highlight w:val="none"/>
                <w:lang w:bidi="ar"/>
              </w:rPr>
              <w:t>0%，此笔款为第二期款。</w:t>
            </w:r>
          </w:p>
          <w:p>
            <w:pPr>
              <w:pStyle w:val="9"/>
              <w:spacing w:line="274" w:lineRule="auto"/>
              <w:ind w:firstLine="420"/>
              <w:rPr>
                <w:color w:val="FF0000"/>
                <w:sz w:val="21"/>
                <w:szCs w:val="21"/>
                <w:highlight w:val="none"/>
              </w:rPr>
            </w:pPr>
            <w:r>
              <w:rPr>
                <w:sz w:val="21"/>
                <w:szCs w:val="21"/>
                <w:highlight w:val="none"/>
                <w:lang w:bidi="ar"/>
              </w:rPr>
              <w:t>末期：乙方完成本合同规定的各项工作内容，按照本合同规定提交全部成果并经深圳市规划和自然资源局专题会审查后，甲方根据当年的财政资金情况和乙方申请，支付乙方合同总价款的</w:t>
            </w:r>
            <w:r>
              <w:rPr>
                <w:rFonts w:hint="eastAsia"/>
                <w:sz w:val="21"/>
                <w:szCs w:val="21"/>
                <w:highlight w:val="none"/>
                <w:lang w:val="en-US" w:eastAsia="zh-CN" w:bidi="ar"/>
              </w:rPr>
              <w:t>1</w:t>
            </w:r>
            <w:r>
              <w:rPr>
                <w:sz w:val="21"/>
                <w:szCs w:val="21"/>
                <w:highlight w:val="none"/>
                <w:lang w:bidi="ar"/>
              </w:rPr>
              <w:t>0%，此笔款为尾款。</w:t>
            </w:r>
          </w:p>
          <w:p>
            <w:pPr>
              <w:ind w:firstLine="421" w:firstLineChars="200"/>
              <w:rPr>
                <w:rFonts w:ascii="Times New Roman" w:hAnsi="Times New Roman" w:eastAsia="仿宋"/>
                <w:sz w:val="24"/>
                <w:highlight w:val="none"/>
              </w:rPr>
            </w:pPr>
            <w:r>
              <w:rPr>
                <w:rFonts w:ascii="Times New Roman" w:hAnsi="Times New Roman" w:eastAsia="仿宋"/>
                <w:b/>
                <w:szCs w:val="21"/>
                <w:highlight w:val="none"/>
              </w:rPr>
              <w:t>*</w:t>
            </w:r>
            <w:r>
              <w:rPr>
                <w:rFonts w:ascii="Times New Roman" w:hAnsi="Times New Roman" w:eastAsia="仿宋"/>
                <w:sz w:val="24"/>
                <w:highlight w:val="none"/>
              </w:rPr>
              <w:t>三、履约保证金</w:t>
            </w:r>
          </w:p>
          <w:p>
            <w:pPr>
              <w:pStyle w:val="9"/>
              <w:ind w:firstLine="420"/>
              <w:rPr>
                <w:sz w:val="21"/>
                <w:szCs w:val="21"/>
                <w:highlight w:val="none"/>
              </w:rPr>
            </w:pPr>
            <w:r>
              <w:rPr>
                <w:sz w:val="21"/>
                <w:szCs w:val="21"/>
                <w:highlight w:val="none"/>
                <w:lang w:bidi="ar"/>
              </w:rPr>
              <w:t>本项目不要求提交履约保证金，但将在项目评标及实施过程中加强监管。</w:t>
            </w:r>
          </w:p>
          <w:p>
            <w:pPr>
              <w:ind w:firstLine="421" w:firstLineChars="200"/>
              <w:rPr>
                <w:rFonts w:ascii="Times New Roman" w:hAnsi="Times New Roman" w:eastAsia="仿宋"/>
                <w:sz w:val="24"/>
                <w:highlight w:val="none"/>
              </w:rPr>
            </w:pPr>
            <w:r>
              <w:rPr>
                <w:rFonts w:ascii="Times New Roman" w:hAnsi="Times New Roman" w:eastAsia="仿宋"/>
                <w:b/>
                <w:szCs w:val="21"/>
                <w:highlight w:val="none"/>
              </w:rPr>
              <w:t>*</w:t>
            </w:r>
            <w:r>
              <w:rPr>
                <w:rFonts w:ascii="Times New Roman" w:hAnsi="Times New Roman" w:eastAsia="仿宋"/>
                <w:sz w:val="24"/>
                <w:highlight w:val="none"/>
              </w:rPr>
              <w:t>四、违约责任</w:t>
            </w:r>
          </w:p>
          <w:p>
            <w:pPr>
              <w:pStyle w:val="9"/>
              <w:ind w:firstLine="420"/>
              <w:rPr>
                <w:sz w:val="21"/>
                <w:szCs w:val="21"/>
                <w:highlight w:val="none"/>
              </w:rPr>
            </w:pPr>
            <w:r>
              <w:rPr>
                <w:sz w:val="21"/>
                <w:szCs w:val="21"/>
                <w:highlight w:val="none"/>
                <w:lang w:bidi="ar"/>
              </w:rPr>
              <w:t>投标人需提供书面违约承诺书，投标人承诺及违约责任应无歧义，违约责任的承担方式应明确。</w:t>
            </w:r>
          </w:p>
          <w:p>
            <w:pPr>
              <w:ind w:firstLine="421" w:firstLineChars="200"/>
              <w:rPr>
                <w:rFonts w:ascii="Times New Roman" w:hAnsi="Times New Roman" w:eastAsia="仿宋"/>
                <w:sz w:val="24"/>
                <w:highlight w:val="none"/>
              </w:rPr>
            </w:pPr>
            <w:r>
              <w:rPr>
                <w:rFonts w:ascii="Times New Roman" w:hAnsi="Times New Roman" w:eastAsia="仿宋"/>
                <w:b/>
                <w:szCs w:val="21"/>
                <w:highlight w:val="none"/>
              </w:rPr>
              <w:t>*</w:t>
            </w:r>
            <w:r>
              <w:rPr>
                <w:rFonts w:ascii="Times New Roman" w:hAnsi="Times New Roman" w:eastAsia="仿宋"/>
                <w:sz w:val="24"/>
                <w:highlight w:val="none"/>
              </w:rPr>
              <w:t>五、服务质量监督和项目验收要求</w:t>
            </w:r>
          </w:p>
          <w:p>
            <w:pPr>
              <w:pStyle w:val="9"/>
              <w:ind w:firstLine="420"/>
              <w:rPr>
                <w:szCs w:val="21"/>
                <w:highlight w:val="none"/>
              </w:rPr>
            </w:pPr>
            <w:r>
              <w:rPr>
                <w:sz w:val="21"/>
                <w:szCs w:val="21"/>
                <w:highlight w:val="none"/>
                <w:lang w:bidi="ar"/>
              </w:rPr>
              <w:t>项目最终成果须通过采购方专题会组织的验收。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560" w:type="dxa"/>
            <w:vAlign w:val="center"/>
          </w:tcPr>
          <w:p>
            <w:pPr>
              <w:jc w:val="center"/>
              <w:rPr>
                <w:rFonts w:ascii="Times New Roman" w:hAnsi="Times New Roman" w:eastAsia="仿宋"/>
                <w:kern w:val="0"/>
                <w:szCs w:val="21"/>
                <w:highlight w:val="none"/>
              </w:rPr>
            </w:pPr>
            <w:r>
              <w:rPr>
                <w:rFonts w:ascii="Times New Roman" w:hAnsi="Times New Roman" w:eastAsia="仿宋"/>
                <w:kern w:val="0"/>
                <w:szCs w:val="21"/>
                <w:highlight w:val="none"/>
              </w:rPr>
              <w:t>具体技术要求</w:t>
            </w:r>
          </w:p>
        </w:tc>
        <w:tc>
          <w:tcPr>
            <w:tcW w:w="7407" w:type="dxa"/>
            <w:gridSpan w:val="4"/>
          </w:tcPr>
          <w:p>
            <w:pPr>
              <w:ind w:firstLine="480" w:firstLineChars="200"/>
              <w:jc w:val="left"/>
              <w:rPr>
                <w:rFonts w:ascii="Times New Roman" w:hAnsi="Times New Roman" w:eastAsia="仿宋"/>
                <w:sz w:val="24"/>
                <w:highlight w:val="none"/>
              </w:rPr>
            </w:pPr>
            <w:r>
              <w:rPr>
                <w:rFonts w:ascii="Times New Roman" w:hAnsi="Times New Roman" w:eastAsia="仿宋"/>
                <w:sz w:val="24"/>
                <w:highlight w:val="none"/>
              </w:rPr>
              <w:t>一、服务总体要求</w:t>
            </w:r>
          </w:p>
          <w:p>
            <w:pPr>
              <w:pStyle w:val="9"/>
              <w:ind w:firstLine="420"/>
              <w:rPr>
                <w:sz w:val="21"/>
                <w:szCs w:val="21"/>
                <w:highlight w:val="none"/>
              </w:rPr>
            </w:pPr>
            <w:r>
              <w:rPr>
                <w:sz w:val="21"/>
                <w:szCs w:val="21"/>
                <w:highlight w:val="none"/>
                <w:lang w:bidi="ar"/>
              </w:rPr>
              <w:t xml:space="preserve">本项目旨在通过全方位、多维度的技术手段，构建深圳市2026年度地质环境监测与灾害防治支撑体系，具体要求如下： </w:t>
            </w:r>
          </w:p>
          <w:p>
            <w:pPr>
              <w:pStyle w:val="9"/>
              <w:numPr>
                <w:ilvl w:val="0"/>
                <w:numId w:val="1"/>
              </w:numPr>
              <w:ind w:left="0" w:firstLine="425" w:firstLineChars="0"/>
              <w:rPr>
                <w:sz w:val="21"/>
                <w:szCs w:val="21"/>
                <w:highlight w:val="none"/>
              </w:rPr>
            </w:pPr>
            <w:r>
              <w:rPr>
                <w:sz w:val="21"/>
                <w:szCs w:val="21"/>
                <w:highlight w:val="none"/>
              </w:rPr>
              <w:t>强化气象风险预警与精细化防灾能力。基于深圳市复杂的地形地貌、基岩风化特征及高强度的人类工程活动背景，综合考虑强降雨、台风等极端天气对崩塌、滑坡、泥石流等灾害的诱发机理，运用气象水文数据与地质环境数据耦合分析技术，构建精细化地质灾害气象风险预警模型，实现汛期地质灾害风险的动态评估与分级预警，为政府科学防灾、基层精准避险提供全时段、高时效的决策支撑。</w:t>
            </w:r>
            <w:r>
              <w:rPr>
                <w:sz w:val="21"/>
                <w:szCs w:val="21"/>
                <w:highlight w:val="none"/>
                <w:lang w:bidi="ar"/>
              </w:rPr>
              <w:t xml:space="preserve"> </w:t>
            </w:r>
          </w:p>
          <w:p>
            <w:pPr>
              <w:pStyle w:val="9"/>
              <w:numPr>
                <w:ilvl w:val="0"/>
                <w:numId w:val="1"/>
              </w:numPr>
              <w:ind w:left="0" w:firstLine="425" w:firstLineChars="0"/>
              <w:rPr>
                <w:sz w:val="21"/>
                <w:szCs w:val="21"/>
                <w:highlight w:val="none"/>
              </w:rPr>
            </w:pPr>
            <w:r>
              <w:rPr>
                <w:rFonts w:hint="eastAsia"/>
                <w:sz w:val="21"/>
                <w:szCs w:val="21"/>
                <w:highlight w:val="none"/>
                <w:lang w:bidi="ar"/>
              </w:rPr>
              <w:t>提高</w:t>
            </w:r>
            <w:r>
              <w:rPr>
                <w:sz w:val="21"/>
                <w:szCs w:val="21"/>
                <w:highlight w:val="none"/>
                <w:lang w:bidi="ar"/>
              </w:rPr>
              <w:t>基层综合</w:t>
            </w:r>
            <w:r>
              <w:rPr>
                <w:rFonts w:hint="eastAsia"/>
                <w:sz w:val="21"/>
                <w:szCs w:val="21"/>
                <w:highlight w:val="none"/>
                <w:lang w:bidi="ar"/>
              </w:rPr>
              <w:t>防灾</w:t>
            </w:r>
            <w:r>
              <w:rPr>
                <w:sz w:val="21"/>
                <w:szCs w:val="21"/>
                <w:highlight w:val="none"/>
                <w:lang w:bidi="ar"/>
              </w:rPr>
              <w:t xml:space="preserve">能力。立足于提升全市地质灾害防御韧性，通过开展多层次、多形式的宣教活动，构建覆盖政府管理人员、基层巡排查人员及社会公众的知识体系。深入剖析近期全国典型地质灾害链事件，提炼关键防治技术与自救知识，全面强化群测群防体系，显著提升全社会识灾、防灾、避灾的意识与应急处置能力，实现防治工作从“被动响应”向“主动防御”的根本转变。 </w:t>
            </w:r>
          </w:p>
          <w:p>
            <w:pPr>
              <w:pStyle w:val="9"/>
              <w:numPr>
                <w:ilvl w:val="0"/>
                <w:numId w:val="1"/>
              </w:numPr>
              <w:ind w:left="0" w:firstLine="425" w:firstLineChars="0"/>
              <w:rPr>
                <w:sz w:val="21"/>
                <w:szCs w:val="21"/>
                <w:highlight w:val="none"/>
              </w:rPr>
            </w:pPr>
            <w:r>
              <w:rPr>
                <w:sz w:val="21"/>
                <w:szCs w:val="21"/>
                <w:highlight w:val="none"/>
                <w:lang w:bidi="ar"/>
              </w:rPr>
              <w:t xml:space="preserve">推进海水入侵动态监测与地下水资源保护。针对深圳市海岸带地下水咸化问题，构建科学、长期的海水入侵监测体系。基于地质环境演变趋势，对沿海地下水进行定期采样、监测与动态评估。通过分析海水入侵时空演化规律，精准识别海岸带地下水咸化潜在环境风险，为市政工程建设、地下空间开发及地下水抗腐蚀措施提供科学依据，保障海岸带地质环境安全与城市经济可持续发展。 </w:t>
            </w:r>
          </w:p>
          <w:p>
            <w:pPr>
              <w:pStyle w:val="9"/>
              <w:numPr>
                <w:ilvl w:val="0"/>
                <w:numId w:val="1"/>
              </w:numPr>
              <w:ind w:left="0" w:firstLine="425" w:firstLineChars="0"/>
              <w:rPr>
                <w:rFonts w:eastAsia="仿宋_GB2312"/>
                <w:b/>
                <w:bCs/>
                <w:color w:val="0000FF"/>
                <w:sz w:val="21"/>
                <w:szCs w:val="21"/>
                <w:highlight w:val="none"/>
              </w:rPr>
            </w:pPr>
            <w:r>
              <w:rPr>
                <w:sz w:val="21"/>
                <w:szCs w:val="21"/>
                <w:highlight w:val="none"/>
                <w:lang w:bidi="ar"/>
              </w:rPr>
              <w:t>提升调查核销效能与科技赋能应急决策。依据国家及广东省地质灾害防治相关法律法规与规程，落实地质灾害隐患点的调查核销管理，对动态变化隐患点进行全面复核与技术评估，确保隐患信息库的准确性与时效性。深化无人机倾斜摄影、三维激光扫描等智慧防灾手段的应用，通过构建重点灾害点高精度三维模型，实现地质灾害调查与应急技术支撑的标准化、数字化与科技化，筑牢城市地质灾害防线。</w:t>
            </w:r>
          </w:p>
          <w:p>
            <w:pPr>
              <w:ind w:firstLine="480" w:firstLineChars="200"/>
              <w:jc w:val="left"/>
              <w:rPr>
                <w:rFonts w:ascii="Times New Roman" w:hAnsi="Times New Roman" w:eastAsia="仿宋"/>
                <w:sz w:val="24"/>
                <w:highlight w:val="none"/>
              </w:rPr>
            </w:pPr>
            <w:r>
              <w:rPr>
                <w:rFonts w:ascii="Times New Roman" w:hAnsi="Times New Roman" w:eastAsia="仿宋"/>
                <w:sz w:val="24"/>
                <w:highlight w:val="none"/>
              </w:rPr>
              <w:t>二、项目实施主要依据</w:t>
            </w:r>
          </w:p>
          <w:p>
            <w:pPr>
              <w:pStyle w:val="9"/>
              <w:numPr>
                <w:ilvl w:val="0"/>
                <w:numId w:val="2"/>
              </w:numPr>
              <w:adjustRightInd w:val="0"/>
              <w:ind w:firstLineChars="0"/>
              <w:rPr>
                <w:sz w:val="21"/>
                <w:szCs w:val="21"/>
                <w:highlight w:val="none"/>
              </w:rPr>
            </w:pPr>
            <w:r>
              <w:rPr>
                <w:sz w:val="21"/>
                <w:szCs w:val="21"/>
                <w:highlight w:val="none"/>
              </w:rPr>
              <w:t>《中华人民共和国水法》</w:t>
            </w:r>
          </w:p>
          <w:p>
            <w:pPr>
              <w:pStyle w:val="9"/>
              <w:numPr>
                <w:ilvl w:val="0"/>
                <w:numId w:val="2"/>
              </w:numPr>
              <w:adjustRightInd w:val="0"/>
              <w:ind w:firstLineChars="0"/>
              <w:rPr>
                <w:sz w:val="21"/>
                <w:szCs w:val="21"/>
                <w:highlight w:val="none"/>
              </w:rPr>
            </w:pPr>
            <w:r>
              <w:rPr>
                <w:sz w:val="21"/>
                <w:szCs w:val="21"/>
                <w:highlight w:val="none"/>
              </w:rPr>
              <w:t>《地质灾害防治条例》</w:t>
            </w:r>
          </w:p>
          <w:p>
            <w:pPr>
              <w:pStyle w:val="9"/>
              <w:numPr>
                <w:ilvl w:val="0"/>
                <w:numId w:val="2"/>
              </w:numPr>
              <w:adjustRightInd w:val="0"/>
              <w:ind w:firstLineChars="0"/>
              <w:rPr>
                <w:sz w:val="21"/>
                <w:szCs w:val="21"/>
                <w:highlight w:val="none"/>
              </w:rPr>
            </w:pPr>
            <w:r>
              <w:rPr>
                <w:sz w:val="21"/>
                <w:szCs w:val="21"/>
                <w:highlight w:val="none"/>
              </w:rPr>
              <w:t>《国务院关于加强地质灾害防治工作的决定》</w:t>
            </w:r>
          </w:p>
          <w:p>
            <w:pPr>
              <w:pStyle w:val="9"/>
              <w:numPr>
                <w:ilvl w:val="0"/>
                <w:numId w:val="2"/>
              </w:numPr>
              <w:adjustRightInd w:val="0"/>
              <w:ind w:firstLineChars="0"/>
              <w:rPr>
                <w:sz w:val="21"/>
                <w:szCs w:val="21"/>
                <w:highlight w:val="none"/>
              </w:rPr>
            </w:pPr>
            <w:r>
              <w:rPr>
                <w:sz w:val="21"/>
                <w:szCs w:val="21"/>
                <w:highlight w:val="none"/>
              </w:rPr>
              <w:t>《地质环境监测管理办法》(2019 年修正)</w:t>
            </w:r>
          </w:p>
          <w:p>
            <w:pPr>
              <w:pStyle w:val="9"/>
              <w:numPr>
                <w:ilvl w:val="0"/>
                <w:numId w:val="2"/>
              </w:numPr>
              <w:adjustRightInd w:val="0"/>
              <w:ind w:firstLineChars="0"/>
              <w:rPr>
                <w:sz w:val="21"/>
                <w:szCs w:val="21"/>
                <w:highlight w:val="none"/>
              </w:rPr>
            </w:pPr>
            <w:r>
              <w:rPr>
                <w:sz w:val="21"/>
                <w:szCs w:val="21"/>
                <w:highlight w:val="none"/>
              </w:rPr>
              <w:t>《全国地质灾害防治 “十四五” 规划》</w:t>
            </w:r>
          </w:p>
          <w:p>
            <w:pPr>
              <w:pStyle w:val="9"/>
              <w:numPr>
                <w:ilvl w:val="0"/>
                <w:numId w:val="2"/>
              </w:numPr>
              <w:adjustRightInd w:val="0"/>
              <w:ind w:firstLineChars="0"/>
              <w:rPr>
                <w:sz w:val="21"/>
                <w:szCs w:val="21"/>
                <w:highlight w:val="none"/>
              </w:rPr>
            </w:pPr>
            <w:r>
              <w:rPr>
                <w:sz w:val="21"/>
                <w:szCs w:val="21"/>
                <w:highlight w:val="none"/>
              </w:rPr>
              <w:t>《国家地下水监测工程组织实施方案》</w:t>
            </w:r>
          </w:p>
          <w:p>
            <w:pPr>
              <w:pStyle w:val="9"/>
              <w:numPr>
                <w:ilvl w:val="0"/>
                <w:numId w:val="2"/>
              </w:numPr>
              <w:adjustRightInd w:val="0"/>
              <w:ind w:firstLineChars="0"/>
              <w:rPr>
                <w:sz w:val="21"/>
                <w:szCs w:val="21"/>
                <w:highlight w:val="none"/>
              </w:rPr>
            </w:pPr>
            <w:r>
              <w:rPr>
                <w:sz w:val="21"/>
                <w:szCs w:val="21"/>
                <w:highlight w:val="none"/>
              </w:rPr>
              <w:t>《深圳市地质灾害防治管理办法》</w:t>
            </w:r>
          </w:p>
          <w:p>
            <w:pPr>
              <w:pStyle w:val="9"/>
              <w:numPr>
                <w:ilvl w:val="0"/>
                <w:numId w:val="2"/>
              </w:numPr>
              <w:adjustRightInd w:val="0"/>
              <w:ind w:firstLineChars="0"/>
              <w:rPr>
                <w:b/>
                <w:bCs/>
                <w:sz w:val="21"/>
                <w:szCs w:val="21"/>
                <w:highlight w:val="none"/>
              </w:rPr>
            </w:pPr>
            <w:r>
              <w:rPr>
                <w:sz w:val="21"/>
                <w:szCs w:val="21"/>
                <w:highlight w:val="none"/>
              </w:rPr>
              <w:t>《深圳市突发地质灾害应急预案（2025年修订版）》</w:t>
            </w:r>
          </w:p>
          <w:p>
            <w:pPr>
              <w:pStyle w:val="9"/>
              <w:numPr>
                <w:ilvl w:val="0"/>
                <w:numId w:val="2"/>
              </w:numPr>
              <w:adjustRightInd w:val="0"/>
              <w:ind w:firstLineChars="0"/>
              <w:rPr>
                <w:color w:val="FF0000"/>
                <w:sz w:val="21"/>
                <w:szCs w:val="21"/>
                <w:highlight w:val="none"/>
              </w:rPr>
            </w:pPr>
            <w:r>
              <w:rPr>
                <w:sz w:val="21"/>
                <w:szCs w:val="21"/>
                <w:highlight w:val="none"/>
              </w:rPr>
              <w:t>《市规划和自然资源局专题研究我市地面沉降、岩溶塌陷、地面坍塌等地面下沉及边坡防治工作会议纪要》</w:t>
            </w:r>
          </w:p>
          <w:p>
            <w:pPr>
              <w:ind w:firstLine="480" w:firstLineChars="200"/>
              <w:jc w:val="left"/>
              <w:rPr>
                <w:rFonts w:ascii="Times New Roman" w:hAnsi="Times New Roman" w:eastAsia="仿宋"/>
                <w:kern w:val="0"/>
                <w:sz w:val="24"/>
                <w:highlight w:val="none"/>
              </w:rPr>
            </w:pPr>
            <w:r>
              <w:rPr>
                <w:rFonts w:ascii="Times New Roman" w:hAnsi="Times New Roman" w:eastAsia="仿宋"/>
                <w:kern w:val="0"/>
                <w:sz w:val="24"/>
                <w:highlight w:val="none"/>
              </w:rPr>
              <w:t>三、服务标的数量（人员安排要求）</w:t>
            </w:r>
          </w:p>
          <w:p>
            <w:pPr>
              <w:pStyle w:val="9"/>
              <w:spacing w:before="156" w:beforeLines="50" w:after="156" w:afterLines="50"/>
              <w:ind w:firstLine="420"/>
              <w:rPr>
                <w:sz w:val="21"/>
                <w:szCs w:val="21"/>
                <w:highlight w:val="none"/>
              </w:rPr>
            </w:pPr>
            <w:r>
              <w:rPr>
                <w:sz w:val="21"/>
                <w:szCs w:val="21"/>
                <w:highlight w:val="none"/>
                <w:lang w:bidi="ar"/>
              </w:rPr>
              <w:t>投标方投入本项目的项目组成员应熟悉我市地质环境、地质灾害和各部门地质灾害管理分工等相关情况，项目团队成员不少于12人（</w:t>
            </w:r>
            <w:r>
              <w:rPr>
                <w:rFonts w:hint="eastAsia"/>
                <w:sz w:val="21"/>
                <w:szCs w:val="21"/>
                <w:highlight w:val="none"/>
                <w:lang w:bidi="ar"/>
              </w:rPr>
              <w:t>不</w:t>
            </w:r>
            <w:r>
              <w:rPr>
                <w:sz w:val="21"/>
                <w:szCs w:val="21"/>
                <w:highlight w:val="none"/>
                <w:lang w:bidi="ar"/>
              </w:rPr>
              <w:t>包含项目负责人），合同执行过程中，中标人不得随意更换项目负责人和项目组成员。</w:t>
            </w:r>
          </w:p>
          <w:p>
            <w:pPr>
              <w:ind w:firstLine="480" w:firstLineChars="200"/>
              <w:jc w:val="left"/>
              <w:rPr>
                <w:rFonts w:ascii="Times New Roman" w:hAnsi="Times New Roman" w:eastAsia="仿宋"/>
                <w:sz w:val="24"/>
                <w:highlight w:val="none"/>
              </w:rPr>
            </w:pPr>
            <w:r>
              <w:rPr>
                <w:rFonts w:ascii="Times New Roman" w:hAnsi="Times New Roman" w:eastAsia="仿宋"/>
                <w:sz w:val="24"/>
                <w:highlight w:val="none"/>
              </w:rPr>
              <w:t>四、主要工作内容及工作量</w:t>
            </w:r>
          </w:p>
          <w:p>
            <w:pPr>
              <w:numPr>
                <w:ilvl w:val="0"/>
                <w:numId w:val="3"/>
              </w:numPr>
              <w:spacing w:line="360" w:lineRule="auto"/>
              <w:rPr>
                <w:rFonts w:ascii="Times New Roman" w:hAnsi="Times New Roman" w:eastAsia="仿宋"/>
                <w:b/>
                <w:bCs/>
                <w:szCs w:val="21"/>
                <w:highlight w:val="none"/>
                <w:lang w:eastAsia="zh"/>
              </w:rPr>
            </w:pPr>
            <w:r>
              <w:rPr>
                <w:rFonts w:ascii="Times New Roman" w:hAnsi="Times New Roman" w:eastAsia="仿宋"/>
                <w:b/>
                <w:bCs/>
                <w:szCs w:val="21"/>
                <w:highlight w:val="none"/>
                <w:lang w:eastAsia="zh"/>
              </w:rPr>
              <w:t>地质灾害气象风险预警</w:t>
            </w:r>
          </w:p>
          <w:p>
            <w:pPr>
              <w:numPr>
                <w:ilvl w:val="0"/>
                <w:numId w:val="4"/>
              </w:numPr>
              <w:spacing w:line="360" w:lineRule="auto"/>
              <w:rPr>
                <w:rFonts w:ascii="Times New Roman" w:hAnsi="Times New Roman" w:eastAsia="仿宋"/>
                <w:highlight w:val="none"/>
              </w:rPr>
            </w:pPr>
            <w:r>
              <w:rPr>
                <w:rFonts w:ascii="Times New Roman" w:hAnsi="Times New Roman" w:eastAsia="仿宋"/>
                <w:highlight w:val="none"/>
              </w:rPr>
              <w:t>组织地质灾害气象风险预警业务研讨会，分析汛期地质灾害预防形势，研讨总结日常工作情况与问题，加强沟通协作。</w:t>
            </w:r>
          </w:p>
          <w:p>
            <w:pPr>
              <w:numPr>
                <w:ilvl w:val="0"/>
                <w:numId w:val="4"/>
              </w:numPr>
              <w:spacing w:line="360" w:lineRule="auto"/>
              <w:rPr>
                <w:rFonts w:ascii="Times New Roman" w:hAnsi="Times New Roman" w:eastAsia="仿宋"/>
                <w:highlight w:val="none"/>
              </w:rPr>
            </w:pPr>
            <w:r>
              <w:rPr>
                <w:rFonts w:ascii="Times New Roman" w:hAnsi="Times New Roman" w:eastAsia="仿宋"/>
                <w:highlight w:val="none"/>
              </w:rPr>
              <w:t>与深圳市气象局协作，总结往年发灾情况，结合以往汛期地质灾害气象风险预警工作经验，对年度预警工作方案提出改进建议。</w:t>
            </w:r>
          </w:p>
          <w:p>
            <w:pPr>
              <w:numPr>
                <w:ilvl w:val="0"/>
                <w:numId w:val="4"/>
              </w:numPr>
              <w:spacing w:line="360" w:lineRule="auto"/>
              <w:rPr>
                <w:rFonts w:ascii="Times New Roman" w:hAnsi="Times New Roman" w:eastAsia="仿宋"/>
                <w:highlight w:val="none"/>
              </w:rPr>
            </w:pPr>
            <w:r>
              <w:rPr>
                <w:rFonts w:ascii="Times New Roman" w:hAnsi="Times New Roman" w:eastAsia="仿宋"/>
                <w:highlight w:val="none"/>
              </w:rPr>
              <w:t>根据预警工作方案中的工作制度、业务流程和预警等级划分、预警发布标准等，开展风险研判和预警预报工作，通过分区预警系统等工具密切跟踪降雨发展，联络气象局、规划和自然资源局及其管理局以进行气象、灾险情方面的数据收集、反馈和汇报，开展预警会商和研判，进行年度地质灾害气象风险预警产品的制作、呈批和对外发布。</w:t>
            </w:r>
          </w:p>
          <w:p>
            <w:pPr>
              <w:numPr>
                <w:ilvl w:val="0"/>
                <w:numId w:val="4"/>
              </w:numPr>
              <w:spacing w:line="360" w:lineRule="auto"/>
              <w:rPr>
                <w:rFonts w:ascii="Times New Roman" w:hAnsi="Times New Roman" w:eastAsia="仿宋"/>
                <w:highlight w:val="none"/>
              </w:rPr>
            </w:pPr>
            <w:r>
              <w:rPr>
                <w:rFonts w:ascii="Times New Roman" w:hAnsi="Times New Roman" w:eastAsia="仿宋"/>
                <w:highlight w:val="none"/>
              </w:rPr>
              <w:t>发生灾情、险情后，第一时间收集应急调查报告和降雨数据，汛后做好灾险情总结，为下一年度改进预警工作模型提供数据基础。</w:t>
            </w:r>
          </w:p>
          <w:p>
            <w:pPr>
              <w:numPr>
                <w:ilvl w:val="0"/>
                <w:numId w:val="4"/>
              </w:numPr>
              <w:spacing w:line="360" w:lineRule="auto"/>
              <w:rPr>
                <w:rFonts w:ascii="Times New Roman" w:hAnsi="Times New Roman" w:eastAsia="仿宋"/>
                <w:highlight w:val="none"/>
              </w:rPr>
            </w:pPr>
            <w:r>
              <w:rPr>
                <w:rFonts w:ascii="Times New Roman" w:hAnsi="Times New Roman" w:eastAsia="仿宋"/>
                <w:highlight w:val="none"/>
              </w:rPr>
              <w:t>研究分析，编写年</w:t>
            </w:r>
            <w:r>
              <w:rPr>
                <w:rFonts w:ascii="Times New Roman" w:hAnsi="Times New Roman" w:eastAsia="仿宋"/>
                <w:highlight w:val="none"/>
                <w:lang w:eastAsia="zh"/>
              </w:rPr>
              <w:t>度</w:t>
            </w:r>
            <w:r>
              <w:rPr>
                <w:rFonts w:ascii="Times New Roman" w:hAnsi="Times New Roman" w:eastAsia="仿宋"/>
                <w:highlight w:val="none"/>
              </w:rPr>
              <w:t>地质灾害气象风险预警工作</w:t>
            </w:r>
            <w:r>
              <w:rPr>
                <w:rFonts w:ascii="Times New Roman" w:hAnsi="Times New Roman" w:eastAsia="仿宋"/>
                <w:highlight w:val="none"/>
                <w:lang w:eastAsia="zh"/>
              </w:rPr>
              <w:t>总结</w:t>
            </w:r>
            <w:r>
              <w:rPr>
                <w:rFonts w:ascii="Times New Roman" w:hAnsi="Times New Roman" w:eastAsia="仿宋"/>
                <w:highlight w:val="none"/>
              </w:rPr>
              <w:t>报告，其中包括改进分区预警工作方案的可能性和途径。</w:t>
            </w:r>
          </w:p>
          <w:p>
            <w:pPr>
              <w:numPr>
                <w:ilvl w:val="0"/>
                <w:numId w:val="4"/>
              </w:numPr>
              <w:spacing w:line="360" w:lineRule="auto"/>
              <w:rPr>
                <w:rFonts w:ascii="Times New Roman" w:hAnsi="Times New Roman" w:eastAsia="仿宋"/>
                <w:highlight w:val="none"/>
              </w:rPr>
            </w:pPr>
            <w:r>
              <w:rPr>
                <w:rFonts w:ascii="Times New Roman" w:hAnsi="Times New Roman" w:eastAsia="仿宋"/>
                <w:highlight w:val="none"/>
              </w:rPr>
              <w:t>维护地质灾害气象风险预警系统。根据业务规则的变化和正常运行过程中存在的问题与不足，进行系统维护和升级，调整地质灾害气象风险分区预警系统的整个业务逻辑，进行系统前台和后台的系统升级维护开发。对接广东省地质灾害监测预警系统，及时对接省预警系统中区级预警数据。</w:t>
            </w:r>
          </w:p>
          <w:p>
            <w:pPr>
              <w:numPr>
                <w:ilvl w:val="0"/>
                <w:numId w:val="3"/>
              </w:numPr>
              <w:spacing w:line="360" w:lineRule="auto"/>
              <w:rPr>
                <w:rFonts w:ascii="Times New Roman" w:hAnsi="Times New Roman" w:eastAsia="仿宋"/>
                <w:b/>
                <w:bCs/>
                <w:szCs w:val="21"/>
                <w:highlight w:val="none"/>
                <w:lang w:eastAsia="zh"/>
              </w:rPr>
            </w:pPr>
            <w:r>
              <w:rPr>
                <w:rFonts w:ascii="Times New Roman" w:hAnsi="Times New Roman" w:eastAsia="仿宋"/>
                <w:b/>
                <w:bCs/>
                <w:szCs w:val="21"/>
                <w:highlight w:val="none"/>
              </w:rPr>
              <w:t>地质灾害防治基层人员综合防治能力提升</w:t>
            </w:r>
          </w:p>
          <w:p>
            <w:pPr>
              <w:spacing w:line="360" w:lineRule="auto"/>
              <w:ind w:firstLine="420" w:firstLineChars="200"/>
              <w:rPr>
                <w:rFonts w:ascii="Times New Roman" w:hAnsi="Times New Roman" w:eastAsia="仿宋"/>
                <w:highlight w:val="none"/>
              </w:rPr>
            </w:pPr>
            <w:r>
              <w:rPr>
                <w:rFonts w:ascii="Times New Roman" w:hAnsi="Times New Roman" w:eastAsia="仿宋"/>
                <w:highlight w:val="none"/>
                <w:lang w:eastAsia="zh"/>
              </w:rPr>
              <w:t>针对以下内容开展宣贯，场次不少于6次，</w:t>
            </w:r>
            <w:r>
              <w:rPr>
                <w:rFonts w:hint="eastAsia" w:ascii="仿宋" w:hAnsi="仿宋" w:eastAsia="仿宋" w:cs="仿宋"/>
                <w:highlight w:val="none"/>
              </w:rPr>
              <w:t>参与</w:t>
            </w:r>
            <w:r>
              <w:rPr>
                <w:rFonts w:ascii="Times New Roman" w:hAnsi="Times New Roman" w:eastAsia="仿宋"/>
                <w:highlight w:val="none"/>
                <w:lang w:eastAsia="zh"/>
              </w:rPr>
              <w:t>人数不少于750人。</w:t>
            </w:r>
            <w:r>
              <w:rPr>
                <w:rFonts w:ascii="Times New Roman" w:hAnsi="Times New Roman" w:eastAsia="仿宋"/>
                <w:highlight w:val="none"/>
              </w:rPr>
              <w:t>深入解读《地质灾害防治条例》《全国地质灾害防治 “十四五” 规划》等国家及地方政策，明确各级政府防治责任与要求，确保政策执行落地。同时，普及地质灾害与危险边坡基础知识，解析滑坡、崩塌等灾害类型的成因与危害，传授地形地貌观察、地质构造分析等现场隐患识别方法。此外，结合梅大高速塌方、韶关强降雨等典型案例，剖析灾害发生机理，总结应急处置经验教训，提升灾害防范意识与应对能力。系统讲解巡排查工作规范，明确巡查目的、原则、周期及流程，强调巡查前物资准备、巡查中安全事项及巡查后数据记录与报告要点。针对山区、河流沿岸、人口密集区等高风险区域，指导精准识别隐患点，规范记录隐患位置、规模及变化情况，制定科学分析评估方法。</w:t>
            </w:r>
          </w:p>
          <w:p>
            <w:pPr>
              <w:numPr>
                <w:ilvl w:val="0"/>
                <w:numId w:val="3"/>
              </w:numPr>
              <w:spacing w:line="360" w:lineRule="auto"/>
              <w:rPr>
                <w:rFonts w:ascii="Times New Roman" w:hAnsi="Times New Roman" w:eastAsia="仿宋"/>
                <w:b/>
                <w:bCs/>
                <w:szCs w:val="21"/>
                <w:highlight w:val="none"/>
                <w:lang w:eastAsia="zh"/>
              </w:rPr>
            </w:pPr>
            <w:r>
              <w:rPr>
                <w:rFonts w:ascii="Times New Roman" w:hAnsi="Times New Roman" w:eastAsia="仿宋"/>
                <w:b/>
                <w:bCs/>
                <w:szCs w:val="21"/>
                <w:highlight w:val="none"/>
                <w:lang w:eastAsia="zh"/>
              </w:rPr>
              <w:t>海水入侵灾害监测</w:t>
            </w:r>
          </w:p>
          <w:p>
            <w:pPr>
              <w:numPr>
                <w:ilvl w:val="0"/>
                <w:numId w:val="5"/>
              </w:numPr>
              <w:spacing w:line="360" w:lineRule="auto"/>
              <w:rPr>
                <w:rFonts w:ascii="Times New Roman" w:hAnsi="Times New Roman" w:eastAsia="仿宋"/>
                <w:highlight w:val="none"/>
              </w:rPr>
            </w:pPr>
            <w:r>
              <w:rPr>
                <w:rFonts w:ascii="Times New Roman" w:hAnsi="Times New Roman" w:eastAsia="仿宋"/>
                <w:highlight w:val="none"/>
                <w:lang w:eastAsia="zh"/>
              </w:rPr>
              <w:t>海水入侵灾害</w:t>
            </w:r>
            <w:r>
              <w:rPr>
                <w:rFonts w:ascii="Times New Roman" w:hAnsi="Times New Roman" w:eastAsia="仿宋"/>
                <w:highlight w:val="none"/>
              </w:rPr>
              <w:t>监测方式和内容</w:t>
            </w:r>
            <w:r>
              <w:rPr>
                <w:rFonts w:ascii="Times New Roman" w:hAnsi="Times New Roman" w:eastAsia="仿宋"/>
                <w:highlight w:val="none"/>
                <w:lang w:eastAsia="zh"/>
              </w:rPr>
              <w:t>：</w:t>
            </w:r>
            <w:r>
              <w:rPr>
                <w:rFonts w:ascii="Times New Roman" w:hAnsi="Times New Roman" w:eastAsia="仿宋"/>
                <w:highlight w:val="none"/>
              </w:rPr>
              <w:t>监测工作时间为2026年</w:t>
            </w:r>
            <w:r>
              <w:rPr>
                <w:rFonts w:ascii="Times New Roman" w:hAnsi="Times New Roman" w:eastAsia="仿宋"/>
                <w:highlight w:val="none"/>
                <w:lang w:eastAsia="zh"/>
              </w:rPr>
              <w:t>6</w:t>
            </w:r>
            <w:r>
              <w:rPr>
                <w:rFonts w:ascii="Times New Roman" w:hAnsi="Times New Roman" w:eastAsia="仿宋"/>
                <w:highlight w:val="none"/>
              </w:rPr>
              <w:t>月</w:t>
            </w:r>
            <w:r>
              <w:rPr>
                <w:rFonts w:ascii="Times New Roman" w:hAnsi="Times New Roman" w:eastAsia="仿宋"/>
                <w:highlight w:val="none"/>
                <w:lang w:eastAsia="zh"/>
              </w:rPr>
              <w:t>至</w:t>
            </w:r>
            <w:r>
              <w:rPr>
                <w:rFonts w:ascii="Times New Roman" w:hAnsi="Times New Roman" w:eastAsia="仿宋"/>
                <w:highlight w:val="none"/>
              </w:rPr>
              <w:t>2027年</w:t>
            </w:r>
            <w:r>
              <w:rPr>
                <w:rFonts w:ascii="Times New Roman" w:hAnsi="Times New Roman" w:eastAsia="仿宋"/>
                <w:highlight w:val="none"/>
                <w:lang w:eastAsia="zh"/>
              </w:rPr>
              <w:t>5</w:t>
            </w:r>
            <w:r>
              <w:rPr>
                <w:rFonts w:ascii="Times New Roman" w:hAnsi="Times New Roman" w:eastAsia="仿宋"/>
                <w:highlight w:val="none"/>
              </w:rPr>
              <w:t>月共12个月</w:t>
            </w:r>
            <w:r>
              <w:rPr>
                <w:rFonts w:ascii="Times New Roman" w:hAnsi="Times New Roman" w:eastAsia="仿宋"/>
                <w:highlight w:val="none"/>
                <w:lang w:eastAsia="zh"/>
              </w:rPr>
              <w:t>，平均</w:t>
            </w:r>
            <w:r>
              <w:rPr>
                <w:rFonts w:ascii="Times New Roman" w:hAnsi="Times New Roman" w:eastAsia="仿宋"/>
                <w:highlight w:val="none"/>
              </w:rPr>
              <w:t>每2月开展一期监测</w:t>
            </w:r>
            <w:r>
              <w:rPr>
                <w:rFonts w:ascii="Times New Roman" w:hAnsi="Times New Roman" w:eastAsia="仿宋"/>
                <w:highlight w:val="none"/>
                <w:lang w:eastAsia="zh"/>
              </w:rPr>
              <w:t>，</w:t>
            </w:r>
            <w:r>
              <w:rPr>
                <w:rFonts w:ascii="Times New Roman" w:hAnsi="Times New Roman" w:eastAsia="仿宋"/>
                <w:highlight w:val="none"/>
              </w:rPr>
              <w:t>共开展</w:t>
            </w:r>
            <w:r>
              <w:rPr>
                <w:rFonts w:ascii="Times New Roman" w:hAnsi="Times New Roman" w:eastAsia="仿宋"/>
                <w:highlight w:val="none"/>
                <w:lang w:eastAsia="zh"/>
              </w:rPr>
              <w:t>6</w:t>
            </w:r>
            <w:r>
              <w:rPr>
                <w:rFonts w:ascii="Times New Roman" w:hAnsi="Times New Roman" w:eastAsia="仿宋"/>
                <w:highlight w:val="none"/>
              </w:rPr>
              <w:t>期监测。监测方式分为人工监测和自动监测，具体监测内容为：①自动监测：部分监测井采用自动记录仪，监测和记录水位、水温等参数的变化。②人工监测：监测项目包括地下水水位、常规离子浓度、Br</w:t>
            </w:r>
            <w:r>
              <w:rPr>
                <w:rFonts w:ascii="Times New Roman" w:hAnsi="Times New Roman" w:eastAsia="仿宋"/>
                <w:highlight w:val="none"/>
                <w:vertAlign w:val="superscript"/>
              </w:rPr>
              <w:t>-</w:t>
            </w:r>
            <w:r>
              <w:rPr>
                <w:rFonts w:ascii="Times New Roman" w:hAnsi="Times New Roman" w:eastAsia="仿宋"/>
                <w:highlight w:val="none"/>
              </w:rPr>
              <w:t>浓度、游离CO</w:t>
            </w:r>
            <w:r>
              <w:rPr>
                <w:rFonts w:ascii="Times New Roman" w:hAnsi="Times New Roman" w:eastAsia="仿宋"/>
                <w:highlight w:val="none"/>
                <w:vertAlign w:val="subscript"/>
              </w:rPr>
              <w:t>2</w:t>
            </w:r>
            <w:r>
              <w:rPr>
                <w:rFonts w:ascii="Times New Roman" w:hAnsi="Times New Roman" w:eastAsia="仿宋"/>
                <w:highlight w:val="none"/>
              </w:rPr>
              <w:t>、侵蚀CO</w:t>
            </w:r>
            <w:r>
              <w:rPr>
                <w:rFonts w:ascii="Times New Roman" w:hAnsi="Times New Roman" w:eastAsia="仿宋"/>
                <w:highlight w:val="none"/>
                <w:vertAlign w:val="subscript"/>
              </w:rPr>
              <w:t>2</w:t>
            </w:r>
            <w:r>
              <w:rPr>
                <w:rFonts w:ascii="Times New Roman" w:hAnsi="Times New Roman" w:eastAsia="仿宋"/>
                <w:highlight w:val="none"/>
              </w:rPr>
              <w:t>、矿化度和pH值等。③监测频率：自动监测井监测频率为每8小时一次，记录的数据每日采集一次。人工监测井监测频率为平均每2个月开展一期监测，雨季或监测时发现有明显异常根据需要适时加密。此外，对于自动监测井，平均每2个月开展一期人工监测，雨季或监测时发现有明显异常根据需要适时加密。</w:t>
            </w:r>
          </w:p>
          <w:p>
            <w:pPr>
              <w:numPr>
                <w:ilvl w:val="0"/>
                <w:numId w:val="5"/>
              </w:numPr>
              <w:spacing w:line="360" w:lineRule="auto"/>
              <w:rPr>
                <w:rFonts w:ascii="Times New Roman" w:hAnsi="Times New Roman" w:eastAsia="仿宋"/>
                <w:highlight w:val="none"/>
              </w:rPr>
            </w:pPr>
            <w:r>
              <w:rPr>
                <w:rFonts w:ascii="Times New Roman" w:hAnsi="Times New Roman" w:eastAsia="仿宋"/>
                <w:highlight w:val="none"/>
                <w:lang w:eastAsia="zh"/>
              </w:rPr>
              <w:t>海水入侵</w:t>
            </w:r>
            <w:r>
              <w:rPr>
                <w:rFonts w:ascii="Times New Roman" w:hAnsi="Times New Roman" w:eastAsia="仿宋"/>
                <w:highlight w:val="none"/>
              </w:rPr>
              <w:t>监测数据</w:t>
            </w:r>
            <w:r>
              <w:rPr>
                <w:rFonts w:ascii="Times New Roman" w:hAnsi="Times New Roman" w:eastAsia="仿宋"/>
                <w:highlight w:val="none"/>
                <w:lang w:eastAsia="zh"/>
              </w:rPr>
              <w:t>分析：</w:t>
            </w:r>
            <w:r>
              <w:rPr>
                <w:rFonts w:ascii="Times New Roman" w:hAnsi="Times New Roman" w:eastAsia="仿宋"/>
                <w:highlight w:val="none"/>
              </w:rPr>
              <w:t>利用质谱仪、水样筛分仪等对监测水样进行简分析（因需研究海水入侵现象，一般分析中不包含的Br</w:t>
            </w:r>
            <w:r>
              <w:rPr>
                <w:rFonts w:ascii="Times New Roman" w:hAnsi="Times New Roman" w:eastAsia="仿宋"/>
                <w:highlight w:val="none"/>
                <w:vertAlign w:val="superscript"/>
              </w:rPr>
              <w:t>-</w:t>
            </w:r>
            <w:r>
              <w:rPr>
                <w:rFonts w:ascii="Times New Roman" w:hAnsi="Times New Roman" w:eastAsia="仿宋"/>
                <w:highlight w:val="none"/>
              </w:rPr>
              <w:t>浓度需通过标定法进行监测），对每期监测数据进行统计分析，下期监测时出具反应海岸带海水入侵现状和演化趋势的上期监测报告。收集国内外资料，并利用Python/Matlab等软件进行多元统计，对深圳市海水入侵及地下水咸化带来的地质环境变化给出趋势性判断；并结合监测信息进行实地调查和查看（调查、走访、拍照、摄影、实地采样、分析化验等），了解深圳市海水入侵及地下水咸化的具体影响范围、规范、原因及其它因素，提出符合深圳市实际的相关防治对策。</w:t>
            </w:r>
          </w:p>
          <w:p>
            <w:pPr>
              <w:numPr>
                <w:ilvl w:val="0"/>
                <w:numId w:val="5"/>
              </w:numPr>
              <w:spacing w:line="360" w:lineRule="auto"/>
              <w:rPr>
                <w:rFonts w:ascii="Times New Roman" w:hAnsi="Times New Roman" w:eastAsia="仿宋"/>
                <w:highlight w:val="none"/>
              </w:rPr>
            </w:pPr>
            <w:r>
              <w:rPr>
                <w:rFonts w:ascii="Times New Roman" w:hAnsi="Times New Roman" w:eastAsia="仿宋"/>
                <w:highlight w:val="none"/>
                <w:lang w:eastAsia="zh"/>
              </w:rPr>
              <w:t>海水入侵</w:t>
            </w:r>
            <w:r>
              <w:rPr>
                <w:rFonts w:ascii="Times New Roman" w:hAnsi="Times New Roman" w:eastAsia="仿宋"/>
                <w:highlight w:val="none"/>
              </w:rPr>
              <w:t>监测井及监测设备的日常维护</w:t>
            </w:r>
            <w:r>
              <w:rPr>
                <w:rFonts w:ascii="Times New Roman" w:hAnsi="Times New Roman" w:eastAsia="仿宋"/>
                <w:highlight w:val="none"/>
                <w:lang w:eastAsia="zh"/>
              </w:rPr>
              <w:t>：</w:t>
            </w:r>
            <w:r>
              <w:rPr>
                <w:rFonts w:ascii="Times New Roman" w:hAnsi="Times New Roman" w:eastAsia="仿宋"/>
                <w:highlight w:val="none"/>
              </w:rPr>
              <w:t>包括定期检查井台、井盖有无损坏，及时修复损坏的监测设施设备。定期对井盖进行刷漆、喷标识等维护措施。</w:t>
            </w:r>
          </w:p>
          <w:p>
            <w:pPr>
              <w:numPr>
                <w:ilvl w:val="0"/>
                <w:numId w:val="3"/>
              </w:numPr>
              <w:spacing w:line="360" w:lineRule="auto"/>
              <w:jc w:val="left"/>
              <w:rPr>
                <w:rFonts w:ascii="Times New Roman" w:hAnsi="Times New Roman" w:eastAsia="仿宋"/>
                <w:b/>
                <w:bCs/>
                <w:szCs w:val="21"/>
                <w:highlight w:val="none"/>
              </w:rPr>
            </w:pPr>
            <w:r>
              <w:rPr>
                <w:rFonts w:ascii="Times New Roman" w:hAnsi="Times New Roman" w:eastAsia="仿宋"/>
                <w:b/>
                <w:bCs/>
                <w:szCs w:val="21"/>
                <w:highlight w:val="none"/>
              </w:rPr>
              <w:t>地质灾害调查、核销、应急支撑和科技创新应用</w:t>
            </w:r>
          </w:p>
          <w:p>
            <w:pPr>
              <w:numPr>
                <w:ilvl w:val="0"/>
                <w:numId w:val="6"/>
              </w:numPr>
              <w:spacing w:line="360" w:lineRule="auto"/>
              <w:rPr>
                <w:rFonts w:ascii="Times New Roman" w:hAnsi="Times New Roman" w:eastAsia="仿宋"/>
                <w:highlight w:val="none"/>
                <w:u w:val="single"/>
              </w:rPr>
            </w:pPr>
            <w:r>
              <w:rPr>
                <w:rFonts w:ascii="Times New Roman" w:hAnsi="Times New Roman" w:eastAsia="仿宋"/>
                <w:highlight w:val="none"/>
              </w:rPr>
              <w:t>调查认定。对</w:t>
            </w:r>
            <w:r>
              <w:rPr>
                <w:rFonts w:hint="eastAsia" w:ascii="Times New Roman" w:hAnsi="Times New Roman" w:eastAsia="仿宋"/>
                <w:highlight w:val="none"/>
              </w:rPr>
              <w:t>系统中新增危险性较大的</w:t>
            </w:r>
            <w:r>
              <w:rPr>
                <w:rFonts w:ascii="Times New Roman" w:hAnsi="Times New Roman" w:eastAsia="仿宋"/>
                <w:highlight w:val="none"/>
              </w:rPr>
              <w:t>地质灾害隐患点组织开展调查</w:t>
            </w:r>
            <w:r>
              <w:rPr>
                <w:rFonts w:hint="eastAsia" w:ascii="Times New Roman" w:hAnsi="Times New Roman" w:eastAsia="仿宋"/>
                <w:highlight w:val="none"/>
              </w:rPr>
              <w:t>复核</w:t>
            </w:r>
            <w:r>
              <w:rPr>
                <w:rFonts w:ascii="Times New Roman" w:hAnsi="Times New Roman" w:eastAsia="仿宋"/>
                <w:highlight w:val="none"/>
              </w:rPr>
              <w:t>，详细</w:t>
            </w:r>
            <w:r>
              <w:rPr>
                <w:rFonts w:hint="eastAsia" w:ascii="Times New Roman" w:hAnsi="Times New Roman" w:eastAsia="仿宋"/>
                <w:highlight w:val="none"/>
              </w:rPr>
              <w:t>调查</w:t>
            </w:r>
            <w:r>
              <w:rPr>
                <w:rFonts w:ascii="Times New Roman" w:hAnsi="Times New Roman" w:eastAsia="仿宋"/>
                <w:highlight w:val="none"/>
              </w:rPr>
              <w:t>该隐患点空间位置、规模大小、稳定状况、成因分析鉴定、威胁对象及人数、潜在经济损失、危险程度、隐患等级和目前采取的防治措施等情况，为后续防治工作提供建议。经复核属大型及以上的地质灾害隐患点的上报省地质环境监测总站审核，经省站复核为大型及以上的地质灾害隐患点后，录入省地质灾害隐患点排查数据库管理系统，同时配合完成相关后续工作。对发生的地质灾害开展应急调查，出具调查报告，</w:t>
            </w:r>
            <w:r>
              <w:rPr>
                <w:rFonts w:hint="eastAsia" w:ascii="Times New Roman" w:hAnsi="Times New Roman" w:eastAsia="仿宋"/>
                <w:highlight w:val="none"/>
              </w:rPr>
              <w:t>预计</w:t>
            </w:r>
            <w:r>
              <w:rPr>
                <w:rFonts w:ascii="Times New Roman" w:hAnsi="Times New Roman" w:eastAsia="仿宋"/>
                <w:highlight w:val="none"/>
              </w:rPr>
              <w:t>10</w:t>
            </w:r>
            <w:r>
              <w:rPr>
                <w:rFonts w:hint="eastAsia" w:ascii="Times New Roman" w:hAnsi="Times New Roman" w:eastAsia="仿宋"/>
                <w:highlight w:val="none"/>
              </w:rPr>
              <w:t>次。</w:t>
            </w:r>
          </w:p>
          <w:p>
            <w:pPr>
              <w:numPr>
                <w:ilvl w:val="0"/>
                <w:numId w:val="6"/>
              </w:numPr>
              <w:spacing w:line="360" w:lineRule="auto"/>
              <w:rPr>
                <w:rFonts w:ascii="Times New Roman" w:hAnsi="Times New Roman" w:eastAsia="仿宋"/>
                <w:highlight w:val="none"/>
              </w:rPr>
            </w:pPr>
            <w:r>
              <w:rPr>
                <w:rFonts w:ascii="Times New Roman" w:hAnsi="Times New Roman" w:eastAsia="仿宋"/>
                <w:highlight w:val="none"/>
              </w:rPr>
              <w:t>核销。核销工作主要是指经过工程治理、搬迁避让等综合治理措施，或在自然因素的影响下，地质灾害隐患点的危险性、危害性已经得到有效控制，经专业评审后，从省、市地质灾害信息系统中销号并转为维护管养环节的行为。对于</w:t>
            </w:r>
            <w:r>
              <w:rPr>
                <w:rFonts w:hint="eastAsia" w:ascii="Times New Roman" w:hAnsi="Times New Roman" w:eastAsia="仿宋"/>
                <w:highlight w:val="none"/>
              </w:rPr>
              <w:t>系统中各管理局或各区牵头部门核销的隐患点</w:t>
            </w:r>
            <w:r>
              <w:rPr>
                <w:rFonts w:ascii="Times New Roman" w:hAnsi="Times New Roman" w:eastAsia="仿宋"/>
                <w:highlight w:val="none"/>
              </w:rPr>
              <w:t>，对照核销条件开展</w:t>
            </w:r>
            <w:r>
              <w:rPr>
                <w:rFonts w:hint="eastAsia" w:ascii="Times New Roman" w:hAnsi="Times New Roman" w:eastAsia="仿宋"/>
                <w:highlight w:val="none"/>
              </w:rPr>
              <w:t>抽查</w:t>
            </w:r>
            <w:r>
              <w:rPr>
                <w:rFonts w:ascii="Times New Roman" w:hAnsi="Times New Roman" w:eastAsia="仿宋"/>
                <w:highlight w:val="none"/>
              </w:rPr>
              <w:t>调查核实，</w:t>
            </w:r>
            <w:r>
              <w:rPr>
                <w:rFonts w:hint="eastAsia" w:ascii="Times New Roman" w:hAnsi="Times New Roman" w:eastAsia="仿宋"/>
                <w:highlight w:val="none"/>
              </w:rPr>
              <w:t>复核核销工作是否满足相关要求，对不满足核销条件的及时提出整改建议。预计开展核销点调查复核</w:t>
            </w:r>
            <w:r>
              <w:rPr>
                <w:rFonts w:ascii="Times New Roman" w:hAnsi="Times New Roman" w:eastAsia="仿宋"/>
                <w:highlight w:val="none"/>
              </w:rPr>
              <w:t>4</w:t>
            </w:r>
            <w:r>
              <w:rPr>
                <w:rFonts w:hint="eastAsia" w:ascii="Times New Roman" w:hAnsi="Times New Roman" w:eastAsia="仿宋"/>
                <w:highlight w:val="none"/>
              </w:rPr>
              <w:t>处。</w:t>
            </w:r>
          </w:p>
          <w:p>
            <w:pPr>
              <w:numPr>
                <w:ilvl w:val="0"/>
                <w:numId w:val="6"/>
              </w:numPr>
              <w:spacing w:line="360" w:lineRule="auto"/>
              <w:rPr>
                <w:rFonts w:ascii="Times New Roman" w:hAnsi="Times New Roman" w:eastAsia="仿宋"/>
                <w:highlight w:val="none"/>
              </w:rPr>
            </w:pPr>
            <w:r>
              <w:rPr>
                <w:rFonts w:ascii="Times New Roman" w:hAnsi="Times New Roman" w:eastAsia="仿宋"/>
                <w:highlight w:val="none"/>
              </w:rPr>
              <w:t>日常专家技术支撑。聘请专家或会同有关单位对发生的地质灾害灾险情开展应急调查，按照省自然资源厅标准认定是否属于地质灾害，详细调查该灾害点空间位置、规模大小、稳定状况、成因分析鉴定、人员伤亡、直接经济损失、发展趋势预测和目前采取的应急措施等情况，提出应急处置工作建议。为市规划和自然资源局汛前、汛中、汛后、龙舟水、台风期间现场检查提供技术支撑以及日常地质灾害防治工作相关专家的技术服务。</w:t>
            </w:r>
          </w:p>
          <w:p>
            <w:pPr>
              <w:numPr>
                <w:ilvl w:val="0"/>
                <w:numId w:val="6"/>
              </w:numPr>
              <w:spacing w:line="360" w:lineRule="auto"/>
              <w:rPr>
                <w:rFonts w:ascii="Times New Roman" w:hAnsi="Times New Roman" w:eastAsia="仿宋"/>
                <w:highlight w:val="none"/>
              </w:rPr>
            </w:pPr>
            <w:r>
              <w:rPr>
                <w:rFonts w:ascii="Times New Roman" w:hAnsi="Times New Roman" w:eastAsia="仿宋"/>
                <w:highlight w:val="none"/>
              </w:rPr>
              <w:t>地质灾害和危险边坡防治督导等工作技术支撑。为市规划和自然资源局对各区、各部门地质灾害和危险边坡防治工作的督导等提供技术支撑。</w:t>
            </w:r>
          </w:p>
          <w:p>
            <w:pPr>
              <w:numPr>
                <w:ilvl w:val="0"/>
                <w:numId w:val="6"/>
              </w:numPr>
              <w:spacing w:line="360" w:lineRule="auto"/>
              <w:rPr>
                <w:rFonts w:ascii="Times New Roman" w:hAnsi="Times New Roman" w:eastAsia="仿宋"/>
                <w:sz w:val="24"/>
                <w:highlight w:val="none"/>
              </w:rPr>
            </w:pPr>
            <w:r>
              <w:rPr>
                <w:rFonts w:ascii="Times New Roman" w:hAnsi="Times New Roman" w:eastAsia="仿宋"/>
                <w:highlight w:val="none"/>
              </w:rPr>
              <w:t>科技创新应用。充分利用无人机和三维激光扫描设备，定期开展巡排查，为市规划和自然资源局地质灾害和危险边坡督导、检查提供高科技技术支撑。提供适合地质灾害发灾现场及日常巡排查工作需要的无人机倾斜摄影和三维激光扫描等技术</w:t>
            </w:r>
            <w:r>
              <w:rPr>
                <w:rFonts w:hint="eastAsia" w:ascii="Times New Roman" w:hAnsi="Times New Roman" w:eastAsia="仿宋"/>
                <w:highlight w:val="none"/>
              </w:rPr>
              <w:t>服务</w:t>
            </w:r>
            <w:r>
              <w:rPr>
                <w:rFonts w:ascii="Times New Roman" w:hAnsi="Times New Roman" w:eastAsia="仿宋"/>
                <w:highlight w:val="none"/>
              </w:rPr>
              <w:t>，定期获取高分辨率的地表影像生成实景三维模型。对收集的三维模型和点云数据进行深入分析，识别潜在风险点，为后续地质灾害防治提供科学的风险评估和决策建议。</w:t>
            </w:r>
            <w:r>
              <w:rPr>
                <w:rFonts w:hint="eastAsia" w:ascii="Times New Roman" w:hAnsi="Times New Roman" w:eastAsia="仿宋"/>
                <w:highlight w:val="none"/>
              </w:rPr>
              <w:t>预计开展倾斜摄影三维模型建设</w:t>
            </w:r>
            <w:r>
              <w:rPr>
                <w:rFonts w:ascii="Times New Roman" w:hAnsi="Times New Roman" w:eastAsia="仿宋"/>
                <w:highlight w:val="none"/>
              </w:rPr>
              <w:t>8</w:t>
            </w:r>
            <w:r>
              <w:rPr>
                <w:rFonts w:hint="eastAsia" w:ascii="Times New Roman" w:hAnsi="Times New Roman" w:eastAsia="仿宋"/>
                <w:highlight w:val="none"/>
              </w:rPr>
              <w:t>平方公里，三维激光扫描测量</w:t>
            </w:r>
            <w:r>
              <w:rPr>
                <w:rFonts w:ascii="Times New Roman" w:hAnsi="Times New Roman" w:eastAsia="仿宋"/>
                <w:highlight w:val="none"/>
              </w:rPr>
              <w:t>10</w:t>
            </w:r>
            <w:r>
              <w:rPr>
                <w:rFonts w:hint="eastAsia" w:ascii="Times New Roman" w:hAnsi="Times New Roman" w:eastAsia="仿宋"/>
                <w:highlight w:val="none"/>
              </w:rPr>
              <w:t>处隐患点。</w:t>
            </w:r>
          </w:p>
          <w:p>
            <w:pPr>
              <w:ind w:firstLine="480" w:firstLineChars="200"/>
              <w:jc w:val="left"/>
              <w:rPr>
                <w:rFonts w:ascii="Times New Roman" w:hAnsi="Times New Roman" w:eastAsia="仿宋"/>
                <w:sz w:val="24"/>
                <w:highlight w:val="none"/>
              </w:rPr>
            </w:pPr>
            <w:r>
              <w:rPr>
                <w:rFonts w:ascii="Times New Roman" w:hAnsi="Times New Roman" w:eastAsia="仿宋"/>
                <w:sz w:val="24"/>
                <w:highlight w:val="none"/>
              </w:rPr>
              <w:t>五、项目成果要求</w:t>
            </w:r>
          </w:p>
          <w:p>
            <w:pPr>
              <w:spacing w:line="360" w:lineRule="auto"/>
              <w:ind w:firstLine="420" w:firstLineChars="200"/>
              <w:rPr>
                <w:rFonts w:ascii="Times New Roman" w:hAnsi="Times New Roman" w:eastAsia="仿宋"/>
                <w:highlight w:val="none"/>
                <w:lang w:eastAsia="zh"/>
              </w:rPr>
            </w:pPr>
            <w:r>
              <w:rPr>
                <w:rFonts w:ascii="Times New Roman" w:hAnsi="Times New Roman" w:eastAsia="仿宋"/>
                <w:highlight w:val="none"/>
                <w:lang w:eastAsia="zh"/>
              </w:rPr>
              <w:t>各部分工作成果</w:t>
            </w:r>
            <w:r>
              <w:rPr>
                <w:rFonts w:hint="eastAsia" w:ascii="Times New Roman" w:hAnsi="Times New Roman" w:eastAsia="仿宋"/>
                <w:highlight w:val="none"/>
                <w:lang w:val="en-US" w:eastAsia="zh-CN"/>
              </w:rPr>
              <w:t>及</w:t>
            </w:r>
            <w:r>
              <w:rPr>
                <w:rFonts w:ascii="Times New Roman" w:hAnsi="Times New Roman" w:eastAsia="仿宋"/>
                <w:highlight w:val="none"/>
                <w:lang w:eastAsia="zh"/>
              </w:rPr>
              <w:t>格式</w:t>
            </w:r>
            <w:r>
              <w:rPr>
                <w:rFonts w:hint="eastAsia" w:ascii="Times New Roman" w:hAnsi="Times New Roman" w:eastAsia="仿宋"/>
                <w:highlight w:val="none"/>
                <w:lang w:val="en-US" w:eastAsia="zh-CN"/>
              </w:rPr>
              <w:t>要求如下</w:t>
            </w:r>
            <w:r>
              <w:rPr>
                <w:rFonts w:ascii="Times New Roman" w:hAnsi="Times New Roman" w:eastAsia="仿宋"/>
                <w:highlight w:val="none"/>
                <w:lang w:eastAsia="zh"/>
              </w:rPr>
              <w:t>，所有成果均要求通过局专题会议审议。</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年度地质灾害气象风险预警产品（短信、电视台字幕、传真），excel格式，电子、纸质，数量2</w:t>
            </w:r>
            <w:r>
              <w:rPr>
                <w:rFonts w:hint="eastAsia" w:ascii="Times New Roman" w:hAnsi="Times New Roman" w:eastAsia="仿宋"/>
                <w:highlight w:val="none"/>
                <w:lang w:eastAsia="zh-CN"/>
              </w:rPr>
              <w:t>；</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《2026年度地质灾害气象风险预警及系统维护工作总结报告》，word格式，电子、纸质，数量2；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《2026年度地质灾害防治基层人员防治技能提升工作总结》，word格式，电子、纸质，数量2；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地质灾害和危险边坡防治专题宣贯资料和讲义等，word/ppt格式，电子、纸质，数量2；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 xml:space="preserve">现场照片或视频记录，jpg/png/mp4等格式，电子，数量2；    </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编制6期监测简报，word格式，电子、纸质，数量2；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编制《2026年度深圳市海水入侵灾害监测报告》，word格式，电子、纸质，数量2；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《地质灾害和危险边坡防治工作技术支撑工作总结》，word格式，电子、纸质，数量2；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无人机倾斜摄影三维模型，OSGB格式，2000大地坐标系，预计8平方公里，电子，数量2；</w:t>
            </w:r>
          </w:p>
          <w:p>
            <w:pPr>
              <w:numPr>
                <w:ilvl w:val="0"/>
                <w:numId w:val="7"/>
              </w:numPr>
              <w:spacing w:line="360" w:lineRule="auto"/>
              <w:rPr>
                <w:rFonts w:hint="eastAsia" w:ascii="Times New Roman" w:hAnsi="Times New Roman" w:eastAsia="仿宋"/>
                <w:highlight w:val="none"/>
                <w:lang w:eastAsia="zh"/>
              </w:rPr>
            </w:pPr>
            <w:r>
              <w:rPr>
                <w:rFonts w:hint="eastAsia" w:ascii="Times New Roman" w:hAnsi="Times New Roman" w:eastAsia="仿宋"/>
                <w:highlight w:val="none"/>
                <w:lang w:eastAsia="zh"/>
              </w:rPr>
              <w:t>激光雷达点云数据，LAS格式，2000大地坐标系，预计扫描测量10处隐患点，电子，数量2；</w:t>
            </w:r>
          </w:p>
          <w:p>
            <w:pPr>
              <w:numPr>
                <w:ilvl w:val="0"/>
                <w:numId w:val="7"/>
              </w:numPr>
              <w:spacing w:line="360" w:lineRule="auto"/>
              <w:rPr>
                <w:rFonts w:ascii="Times New Roman" w:hAnsi="Times New Roman" w:eastAsia="仿宋"/>
                <w:szCs w:val="21"/>
                <w:highlight w:val="none"/>
              </w:rPr>
            </w:pPr>
            <w:r>
              <w:rPr>
                <w:rFonts w:hint="eastAsia" w:ascii="Times New Roman" w:hAnsi="Times New Roman" w:eastAsia="仿宋"/>
                <w:highlight w:val="none"/>
                <w:lang w:eastAsia="zh"/>
              </w:rPr>
              <w:t>数据说明文件，word格式，电子、纸质，数量2</w:t>
            </w:r>
            <w:r>
              <w:rPr>
                <w:rFonts w:ascii="Times New Roman" w:hAnsi="Times New Roman" w:eastAsia="仿宋"/>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1560" w:type="dxa"/>
          </w:tcPr>
          <w:p>
            <w:pPr>
              <w:jc w:val="left"/>
              <w:rPr>
                <w:rFonts w:ascii="Times New Roman" w:hAnsi="Times New Roman" w:eastAsia="仿宋"/>
                <w:kern w:val="0"/>
                <w:szCs w:val="21"/>
                <w:highlight w:val="none"/>
              </w:rPr>
            </w:pPr>
            <w:r>
              <w:rPr>
                <w:rFonts w:ascii="Times New Roman" w:hAnsi="Times New Roman" w:eastAsia="仿宋"/>
                <w:kern w:val="0"/>
                <w:szCs w:val="21"/>
                <w:highlight w:val="none"/>
              </w:rPr>
              <w:t>商务需求</w:t>
            </w:r>
          </w:p>
        </w:tc>
        <w:tc>
          <w:tcPr>
            <w:tcW w:w="7407" w:type="dxa"/>
            <w:gridSpan w:val="4"/>
          </w:tcPr>
          <w:p>
            <w:pPr>
              <w:ind w:firstLine="480" w:firstLineChars="200"/>
              <w:rPr>
                <w:rFonts w:ascii="Times New Roman" w:hAnsi="Times New Roman" w:eastAsia="仿宋"/>
                <w:sz w:val="24"/>
                <w:highlight w:val="none"/>
              </w:rPr>
            </w:pPr>
            <w:r>
              <w:rPr>
                <w:rFonts w:ascii="Times New Roman" w:hAnsi="Times New Roman" w:eastAsia="仿宋"/>
                <w:sz w:val="24"/>
                <w:highlight w:val="none"/>
              </w:rPr>
              <w:t>一、完成期限</w:t>
            </w:r>
          </w:p>
          <w:p>
            <w:pPr>
              <w:ind w:firstLine="420" w:firstLineChars="200"/>
              <w:rPr>
                <w:rFonts w:ascii="Times New Roman" w:hAnsi="Times New Roman" w:eastAsia="仿宋"/>
                <w:sz w:val="24"/>
                <w:highlight w:val="none"/>
              </w:rPr>
            </w:pPr>
            <w:r>
              <w:rPr>
                <w:rFonts w:hint="eastAsia" w:ascii="Times New Roman" w:hAnsi="Times New Roman" w:eastAsia="仿宋"/>
                <w:highlight w:val="none"/>
              </w:rPr>
              <w:t>本项目工作期限为自合同签订之日起12个月内完成。</w:t>
            </w:r>
          </w:p>
          <w:p>
            <w:pPr>
              <w:ind w:firstLine="480" w:firstLineChars="200"/>
              <w:rPr>
                <w:rFonts w:ascii="Times New Roman" w:hAnsi="Times New Roman" w:eastAsia="仿宋"/>
                <w:sz w:val="24"/>
                <w:highlight w:val="none"/>
              </w:rPr>
            </w:pPr>
            <w:r>
              <w:rPr>
                <w:rFonts w:ascii="Times New Roman" w:hAnsi="Times New Roman" w:eastAsia="仿宋"/>
                <w:sz w:val="24"/>
                <w:highlight w:val="none"/>
              </w:rPr>
              <w:t>二、组织实施</w:t>
            </w:r>
          </w:p>
          <w:p>
            <w:pPr>
              <w:spacing w:line="360" w:lineRule="auto"/>
              <w:ind w:firstLine="420" w:firstLineChars="200"/>
              <w:rPr>
                <w:rFonts w:ascii="Times New Roman" w:hAnsi="Times New Roman" w:eastAsia="仿宋"/>
                <w:highlight w:val="none"/>
              </w:rPr>
            </w:pPr>
            <w:r>
              <w:rPr>
                <w:rFonts w:ascii="Times New Roman" w:hAnsi="Times New Roman" w:eastAsia="仿宋"/>
                <w:highlight w:val="none"/>
              </w:rPr>
              <w:t>为确保本次招标项目管理规范、实施有力，中标方应成立项目组，按采购单位要求完成项目成果。</w:t>
            </w:r>
          </w:p>
          <w:p>
            <w:pPr>
              <w:spacing w:line="360" w:lineRule="auto"/>
              <w:ind w:firstLine="420" w:firstLineChars="200"/>
              <w:rPr>
                <w:rFonts w:ascii="Times New Roman" w:hAnsi="Times New Roman" w:eastAsia="仿宋"/>
                <w:highlight w:val="none"/>
              </w:rPr>
            </w:pPr>
            <w:r>
              <w:rPr>
                <w:rFonts w:ascii="Times New Roman" w:hAnsi="Times New Roman" w:eastAsia="仿宋"/>
                <w:highlight w:val="none"/>
              </w:rPr>
              <w:t>中标方须配合采购方组织、举办本项目各工作阶段的汇报、审查、研讨、意见征集和专家咨询等工作，并负责解答相关问题。</w:t>
            </w:r>
          </w:p>
          <w:p>
            <w:pPr>
              <w:ind w:firstLine="480" w:firstLineChars="200"/>
              <w:rPr>
                <w:rFonts w:ascii="Times New Roman" w:hAnsi="Times New Roman" w:eastAsia="仿宋"/>
                <w:sz w:val="24"/>
                <w:highlight w:val="none"/>
              </w:rPr>
            </w:pPr>
            <w:r>
              <w:rPr>
                <w:rFonts w:ascii="Times New Roman" w:hAnsi="Times New Roman" w:eastAsia="仿宋"/>
                <w:sz w:val="24"/>
                <w:highlight w:val="none"/>
              </w:rPr>
              <w:t>三、成果验收</w:t>
            </w:r>
          </w:p>
          <w:p>
            <w:pPr>
              <w:spacing w:line="360" w:lineRule="auto"/>
              <w:ind w:firstLine="420" w:firstLineChars="200"/>
              <w:rPr>
                <w:rFonts w:ascii="Times New Roman" w:hAnsi="Times New Roman" w:eastAsia="仿宋"/>
                <w:highlight w:val="none"/>
              </w:rPr>
            </w:pPr>
            <w:r>
              <w:rPr>
                <w:rFonts w:ascii="Times New Roman" w:hAnsi="Times New Roman" w:eastAsia="仿宋"/>
                <w:highlight w:val="none"/>
              </w:rPr>
              <w:t>验收由深圳市规划和自然资源局组织审查通过，服务方应在项目验收时提交给采购方满足评审要求、工作需要的各阶段研究成果纸质文件和电子文件。</w:t>
            </w:r>
          </w:p>
          <w:p>
            <w:pPr>
              <w:ind w:firstLine="480" w:firstLineChars="200"/>
              <w:rPr>
                <w:rFonts w:ascii="Times New Roman" w:hAnsi="Times New Roman" w:eastAsia="仿宋"/>
                <w:sz w:val="24"/>
                <w:highlight w:val="none"/>
              </w:rPr>
            </w:pPr>
            <w:r>
              <w:rPr>
                <w:rFonts w:ascii="Times New Roman" w:hAnsi="Times New Roman" w:eastAsia="仿宋"/>
                <w:sz w:val="24"/>
                <w:highlight w:val="none"/>
              </w:rPr>
              <w:t xml:space="preserve">四、售后服务要求  </w:t>
            </w:r>
          </w:p>
          <w:p>
            <w:pPr>
              <w:spacing w:line="360" w:lineRule="auto"/>
              <w:ind w:firstLine="420" w:firstLineChars="200"/>
              <w:rPr>
                <w:rFonts w:ascii="Times New Roman" w:hAnsi="Times New Roman" w:eastAsia="仿宋"/>
                <w:kern w:val="0"/>
                <w:szCs w:val="21"/>
                <w:highlight w:val="none"/>
              </w:rPr>
            </w:pPr>
            <w:r>
              <w:rPr>
                <w:rFonts w:ascii="Times New Roman" w:hAnsi="Times New Roman" w:eastAsia="仿宋"/>
                <w:szCs w:val="21"/>
                <w:highlight w:val="none"/>
              </w:rPr>
              <w:t>中标方应按照合同规定，在限定期限内完成该项目的编制、汇报、审查等工作。项目售后服务期限自最终成果提交采购方之日起的</w:t>
            </w:r>
            <w:r>
              <w:rPr>
                <w:rFonts w:hint="eastAsia" w:ascii="Times New Roman" w:hAnsi="Times New Roman" w:eastAsia="仿宋"/>
                <w:szCs w:val="21"/>
                <w:highlight w:val="none"/>
                <w:lang w:eastAsia="zh-CN"/>
              </w:rPr>
              <w:t>2</w:t>
            </w:r>
            <w:r>
              <w:rPr>
                <w:rFonts w:ascii="Times New Roman" w:hAnsi="Times New Roman" w:eastAsia="仿宋"/>
                <w:szCs w:val="21"/>
                <w:highlight w:val="none"/>
              </w:rPr>
              <w:t>年内，中标方须与采购方保持密切沟通，随时跟进项目后续的服务需求，为项目成果提供相关技术支持。</w:t>
            </w:r>
          </w:p>
          <w:p>
            <w:pPr>
              <w:ind w:firstLine="480" w:firstLineChars="200"/>
              <w:rPr>
                <w:rFonts w:ascii="Times New Roman" w:hAnsi="Times New Roman" w:eastAsia="仿宋"/>
                <w:sz w:val="24"/>
                <w:highlight w:val="none"/>
              </w:rPr>
            </w:pPr>
            <w:r>
              <w:rPr>
                <w:rFonts w:ascii="Times New Roman" w:hAnsi="Times New Roman" w:eastAsia="仿宋"/>
                <w:sz w:val="24"/>
                <w:highlight w:val="none"/>
              </w:rPr>
              <w:t>五、投标报价要求</w:t>
            </w:r>
          </w:p>
          <w:p>
            <w:pPr>
              <w:spacing w:line="360" w:lineRule="auto"/>
              <w:ind w:firstLine="420" w:firstLineChars="200"/>
              <w:jc w:val="left"/>
              <w:rPr>
                <w:rFonts w:ascii="Times New Roman" w:hAnsi="Times New Roman" w:eastAsia="仿宋"/>
                <w:highlight w:val="none"/>
              </w:rPr>
            </w:pPr>
            <w:r>
              <w:rPr>
                <w:rFonts w:ascii="Times New Roman" w:hAnsi="Times New Roman" w:eastAsia="仿宋"/>
                <w:highlight w:val="none"/>
              </w:rPr>
              <w:t xml:space="preserve">1. </w:t>
            </w:r>
            <w:r>
              <w:rPr>
                <w:rFonts w:ascii="Times New Roman" w:hAnsi="Times New Roman" w:eastAsia="仿宋"/>
                <w:szCs w:val="21"/>
                <w:highlight w:val="none"/>
              </w:rPr>
              <w:t>依据《深圳市规划和自然资源局项目预算标准》《深圳市市级机关培训费管理办法》《2022年深圳市人力资源市场工资价位及行业人工成本信息》、《工程勘察服务成本要素信息（2022版）》等规定报价；</w:t>
            </w:r>
          </w:p>
          <w:p>
            <w:pPr>
              <w:spacing w:line="360" w:lineRule="auto"/>
              <w:ind w:firstLine="420" w:firstLineChars="200"/>
              <w:rPr>
                <w:rFonts w:ascii="Times New Roman" w:hAnsi="Times New Roman" w:eastAsia="仿宋"/>
                <w:highlight w:val="none"/>
              </w:rPr>
            </w:pPr>
            <w:r>
              <w:rPr>
                <w:rFonts w:ascii="Times New Roman" w:hAnsi="Times New Roman" w:eastAsia="仿宋"/>
                <w:highlight w:val="none"/>
              </w:rPr>
              <w:t>2. 投标方应提供报价详细清单（含报价依据及其详细计算过程等）；</w:t>
            </w:r>
          </w:p>
          <w:p>
            <w:pPr>
              <w:ind w:firstLine="480" w:firstLineChars="200"/>
              <w:rPr>
                <w:rFonts w:ascii="Times New Roman" w:hAnsi="Times New Roman" w:eastAsia="仿宋"/>
                <w:sz w:val="24"/>
                <w:highlight w:val="none"/>
              </w:rPr>
            </w:pPr>
            <w:r>
              <w:rPr>
                <w:rFonts w:ascii="Times New Roman" w:hAnsi="Times New Roman" w:eastAsia="仿宋"/>
                <w:sz w:val="24"/>
                <w:highlight w:val="none"/>
              </w:rPr>
              <w:t>六、项目成果归属</w:t>
            </w:r>
          </w:p>
          <w:p>
            <w:pPr>
              <w:widowControl/>
              <w:spacing w:line="360" w:lineRule="auto"/>
              <w:ind w:firstLine="420" w:firstLineChars="200"/>
              <w:jc w:val="left"/>
              <w:rPr>
                <w:rFonts w:ascii="Times New Roman" w:hAnsi="Times New Roman" w:eastAsia="仿宋"/>
                <w:szCs w:val="21"/>
                <w:highlight w:val="none"/>
              </w:rPr>
            </w:pPr>
            <w:r>
              <w:rPr>
                <w:rFonts w:ascii="Times New Roman" w:hAnsi="Times New Roman" w:eastAsia="仿宋"/>
                <w:szCs w:val="21"/>
                <w:highlight w:val="none"/>
              </w:rPr>
              <w:t>项目成果产权归采购方所有，中标方享有利用项目中间成果或最终成果用于学术研究、发表论文或著作和以受托人的身份利用采购方已公开的成果对外宣传的权利。</w:t>
            </w:r>
          </w:p>
          <w:p>
            <w:pPr>
              <w:ind w:firstLine="205" w:firstLineChars="98"/>
              <w:jc w:val="left"/>
              <w:rPr>
                <w:rFonts w:ascii="Times New Roman" w:hAnsi="Times New Roman" w:eastAsia="仿宋"/>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pPr>
              <w:jc w:val="center"/>
              <w:rPr>
                <w:rFonts w:ascii="Times New Roman" w:hAnsi="Times New Roman" w:eastAsia="仿宋"/>
                <w:kern w:val="0"/>
                <w:szCs w:val="21"/>
                <w:highlight w:val="none"/>
              </w:rPr>
            </w:pPr>
            <w:r>
              <w:rPr>
                <w:rFonts w:ascii="Times New Roman" w:hAnsi="Times New Roman" w:eastAsia="仿宋"/>
                <w:kern w:val="0"/>
                <w:szCs w:val="21"/>
                <w:highlight w:val="none"/>
              </w:rPr>
              <w:t>其他要求</w:t>
            </w:r>
          </w:p>
        </w:tc>
        <w:tc>
          <w:tcPr>
            <w:tcW w:w="7407" w:type="dxa"/>
            <w:gridSpan w:val="4"/>
          </w:tcPr>
          <w:p>
            <w:pPr>
              <w:jc w:val="left"/>
              <w:rPr>
                <w:rFonts w:ascii="Times New Roman" w:hAnsi="Times New Roman" w:eastAsia="仿宋"/>
                <w:kern w:val="0"/>
                <w:szCs w:val="21"/>
                <w:highlight w:val="none"/>
              </w:rPr>
            </w:pPr>
            <w:r>
              <w:rPr>
                <w:rFonts w:ascii="Times New Roman" w:hAnsi="Times New Roman" w:eastAsia="仿宋"/>
                <w:b/>
                <w:szCs w:val="21"/>
                <w:highlight w:val="none"/>
              </w:rPr>
              <w:t>特定供应商的名称、项目负责人及联系方式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pPr>
              <w:jc w:val="left"/>
              <w:rPr>
                <w:rFonts w:ascii="Times New Roman" w:hAnsi="Times New Roman" w:eastAsia="仿宋"/>
                <w:kern w:val="0"/>
                <w:szCs w:val="21"/>
                <w:highlight w:val="none"/>
              </w:rPr>
            </w:pPr>
          </w:p>
        </w:tc>
        <w:tc>
          <w:tcPr>
            <w:tcW w:w="850" w:type="dxa"/>
            <w:vMerge w:val="restart"/>
          </w:tcPr>
          <w:p>
            <w:pPr>
              <w:jc w:val="left"/>
              <w:rPr>
                <w:rFonts w:ascii="Times New Roman" w:hAnsi="Times New Roman" w:eastAsia="仿宋"/>
                <w:bCs/>
                <w:kern w:val="0"/>
                <w:szCs w:val="21"/>
                <w:highlight w:val="none"/>
              </w:rPr>
            </w:pPr>
            <w:r>
              <w:rPr>
                <w:rFonts w:ascii="Times New Roman" w:hAnsi="Times New Roman" w:eastAsia="仿宋"/>
                <w:bCs/>
                <w:szCs w:val="21"/>
                <w:highlight w:val="none"/>
              </w:rPr>
              <w:t>特定供应商</w:t>
            </w:r>
          </w:p>
        </w:tc>
        <w:tc>
          <w:tcPr>
            <w:tcW w:w="6557" w:type="dxa"/>
            <w:gridSpan w:val="3"/>
          </w:tcPr>
          <w:p>
            <w:pPr>
              <w:jc w:val="left"/>
              <w:rPr>
                <w:rFonts w:ascii="Times New Roman" w:hAnsi="Times New Roman" w:eastAsia="仿宋"/>
                <w:bCs/>
                <w:kern w:val="0"/>
                <w:szCs w:val="21"/>
                <w:highlight w:val="none"/>
              </w:rPr>
            </w:pPr>
            <w:r>
              <w:rPr>
                <w:rFonts w:ascii="Times New Roman" w:hAnsi="Times New Roman" w:eastAsia="仿宋"/>
                <w:bCs/>
                <w:szCs w:val="21"/>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pPr>
              <w:jc w:val="left"/>
              <w:rPr>
                <w:rFonts w:ascii="Times New Roman" w:hAnsi="Times New Roman" w:eastAsia="仿宋"/>
                <w:kern w:val="0"/>
                <w:szCs w:val="21"/>
                <w:highlight w:val="none"/>
              </w:rPr>
            </w:pPr>
          </w:p>
        </w:tc>
        <w:tc>
          <w:tcPr>
            <w:tcW w:w="850" w:type="dxa"/>
            <w:vMerge w:val="continue"/>
          </w:tcPr>
          <w:p>
            <w:pPr>
              <w:jc w:val="left"/>
              <w:rPr>
                <w:rFonts w:ascii="Times New Roman" w:hAnsi="Times New Roman" w:eastAsia="仿宋"/>
                <w:bCs/>
                <w:kern w:val="0"/>
                <w:szCs w:val="21"/>
                <w:highlight w:val="none"/>
              </w:rPr>
            </w:pPr>
          </w:p>
        </w:tc>
        <w:tc>
          <w:tcPr>
            <w:tcW w:w="6557" w:type="dxa"/>
            <w:gridSpan w:val="3"/>
          </w:tcPr>
          <w:p>
            <w:pPr>
              <w:jc w:val="left"/>
              <w:rPr>
                <w:rFonts w:ascii="Times New Roman" w:hAnsi="Times New Roman" w:eastAsia="仿宋"/>
                <w:bCs/>
                <w:kern w:val="0"/>
                <w:szCs w:val="21"/>
                <w:highlight w:val="none"/>
              </w:rPr>
            </w:pPr>
            <w:r>
              <w:rPr>
                <w:rFonts w:ascii="Times New Roman" w:hAnsi="Times New Roman" w:eastAsia="仿宋"/>
                <w:bCs/>
                <w:szCs w:val="21"/>
                <w:highlight w:val="none"/>
              </w:rPr>
              <w:t>项目经办人：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pPr>
              <w:jc w:val="left"/>
              <w:rPr>
                <w:rFonts w:ascii="Times New Roman" w:hAnsi="Times New Roman" w:eastAsia="仿宋"/>
                <w:kern w:val="0"/>
                <w:szCs w:val="21"/>
                <w:highlight w:val="none"/>
              </w:rPr>
            </w:pPr>
          </w:p>
        </w:tc>
        <w:tc>
          <w:tcPr>
            <w:tcW w:w="850" w:type="dxa"/>
            <w:vMerge w:val="continue"/>
          </w:tcPr>
          <w:p>
            <w:pPr>
              <w:jc w:val="left"/>
              <w:rPr>
                <w:rFonts w:ascii="Times New Roman" w:hAnsi="Times New Roman" w:eastAsia="仿宋"/>
                <w:bCs/>
                <w:kern w:val="0"/>
                <w:szCs w:val="21"/>
                <w:highlight w:val="none"/>
              </w:rPr>
            </w:pPr>
          </w:p>
        </w:tc>
        <w:tc>
          <w:tcPr>
            <w:tcW w:w="6557" w:type="dxa"/>
            <w:gridSpan w:val="3"/>
          </w:tcPr>
          <w:p>
            <w:pPr>
              <w:jc w:val="left"/>
              <w:rPr>
                <w:rFonts w:ascii="Times New Roman" w:hAnsi="Times New Roman" w:eastAsia="仿宋"/>
                <w:bCs/>
                <w:kern w:val="0"/>
                <w:szCs w:val="21"/>
                <w:highlight w:val="none"/>
              </w:rPr>
            </w:pPr>
            <w:r>
              <w:rPr>
                <w:rFonts w:ascii="Times New Roman" w:hAnsi="Times New Roman" w:eastAsia="仿宋"/>
                <w:bCs/>
                <w:szCs w:val="21"/>
                <w:highlight w:val="none"/>
              </w:rPr>
              <w:t>联系电话：</w:t>
            </w:r>
          </w:p>
        </w:tc>
      </w:tr>
    </w:tbl>
    <w:p>
      <w:pPr>
        <w:spacing w:line="360" w:lineRule="exact"/>
        <w:jc w:val="left"/>
        <w:outlineLvl w:val="0"/>
        <w:rPr>
          <w:rFonts w:hint="eastAsia" w:ascii="仿宋" w:hAnsi="仿宋" w:eastAsia="仿宋"/>
          <w:bCs/>
          <w:szCs w:val="21"/>
        </w:rPr>
      </w:pPr>
      <w:r>
        <w:rPr>
          <w:rFonts w:hint="eastAsia" w:ascii="仿宋" w:hAnsi="仿宋" w:eastAsia="仿宋"/>
          <w:bCs/>
          <w:szCs w:val="21"/>
        </w:rPr>
        <w:t>注：</w:t>
      </w:r>
    </w:p>
    <w:p>
      <w:pPr>
        <w:spacing w:line="360" w:lineRule="exact"/>
        <w:jc w:val="left"/>
        <w:rPr>
          <w:rFonts w:hint="eastAsia" w:ascii="仿宋" w:hAnsi="仿宋" w:eastAsia="仿宋"/>
          <w:bCs/>
          <w:szCs w:val="21"/>
        </w:rPr>
      </w:pPr>
      <w:r>
        <w:rPr>
          <w:rFonts w:hint="eastAsia" w:ascii="仿宋" w:hAnsi="仿宋" w:eastAsia="仿宋"/>
          <w:bCs/>
          <w:szCs w:val="21"/>
        </w:rPr>
        <w:t>1.带“*”号的为必填表内容，其他内容可根据项目作适当增减。</w:t>
      </w:r>
    </w:p>
    <w:p>
      <w:pPr>
        <w:spacing w:line="360" w:lineRule="exact"/>
        <w:jc w:val="left"/>
        <w:rPr>
          <w:rFonts w:hint="eastAsia" w:ascii="仿宋" w:hAnsi="仿宋" w:eastAsia="仿宋"/>
          <w:bCs/>
          <w:szCs w:val="21"/>
        </w:rPr>
      </w:pPr>
      <w:r>
        <w:rPr>
          <w:rFonts w:hint="eastAsia" w:ascii="仿宋" w:hAnsi="仿宋" w:eastAsia="仿宋"/>
          <w:bCs/>
          <w:szCs w:val="21"/>
        </w:rPr>
        <w:t>2.其他要求栏目仅适用非公开招标采购方式项目，采购推荐供应商名单必须经过主管科室报批，并将主管科室批复材料提交至采购中心。根据采购条例第十九条规定适用非公开招标方式需要公示的，应同时向采购中心提交公示的证明材料。</w:t>
      </w:r>
    </w:p>
    <w:p>
      <w:pPr>
        <w:spacing w:line="360" w:lineRule="exact"/>
        <w:rPr>
          <w:rFonts w:hint="eastAsia" w:ascii="仿宋" w:hAnsi="仿宋" w:eastAsia="仿宋"/>
          <w:bCs/>
          <w:szCs w:val="21"/>
        </w:rPr>
      </w:pPr>
      <w:r>
        <w:rPr>
          <w:rFonts w:hint="eastAsia" w:ascii="仿宋" w:hAnsi="仿宋" w:eastAsia="仿宋"/>
          <w:bCs/>
          <w:szCs w:val="21"/>
        </w:rPr>
        <w:t>3.采购单位以上填报的商务条款、技术条款若存在倾向性或不公正性条款，由此引起的不良后果将由采购单位自行承担。</w:t>
      </w:r>
    </w:p>
    <w:p>
      <w:r>
        <w:rPr>
          <w:rFonts w:hint="eastAsia" w:ascii="仿宋" w:hAnsi="仿宋" w:eastAsia="仿宋" w:cs="仿宋"/>
          <w:szCs w:val="21"/>
        </w:rPr>
        <w:t>4.项目需要提供带车服务的，需核查中标单位提供的车型，避免租用豪华或超标准车型。</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B1186"/>
    <w:multiLevelType w:val="singleLevel"/>
    <w:tmpl w:val="801B1186"/>
    <w:lvl w:ilvl="0" w:tentative="0">
      <w:start w:val="1"/>
      <w:numFmt w:val="decimal"/>
      <w:lvlText w:val="(%1)"/>
      <w:lvlJc w:val="left"/>
      <w:pPr>
        <w:ind w:left="425" w:hanging="425"/>
      </w:pPr>
      <w:rPr>
        <w:rFonts w:hint="default"/>
      </w:rPr>
    </w:lvl>
  </w:abstractNum>
  <w:abstractNum w:abstractNumId="1">
    <w:nsid w:val="86832454"/>
    <w:multiLevelType w:val="singleLevel"/>
    <w:tmpl w:val="86832454"/>
    <w:lvl w:ilvl="0" w:tentative="0">
      <w:start w:val="1"/>
      <w:numFmt w:val="decimal"/>
      <w:lvlText w:val="(%1)"/>
      <w:lvlJc w:val="left"/>
      <w:pPr>
        <w:ind w:left="425" w:hanging="425"/>
      </w:pPr>
      <w:rPr>
        <w:rFonts w:hint="default"/>
        <w:sz w:val="20"/>
        <w:szCs w:val="20"/>
      </w:rPr>
    </w:lvl>
  </w:abstractNum>
  <w:abstractNum w:abstractNumId="2">
    <w:nsid w:val="99F05A78"/>
    <w:multiLevelType w:val="singleLevel"/>
    <w:tmpl w:val="99F05A78"/>
    <w:lvl w:ilvl="0" w:tentative="0">
      <w:start w:val="1"/>
      <w:numFmt w:val="decimal"/>
      <w:lvlText w:val="%1."/>
      <w:lvlJc w:val="left"/>
      <w:pPr>
        <w:ind w:left="425" w:hanging="425"/>
      </w:pPr>
      <w:rPr>
        <w:rFonts w:hint="default"/>
        <w:b w:val="0"/>
        <w:bCs w:val="0"/>
        <w:color w:val="auto"/>
        <w:highlight w:val="none"/>
      </w:rPr>
    </w:lvl>
  </w:abstractNum>
  <w:abstractNum w:abstractNumId="3">
    <w:nsid w:val="291833EC"/>
    <w:multiLevelType w:val="singleLevel"/>
    <w:tmpl w:val="291833EC"/>
    <w:lvl w:ilvl="0" w:tentative="0">
      <w:start w:val="1"/>
      <w:numFmt w:val="decimal"/>
      <w:lvlText w:val="(%1)"/>
      <w:lvlJc w:val="left"/>
      <w:pPr>
        <w:ind w:left="425" w:hanging="425"/>
      </w:pPr>
      <w:rPr>
        <w:rFonts w:hint="default"/>
      </w:rPr>
    </w:lvl>
  </w:abstractNum>
  <w:abstractNum w:abstractNumId="4">
    <w:nsid w:val="2E5BAC6D"/>
    <w:multiLevelType w:val="singleLevel"/>
    <w:tmpl w:val="2E5BAC6D"/>
    <w:lvl w:ilvl="0" w:tentative="0">
      <w:start w:val="1"/>
      <w:numFmt w:val="decimal"/>
      <w:lvlText w:val="%1."/>
      <w:lvlJc w:val="left"/>
      <w:pPr>
        <w:ind w:left="425" w:hanging="425"/>
      </w:pPr>
      <w:rPr>
        <w:rFonts w:hint="default"/>
      </w:rPr>
    </w:lvl>
  </w:abstractNum>
  <w:abstractNum w:abstractNumId="5">
    <w:nsid w:val="315FD6EE"/>
    <w:multiLevelType w:val="singleLevel"/>
    <w:tmpl w:val="315FD6EE"/>
    <w:lvl w:ilvl="0" w:tentative="0">
      <w:start w:val="1"/>
      <w:numFmt w:val="decimal"/>
      <w:lvlText w:val="(%1)"/>
      <w:lvlJc w:val="left"/>
      <w:pPr>
        <w:ind w:left="425" w:hanging="425"/>
      </w:pPr>
      <w:rPr>
        <w:rFonts w:hint="default"/>
        <w:sz w:val="20"/>
        <w:szCs w:val="20"/>
      </w:rPr>
    </w:lvl>
  </w:abstractNum>
  <w:abstractNum w:abstractNumId="6">
    <w:nsid w:val="729C8D76"/>
    <w:multiLevelType w:val="singleLevel"/>
    <w:tmpl w:val="729C8D76"/>
    <w:lvl w:ilvl="0" w:tentative="0">
      <w:start w:val="1"/>
      <w:numFmt w:val="decimal"/>
      <w:suff w:val="space"/>
      <w:lvlText w:val="%1."/>
      <w:lvlJc w:val="left"/>
      <w:pPr>
        <w:ind w:left="845" w:hanging="425"/>
      </w:pPr>
      <w:rPr>
        <w:rFonts w:hint="default"/>
        <w:b w:val="0"/>
        <w:bCs w:val="0"/>
        <w:color w:val="auto"/>
      </w:rPr>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37C0D"/>
    <w:rsid w:val="001A6F34"/>
    <w:rsid w:val="00377076"/>
    <w:rsid w:val="00463FFF"/>
    <w:rsid w:val="00550909"/>
    <w:rsid w:val="00600B43"/>
    <w:rsid w:val="00641A8F"/>
    <w:rsid w:val="006D5C6B"/>
    <w:rsid w:val="009002A4"/>
    <w:rsid w:val="00941B80"/>
    <w:rsid w:val="00A21562"/>
    <w:rsid w:val="00A32E14"/>
    <w:rsid w:val="00A9031A"/>
    <w:rsid w:val="00BE6CBA"/>
    <w:rsid w:val="00C0024F"/>
    <w:rsid w:val="00E41979"/>
    <w:rsid w:val="00FC0188"/>
    <w:rsid w:val="021254C2"/>
    <w:rsid w:val="024912E2"/>
    <w:rsid w:val="03E35AEF"/>
    <w:rsid w:val="03F34A9A"/>
    <w:rsid w:val="04A46DBF"/>
    <w:rsid w:val="04FD6504"/>
    <w:rsid w:val="05336716"/>
    <w:rsid w:val="055A2F00"/>
    <w:rsid w:val="064D26E6"/>
    <w:rsid w:val="06680D11"/>
    <w:rsid w:val="067509D9"/>
    <w:rsid w:val="07267E44"/>
    <w:rsid w:val="09064E5D"/>
    <w:rsid w:val="094361F2"/>
    <w:rsid w:val="096B4801"/>
    <w:rsid w:val="0A7E33C5"/>
    <w:rsid w:val="0B3526F7"/>
    <w:rsid w:val="0B835EE6"/>
    <w:rsid w:val="0BC875CD"/>
    <w:rsid w:val="0C8A5A23"/>
    <w:rsid w:val="0CCC4C4B"/>
    <w:rsid w:val="0E3E1F17"/>
    <w:rsid w:val="0EB421D9"/>
    <w:rsid w:val="0F272A69"/>
    <w:rsid w:val="0F5E2F43"/>
    <w:rsid w:val="0FED14FF"/>
    <w:rsid w:val="10A854E3"/>
    <w:rsid w:val="10AA3894"/>
    <w:rsid w:val="11445362"/>
    <w:rsid w:val="11592BC4"/>
    <w:rsid w:val="13021765"/>
    <w:rsid w:val="13AC4857"/>
    <w:rsid w:val="13DA4490"/>
    <w:rsid w:val="14D47131"/>
    <w:rsid w:val="183304C3"/>
    <w:rsid w:val="18B72C9A"/>
    <w:rsid w:val="1A0505BD"/>
    <w:rsid w:val="1B1801DD"/>
    <w:rsid w:val="1C0B5290"/>
    <w:rsid w:val="1DEF28E6"/>
    <w:rsid w:val="1E2223FC"/>
    <w:rsid w:val="1E57765B"/>
    <w:rsid w:val="1F4466F6"/>
    <w:rsid w:val="216367E8"/>
    <w:rsid w:val="216E446A"/>
    <w:rsid w:val="219B71B0"/>
    <w:rsid w:val="22396826"/>
    <w:rsid w:val="228C453A"/>
    <w:rsid w:val="23206172"/>
    <w:rsid w:val="23780CBF"/>
    <w:rsid w:val="2449211A"/>
    <w:rsid w:val="24A361D8"/>
    <w:rsid w:val="24B604BB"/>
    <w:rsid w:val="24C22B02"/>
    <w:rsid w:val="252B3B89"/>
    <w:rsid w:val="25E66CC5"/>
    <w:rsid w:val="25F413E1"/>
    <w:rsid w:val="26E74254"/>
    <w:rsid w:val="27634AAD"/>
    <w:rsid w:val="27C97CD5"/>
    <w:rsid w:val="28BB53DD"/>
    <w:rsid w:val="294C7E51"/>
    <w:rsid w:val="29542197"/>
    <w:rsid w:val="29916F47"/>
    <w:rsid w:val="2A3D4765"/>
    <w:rsid w:val="2AB4611E"/>
    <w:rsid w:val="2C1C43EC"/>
    <w:rsid w:val="2C6B1F6C"/>
    <w:rsid w:val="2C8608B9"/>
    <w:rsid w:val="2D6D5012"/>
    <w:rsid w:val="2E0223CE"/>
    <w:rsid w:val="316D642E"/>
    <w:rsid w:val="330C0FF8"/>
    <w:rsid w:val="339E1B9C"/>
    <w:rsid w:val="34401B48"/>
    <w:rsid w:val="3468501E"/>
    <w:rsid w:val="35424BEE"/>
    <w:rsid w:val="35F965A0"/>
    <w:rsid w:val="36B6A254"/>
    <w:rsid w:val="36C605ED"/>
    <w:rsid w:val="36E13395"/>
    <w:rsid w:val="36E16C19"/>
    <w:rsid w:val="36F942BF"/>
    <w:rsid w:val="374B30D7"/>
    <w:rsid w:val="37BEB230"/>
    <w:rsid w:val="3AA47F40"/>
    <w:rsid w:val="3BCB4B28"/>
    <w:rsid w:val="3C2B322B"/>
    <w:rsid w:val="3C6749A6"/>
    <w:rsid w:val="3CBC3E83"/>
    <w:rsid w:val="3D4C5207"/>
    <w:rsid w:val="3E0221C9"/>
    <w:rsid w:val="3E025A4C"/>
    <w:rsid w:val="3E0F04C2"/>
    <w:rsid w:val="3EDA33EE"/>
    <w:rsid w:val="3FCC6874"/>
    <w:rsid w:val="40A70071"/>
    <w:rsid w:val="40E37C31"/>
    <w:rsid w:val="41390A92"/>
    <w:rsid w:val="414A5F02"/>
    <w:rsid w:val="415470BD"/>
    <w:rsid w:val="42714011"/>
    <w:rsid w:val="448B2102"/>
    <w:rsid w:val="44F462AF"/>
    <w:rsid w:val="453B44A5"/>
    <w:rsid w:val="485F6737"/>
    <w:rsid w:val="48623B31"/>
    <w:rsid w:val="48E2140A"/>
    <w:rsid w:val="493F0316"/>
    <w:rsid w:val="4A140E14"/>
    <w:rsid w:val="4A4060F4"/>
    <w:rsid w:val="4A795555"/>
    <w:rsid w:val="4B94388F"/>
    <w:rsid w:val="4C6912E9"/>
    <w:rsid w:val="4CBF7B19"/>
    <w:rsid w:val="4D162BD2"/>
    <w:rsid w:val="4F1B7014"/>
    <w:rsid w:val="50B7737A"/>
    <w:rsid w:val="51EA4273"/>
    <w:rsid w:val="525B5E8B"/>
    <w:rsid w:val="52EC7319"/>
    <w:rsid w:val="533A4E9A"/>
    <w:rsid w:val="55124B31"/>
    <w:rsid w:val="559417F6"/>
    <w:rsid w:val="55F23D8E"/>
    <w:rsid w:val="56724A5C"/>
    <w:rsid w:val="56BF55C9"/>
    <w:rsid w:val="57427609"/>
    <w:rsid w:val="57781E36"/>
    <w:rsid w:val="58CA14BC"/>
    <w:rsid w:val="596C54BD"/>
    <w:rsid w:val="59863F8A"/>
    <w:rsid w:val="5A094754"/>
    <w:rsid w:val="5A197E8B"/>
    <w:rsid w:val="5A9C5F1A"/>
    <w:rsid w:val="5ADD4AF5"/>
    <w:rsid w:val="5BD60666"/>
    <w:rsid w:val="5BE663CF"/>
    <w:rsid w:val="5C2C6147"/>
    <w:rsid w:val="5C60569C"/>
    <w:rsid w:val="5C680B88"/>
    <w:rsid w:val="5D292AB8"/>
    <w:rsid w:val="5F184590"/>
    <w:rsid w:val="5F685A79"/>
    <w:rsid w:val="5FBC4017"/>
    <w:rsid w:val="5FF30CEE"/>
    <w:rsid w:val="60171F35"/>
    <w:rsid w:val="601A7636"/>
    <w:rsid w:val="60B529B8"/>
    <w:rsid w:val="62371F2F"/>
    <w:rsid w:val="6417033F"/>
    <w:rsid w:val="64311AD4"/>
    <w:rsid w:val="64BE1351"/>
    <w:rsid w:val="652A1A23"/>
    <w:rsid w:val="66A32DF3"/>
    <w:rsid w:val="67A24F14"/>
    <w:rsid w:val="69056D5A"/>
    <w:rsid w:val="6AED21D2"/>
    <w:rsid w:val="6BFA10DE"/>
    <w:rsid w:val="6C107C57"/>
    <w:rsid w:val="6D7D31E8"/>
    <w:rsid w:val="6DE24C48"/>
    <w:rsid w:val="6E123F24"/>
    <w:rsid w:val="6FA33065"/>
    <w:rsid w:val="6FF9096F"/>
    <w:rsid w:val="704915C5"/>
    <w:rsid w:val="70F25AEA"/>
    <w:rsid w:val="71645595"/>
    <w:rsid w:val="71B23116"/>
    <w:rsid w:val="73B33B60"/>
    <w:rsid w:val="758B11E8"/>
    <w:rsid w:val="75A373B3"/>
    <w:rsid w:val="76306360"/>
    <w:rsid w:val="76396D82"/>
    <w:rsid w:val="76911902"/>
    <w:rsid w:val="769D3E02"/>
    <w:rsid w:val="76D45C74"/>
    <w:rsid w:val="7785418E"/>
    <w:rsid w:val="77F25B9A"/>
    <w:rsid w:val="77F51A1C"/>
    <w:rsid w:val="78745037"/>
    <w:rsid w:val="78EE0575"/>
    <w:rsid w:val="78F16688"/>
    <w:rsid w:val="7B3665D4"/>
    <w:rsid w:val="7B7F0D83"/>
    <w:rsid w:val="7BD858DD"/>
    <w:rsid w:val="7ED27062"/>
    <w:rsid w:val="DECBC70A"/>
    <w:rsid w:val="DF0FBCB4"/>
    <w:rsid w:val="F3CB2D01"/>
    <w:rsid w:val="FEF37C0D"/>
    <w:rsid w:val="FF9FE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99"/>
    <w:pPr>
      <w:spacing w:after="160" w:line="259" w:lineRule="auto"/>
    </w:pPr>
    <w:rPr>
      <w:rFonts w:ascii="等线" w:hAnsi="等线" w:eastAsia="等线"/>
      <w:kern w:val="0"/>
      <w:sz w:val="22"/>
    </w:rPr>
  </w:style>
  <w:style w:type="paragraph" w:styleId="4">
    <w:name w:val="Body Text"/>
    <w:basedOn w:val="1"/>
    <w:next w:val="5"/>
    <w:qFormat/>
    <w:uiPriority w:val="0"/>
    <w:pPr>
      <w:spacing w:before="61"/>
      <w:ind w:left="102"/>
    </w:pPr>
    <w:rPr>
      <w:rFonts w:ascii="宋体" w:hAnsi="宋体"/>
      <w:kern w:val="0"/>
      <w:sz w:val="28"/>
      <w:szCs w:val="28"/>
      <w:lang w:eastAsia="en-US"/>
    </w:rPr>
  </w:style>
  <w:style w:type="paragraph" w:styleId="5">
    <w:name w:val="Title"/>
    <w:basedOn w:val="1"/>
    <w:next w:val="1"/>
    <w:qFormat/>
    <w:uiPriority w:val="0"/>
    <w:pPr>
      <w:spacing w:before="240" w:after="60"/>
      <w:jc w:val="center"/>
      <w:outlineLvl w:val="0"/>
    </w:pPr>
    <w:rPr>
      <w:rFonts w:ascii="Cambria" w:hAnsi="Cambria"/>
      <w:b/>
      <w:bCs/>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Body Text 2"/>
    <w:basedOn w:val="1"/>
    <w:qFormat/>
    <w:uiPriority w:val="0"/>
    <w:pPr>
      <w:spacing w:line="360" w:lineRule="auto"/>
    </w:pPr>
    <w:rPr>
      <w:sz w:val="24"/>
    </w:rPr>
  </w:style>
  <w:style w:type="paragraph" w:styleId="9">
    <w:name w:val="Normal (Web)"/>
    <w:basedOn w:val="1"/>
    <w:qFormat/>
    <w:uiPriority w:val="0"/>
    <w:pPr>
      <w:spacing w:line="360" w:lineRule="auto"/>
      <w:ind w:firstLine="200" w:firstLineChars="200"/>
    </w:pPr>
    <w:rPr>
      <w:rFonts w:ascii="Times New Roman" w:hAnsi="Times New Roman" w:eastAsia="仿宋"/>
      <w:sz w:val="24"/>
    </w:rPr>
  </w:style>
  <w:style w:type="paragraph" w:styleId="10">
    <w:name w:val="annotation subject"/>
    <w:basedOn w:val="3"/>
    <w:next w:val="3"/>
    <w:link w:val="18"/>
    <w:qFormat/>
    <w:uiPriority w:val="0"/>
    <w:pPr>
      <w:spacing w:after="0" w:line="240" w:lineRule="auto"/>
      <w:jc w:val="left"/>
    </w:pPr>
    <w:rPr>
      <w:rFonts w:ascii="Calibri" w:hAnsi="Calibri" w:eastAsia="宋体"/>
      <w:b/>
      <w:bCs/>
      <w:kern w:val="2"/>
      <w:sz w:val="21"/>
    </w:rPr>
  </w:style>
  <w:style w:type="character" w:styleId="13">
    <w:name w:val="Strong"/>
    <w:basedOn w:val="12"/>
    <w:qFormat/>
    <w:uiPriority w:val="0"/>
    <w:rPr>
      <w:b/>
    </w:rPr>
  </w:style>
  <w:style w:type="character" w:styleId="14">
    <w:name w:val="annotation reference"/>
    <w:qFormat/>
    <w:uiPriority w:val="0"/>
    <w:rPr>
      <w:sz w:val="21"/>
      <w:szCs w:val="21"/>
    </w:rPr>
  </w:style>
  <w:style w:type="paragraph" w:customStyle="1" w:styleId="15">
    <w:name w:val="msolistparagraph"/>
    <w:basedOn w:val="1"/>
    <w:qFormat/>
    <w:uiPriority w:val="0"/>
    <w:pPr>
      <w:ind w:firstLine="420" w:firstLineChars="200"/>
    </w:pPr>
    <w:rPr>
      <w:rFonts w:ascii="Times New Roman" w:hAnsi="Times New Roman"/>
      <w:sz w:val="24"/>
    </w:rPr>
  </w:style>
  <w:style w:type="paragraph" w:customStyle="1" w:styleId="16">
    <w:name w:val="修订1"/>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2"/>
    <w:link w:val="3"/>
    <w:qFormat/>
    <w:uiPriority w:val="99"/>
    <w:rPr>
      <w:rFonts w:ascii="等线" w:hAnsi="等线" w:eastAsia="等线"/>
      <w:sz w:val="22"/>
      <w:szCs w:val="24"/>
    </w:rPr>
  </w:style>
  <w:style w:type="character" w:customStyle="1" w:styleId="18">
    <w:name w:val="批注主题 字符"/>
    <w:basedOn w:val="17"/>
    <w:link w:val="10"/>
    <w:qFormat/>
    <w:uiPriority w:val="0"/>
    <w:rPr>
      <w:rFonts w:ascii="Calibri" w:hAnsi="Calibri" w:eastAsia="等线"/>
      <w:b/>
      <w:bCs/>
      <w:kern w:val="2"/>
      <w:sz w:val="21"/>
      <w:szCs w:val="24"/>
    </w:rPr>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8193</Words>
  <Characters>8416</Characters>
  <Lines>112</Lines>
  <Paragraphs>31</Paragraphs>
  <TotalTime>11</TotalTime>
  <ScaleCrop>false</ScaleCrop>
  <LinksUpToDate>false</LinksUpToDate>
  <CharactersWithSpaces>8436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2025-08-31T14:59:00Z</dcterms:created>
  <dc:creator>user</dc:creator>
  <cp:lastModifiedBy>ql</cp:lastModifiedBy>
  <dcterms:modified xsi:type="dcterms:W3CDTF">2026-04-30T16:04:17Z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eyJoZGlkIjoiM2RmODc3NzRhYjY5NDQ0NmZmMzRkODNjODllMzY4M2UiLCJ1c2VySWQiOiI4ODQ2MDg3MDUifQ==</vt:lpwstr>
  </property>
  <property fmtid="{D5CDD505-2E9C-101B-9397-08002B2CF9AE}" pid="4" name="ICV">
    <vt:lpwstr>B64BFF007F5948829A06AAC61CC1D3DE_13</vt:lpwstr>
  </property>
</Properties>
</file>