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outlineLvl w:val="0"/>
        <w:rPr>
          <w:rFonts w:ascii="黑体" w:hAnsi="黑体" w:cs="黑体"/>
          <w:color w:val="auto"/>
          <w:sz w:val="40"/>
          <w:szCs w:val="44"/>
        </w:rPr>
      </w:pPr>
      <w:r>
        <w:rPr>
          <w:rFonts w:hint="eastAsia" w:ascii="黑体" w:hAnsi="黑体" w:cs="黑体"/>
          <w:color w:val="auto"/>
          <w:sz w:val="40"/>
          <w:szCs w:val="44"/>
        </w:rPr>
        <w:t>龙岗区2026年度建设用地供应计划配套临时用地全生命周期跟踪监测评估采购需求</w:t>
      </w:r>
    </w:p>
    <w:p>
      <w:pPr>
        <w:rPr>
          <w:rFonts w:ascii="黑体" w:hAnsi="黑体" w:eastAsia="黑体"/>
          <w:color w:val="auto"/>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10" w:leftChars="0" w:firstLine="640" w:firstLine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采购项目概况</w:t>
      </w:r>
    </w:p>
    <w:p>
      <w:pPr>
        <w:keepNext w:val="0"/>
        <w:keepLines w:val="0"/>
        <w:pageBreakBefore w:val="0"/>
        <w:widowControl w:val="0"/>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s="Times New Roman"/>
          <w:color w:val="auto"/>
          <w:sz w:val="30"/>
          <w:szCs w:val="30"/>
        </w:rPr>
      </w:pPr>
      <w:r>
        <w:rPr>
          <w:rFonts w:hint="eastAsia" w:ascii="仿宋" w:hAnsi="仿宋" w:eastAsia="仿宋" w:cs="Times New Roman"/>
          <w:color w:val="auto"/>
          <w:sz w:val="30"/>
          <w:szCs w:val="30"/>
        </w:rPr>
        <w:t>随着深圳市城市发展进入由高速增长向高质量发展转型的新阶段，城市空间资源配置与土地使用管理面临日益复杂的挑战。临时用地作为城市建设过程中的重要补充机制，在推动重点工程建设、保障项目快速落地方面发挥了重要作用。然而，伴随临时用地使用范围扩大和时空分布增多，其使用过程也逐渐暴露出备案信息与图斑信息脱节、图属一致性不足</w:t>
      </w:r>
      <w:r>
        <w:rPr>
          <w:rFonts w:hint="eastAsia" w:ascii="仿宋" w:hAnsi="仿宋" w:eastAsia="仿宋" w:cs="Times New Roman"/>
          <w:color w:val="auto"/>
          <w:sz w:val="30"/>
          <w:szCs w:val="30"/>
          <w:lang w:eastAsia="zh-CN"/>
        </w:rPr>
        <w:t>的问题，</w:t>
      </w:r>
      <w:r>
        <w:rPr>
          <w:rFonts w:hint="eastAsia" w:ascii="仿宋" w:hAnsi="仿宋" w:eastAsia="仿宋" w:cs="Times New Roman"/>
          <w:color w:val="auto"/>
          <w:sz w:val="30"/>
          <w:szCs w:val="30"/>
        </w:rPr>
        <w:t>造成上图入库成果与实际使用情况存在偏差、审批与合同签订流程不闭环、清退机制执行不到位等问题。针对目前龙岗区临时用地现状问题，通过开展龙岗区2026年度建设用地供应计划配套临时用地全生命周期跟踪监测评估工作，构建全区统一的数据标准，提升上图入库工作的时效与准确性，打通临时用地审批与收回监管链条，实现用地全生命周期系统跟踪监测评估，细化专项清理问题分类与整改路径，增强整改建议的可行性与政策兼容性。使龙岗区临时用地的使用形成健康的循环状态，避免因超期问题导致临时用地停批等情况。</w:t>
      </w:r>
      <w:r>
        <w:rPr>
          <w:rFonts w:hint="eastAsia" w:ascii="仿宋" w:hAnsi="仿宋" w:eastAsia="仿宋"/>
          <w:color w:val="auto"/>
          <w:sz w:val="30"/>
          <w:szCs w:val="30"/>
        </w:rPr>
        <w:t>项目预算金额</w:t>
      </w:r>
      <w:r>
        <w:rPr>
          <w:rFonts w:ascii="仿宋" w:hAnsi="仿宋" w:eastAsia="仿宋"/>
          <w:color w:val="auto"/>
          <w:sz w:val="30"/>
          <w:szCs w:val="30"/>
        </w:rPr>
        <w:t>1</w:t>
      </w:r>
      <w:r>
        <w:rPr>
          <w:rFonts w:hint="eastAsia" w:ascii="仿宋" w:hAnsi="仿宋" w:eastAsia="仿宋"/>
          <w:color w:val="auto"/>
          <w:sz w:val="30"/>
          <w:szCs w:val="30"/>
          <w:lang w:val="en-US" w:eastAsia="zh-CN"/>
        </w:rPr>
        <w:t>9.88</w:t>
      </w:r>
      <w:r>
        <w:rPr>
          <w:rFonts w:hint="eastAsia" w:ascii="仿宋" w:hAnsi="仿宋" w:eastAsia="仿宋"/>
          <w:color w:val="auto"/>
          <w:sz w:val="30"/>
          <w:szCs w:val="30"/>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10" w:leftChars="0" w:firstLine="640" w:firstLine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项目管理和服务要求</w:t>
      </w:r>
    </w:p>
    <w:p>
      <w:pPr>
        <w:pStyle w:val="8"/>
        <w:numPr>
          <w:ilvl w:val="0"/>
          <w:numId w:val="2"/>
        </w:numPr>
        <w:spacing w:line="360" w:lineRule="auto"/>
        <w:ind w:left="0" w:leftChars="0" w:firstLine="640" w:firstLineChars="200"/>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服务总体要求</w:t>
      </w:r>
    </w:p>
    <w:p>
      <w:pPr>
        <w:keepNext w:val="0"/>
        <w:keepLines w:val="0"/>
        <w:pageBreakBefore w:val="0"/>
        <w:widowControl w:val="0"/>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s="Times New Roman"/>
          <w:color w:val="0000FF"/>
          <w:sz w:val="30"/>
          <w:szCs w:val="30"/>
        </w:rPr>
      </w:pPr>
      <w:r>
        <w:rPr>
          <w:rFonts w:hint="eastAsia" w:ascii="仿宋" w:hAnsi="仿宋" w:eastAsia="仿宋" w:cs="Times New Roman"/>
          <w:color w:val="auto"/>
          <w:sz w:val="30"/>
          <w:szCs w:val="30"/>
        </w:rPr>
        <w:t>通过开展龙岗区2026年度建设用地供应计划配套临时用地全生命周期跟踪监测评估工作，构建全区统一的数据标准，打通临时用地审批与收回监管链条，实现用地全生命周期系统跟踪监测评估，细化专项清理问题分类与整改路径，增强整改建议的可行性与政策兼容性。使龙岗区临时用地的使用形成健康的循环状态，避免因超期问题导致临时用地停批等情况。</w:t>
      </w:r>
    </w:p>
    <w:p>
      <w:pPr>
        <w:pStyle w:val="8"/>
        <w:numPr>
          <w:ilvl w:val="0"/>
          <w:numId w:val="2"/>
        </w:numPr>
        <w:spacing w:line="360" w:lineRule="auto"/>
        <w:ind w:left="0" w:leftChars="0" w:firstLine="640" w:firstLineChars="200"/>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服务标的数量情况</w:t>
      </w:r>
    </w:p>
    <w:p>
      <w:pPr>
        <w:pStyle w:val="8"/>
        <w:spacing w:line="360" w:lineRule="auto"/>
        <w:ind w:firstLine="600"/>
        <w:outlineLvl w:val="1"/>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本项目实施要求供应商在近三年来承担过相关规划的工作，为本项目专门组建不小于8人的专业团队，项目负责人或技术负责人需要在深圳从事规划设计工作5年以上。</w:t>
      </w:r>
    </w:p>
    <w:p>
      <w:pPr>
        <w:pStyle w:val="8"/>
        <w:numPr>
          <w:ilvl w:val="0"/>
          <w:numId w:val="2"/>
        </w:numPr>
        <w:spacing w:line="360" w:lineRule="auto"/>
        <w:ind w:left="0" w:leftChars="0" w:firstLine="640" w:firstLineChars="200"/>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具体服务需求内容</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rPr>
        <w:t>本次工作内容主要分为临时用地全链条“工具箱”及实施应用、临时用地专项清理跟踪评估与整改实施方案、正在使用中临时用地动态监测评估</w:t>
      </w:r>
      <w:r>
        <w:rPr>
          <w:rFonts w:hint="eastAsia" w:ascii="仿宋" w:hAnsi="仿宋" w:eastAsia="仿宋"/>
          <w:color w:val="auto"/>
          <w:sz w:val="30"/>
          <w:szCs w:val="30"/>
          <w:lang w:val="en-US" w:eastAsia="zh-CN"/>
        </w:rPr>
        <w:t>三</w:t>
      </w:r>
      <w:r>
        <w:rPr>
          <w:rFonts w:hint="eastAsia" w:ascii="仿宋" w:hAnsi="仿宋" w:eastAsia="仿宋"/>
          <w:color w:val="auto"/>
          <w:sz w:val="30"/>
          <w:szCs w:val="30"/>
        </w:rPr>
        <w:t>大部分。</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lang w:val="en-US" w:eastAsia="zh-CN"/>
        </w:rPr>
        <w:t>1.临时用地全链条“工具箱”及实施应用</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1</w:t>
      </w:r>
      <w:r>
        <w:rPr>
          <w:rFonts w:hint="eastAsia" w:ascii="仿宋" w:hAnsi="仿宋" w:eastAsia="仿宋"/>
          <w:color w:val="auto"/>
          <w:sz w:val="30"/>
          <w:szCs w:val="30"/>
          <w:lang w:eastAsia="zh-CN"/>
        </w:rPr>
        <w:t>）临时用地供应前期工作</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rPr>
        <w:t>跟进项目用地审批进度，根据相关规定，协助科室分析研判临时用地选址合理性及到期收回可行性。同时协助科室完成土地审批前期的系统信息录入、材料上报等工作。</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）临时用地批后监管台账</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rPr>
        <w:t>建立《2026年度龙岗区临时用地全生命周期台账》，及时将新审批的临时用地纳入监管台账内，并对监管台账内用地信息(包括但不限于合同号、土地面积、使用期限、进展状态等)保持动态更新。</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rPr>
        <w:t>1）台账基本信息。包括用地号、用地单位、批准用途、批准文号、土地位置、土地面积、复垦情况、合同约定起止时间、合同号、使用费用、合同签订时间等。</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）台账更新维护。根据已收集的资料梳理各宗已审批的临时用地使用情况，建立临时用地供应台账，并通过现场巡查结果对已供应的临时用地的土地状态进行动态更新监测评估。</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lang w:val="en-US" w:eastAsia="zh-CN"/>
        </w:rPr>
        <w:t>2.临时用地专项清理跟踪评估与整改实施方案</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针对龙岗区超期占用临时用地块，按超期时长、复垦保证金状态、地上物拆除难度等维度加权核算风险等级及整改难度等级，生成三级预警清单，根据不同等级并结合相关土地政策制定不同整改计划标准。</w:t>
      </w:r>
      <w:bookmarkStart w:id="0" w:name="_GoBack"/>
      <w:bookmarkEnd w:id="0"/>
      <w:r>
        <w:rPr>
          <w:rFonts w:hint="eastAsia" w:ascii="仿宋" w:hAnsi="仿宋" w:eastAsia="仿宋"/>
          <w:color w:val="auto"/>
          <w:sz w:val="30"/>
          <w:szCs w:val="30"/>
          <w:lang w:val="en-US" w:eastAsia="zh-CN"/>
        </w:rPr>
        <w:t>同时建立复垦完成率时序模型，对复垦方案逾期、复垦保证金缺失等用地实际情况进行评估，动态监测监管超期未复垦用地百分比，对于导致超出警戒值用地提前作出处置。</w:t>
      </w:r>
      <w:r>
        <w:commentReference w:id="0"/>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lang w:val="en-US" w:eastAsia="zh-CN"/>
        </w:rPr>
        <w:t>3.正在使用中临时用地动态监测评估</w:t>
      </w:r>
    </w:p>
    <w:p>
      <w:pPr>
        <w:pStyle w:val="8"/>
        <w:spacing w:line="360" w:lineRule="auto"/>
        <w:ind w:firstLine="600"/>
        <w:outlineLvl w:val="1"/>
        <w:rPr>
          <w:rFonts w:hint="eastAsia" w:ascii="仿宋" w:hAnsi="仿宋" w:eastAsia="仿宋"/>
          <w:color w:val="auto"/>
          <w:sz w:val="30"/>
          <w:szCs w:val="30"/>
        </w:rPr>
      </w:pPr>
      <w:r>
        <w:rPr>
          <w:rFonts w:hint="eastAsia" w:ascii="仿宋" w:hAnsi="仿宋" w:eastAsia="仿宋"/>
          <w:color w:val="auto"/>
          <w:sz w:val="30"/>
          <w:szCs w:val="30"/>
        </w:rPr>
        <w:t>龙岗区</w:t>
      </w:r>
      <w:r>
        <w:commentReference w:id="1"/>
      </w:r>
      <w:r>
        <w:rPr>
          <w:rFonts w:hint="eastAsia" w:ascii="仿宋" w:hAnsi="仿宋" w:eastAsia="仿宋"/>
          <w:color w:val="auto"/>
          <w:sz w:val="30"/>
          <w:szCs w:val="30"/>
          <w:lang w:val="en-US" w:eastAsia="zh-CN"/>
        </w:rPr>
        <w:t>自</w:t>
      </w:r>
      <w:r>
        <w:rPr>
          <w:rFonts w:hint="eastAsia" w:ascii="仿宋" w:hAnsi="仿宋" w:eastAsia="仿宋"/>
          <w:color w:val="auto"/>
          <w:sz w:val="30"/>
          <w:szCs w:val="30"/>
        </w:rPr>
        <w:t>2026年始，至少存在91宗正在使用中临时用地，需建立“双随机——公开”动态监测体系</w:t>
      </w:r>
    </w:p>
    <w:p>
      <w:pPr>
        <w:pStyle w:val="8"/>
        <w:numPr>
          <w:ilvl w:val="0"/>
          <w:numId w:val="0"/>
        </w:numPr>
        <w:spacing w:line="360" w:lineRule="auto"/>
        <w:ind w:leftChars="200"/>
        <w:outlineLvl w:val="1"/>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1</w:t>
      </w:r>
      <w:r>
        <w:rPr>
          <w:rFonts w:hint="eastAsia" w:ascii="仿宋" w:hAnsi="仿宋" w:eastAsia="仿宋"/>
          <w:color w:val="auto"/>
          <w:sz w:val="30"/>
          <w:szCs w:val="30"/>
          <w:lang w:eastAsia="zh-CN"/>
        </w:rPr>
        <w:t>）</w:t>
      </w:r>
      <w:r>
        <w:rPr>
          <w:rFonts w:hint="eastAsia" w:ascii="仿宋" w:hAnsi="仿宋" w:eastAsia="仿宋"/>
          <w:color w:val="auto"/>
          <w:sz w:val="30"/>
          <w:szCs w:val="30"/>
        </w:rPr>
        <w:t>多维度动态监测</w:t>
      </w:r>
    </w:p>
    <w:p>
      <w:pPr>
        <w:pStyle w:val="8"/>
        <w:spacing w:line="360" w:lineRule="auto"/>
        <w:ind w:firstLine="600"/>
        <w:outlineLvl w:val="1"/>
        <w:rPr>
          <w:rFonts w:hint="eastAsia" w:ascii="仿宋" w:hAnsi="仿宋" w:eastAsia="仿宋"/>
          <w:color w:val="auto"/>
          <w:sz w:val="30"/>
          <w:szCs w:val="30"/>
        </w:rPr>
      </w:pPr>
      <w:r>
        <w:rPr>
          <w:rFonts w:hint="eastAsia" w:ascii="仿宋" w:hAnsi="仿宋" w:eastAsia="仿宋"/>
          <w:color w:val="auto"/>
          <w:sz w:val="30"/>
          <w:szCs w:val="30"/>
        </w:rPr>
        <w:t>维度一利用移动巡查终端，搭载GIS定位系统，监测用地范围偏移、违规扩建等违法行为。</w:t>
      </w:r>
    </w:p>
    <w:p>
      <w:pPr>
        <w:pStyle w:val="8"/>
        <w:spacing w:line="360" w:lineRule="auto"/>
        <w:ind w:firstLine="600"/>
        <w:outlineLvl w:val="1"/>
        <w:rPr>
          <w:rFonts w:hint="eastAsia" w:ascii="仿宋" w:hAnsi="仿宋" w:eastAsia="仿宋"/>
          <w:color w:val="auto"/>
          <w:sz w:val="30"/>
          <w:szCs w:val="30"/>
        </w:rPr>
      </w:pPr>
      <w:r>
        <w:rPr>
          <w:rFonts w:hint="eastAsia" w:ascii="仿宋" w:hAnsi="仿宋" w:eastAsia="仿宋"/>
          <w:color w:val="auto"/>
          <w:sz w:val="30"/>
          <w:szCs w:val="30"/>
        </w:rPr>
        <w:t>维度二利用无人机摄影，并采用AI图像识别算法，识别永久性建筑物等违法行为。</w:t>
      </w:r>
    </w:p>
    <w:p>
      <w:pPr>
        <w:pStyle w:val="8"/>
        <w:numPr>
          <w:ilvl w:val="0"/>
          <w:numId w:val="0"/>
        </w:numPr>
        <w:spacing w:line="360" w:lineRule="auto"/>
        <w:ind w:leftChars="200"/>
        <w:outlineLvl w:val="1"/>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w:t>
      </w:r>
      <w:r>
        <w:rPr>
          <w:rFonts w:hint="eastAsia" w:ascii="仿宋" w:hAnsi="仿宋" w:eastAsia="仿宋"/>
          <w:color w:val="auto"/>
          <w:sz w:val="30"/>
          <w:szCs w:val="30"/>
        </w:rPr>
        <w:t>风险响应机制</w:t>
      </w:r>
    </w:p>
    <w:p>
      <w:pPr>
        <w:pStyle w:val="8"/>
        <w:spacing w:line="360" w:lineRule="auto"/>
        <w:ind w:firstLine="600"/>
        <w:outlineLvl w:val="1"/>
        <w:rPr>
          <w:rFonts w:hint="eastAsia" w:ascii="仿宋" w:hAnsi="仿宋" w:eastAsia="仿宋"/>
          <w:color w:val="auto"/>
          <w:sz w:val="30"/>
          <w:szCs w:val="30"/>
        </w:rPr>
      </w:pPr>
      <w:r>
        <w:rPr>
          <w:rFonts w:hint="eastAsia" w:ascii="仿宋" w:hAnsi="仿宋" w:eastAsia="仿宋"/>
          <w:color w:val="auto"/>
          <w:sz w:val="30"/>
          <w:szCs w:val="30"/>
        </w:rPr>
        <w:t>根据违法程度划分三级预警，未悬挂临时用地标志牌等为蓝</w:t>
      </w:r>
      <w:r>
        <w:rPr>
          <w:rFonts w:hint="eastAsia" w:ascii="仿宋" w:hAnsi="仿宋" w:eastAsia="仿宋"/>
          <w:color w:val="auto"/>
          <w:sz w:val="30"/>
          <w:szCs w:val="30"/>
          <w:lang w:val="en-US" w:eastAsia="zh-CN"/>
        </w:rPr>
        <w:t>色</w:t>
      </w:r>
      <w:r>
        <w:rPr>
          <w:rFonts w:hint="eastAsia" w:ascii="仿宋" w:hAnsi="仿宋" w:eastAsia="仿宋"/>
          <w:color w:val="auto"/>
          <w:sz w:val="30"/>
          <w:szCs w:val="30"/>
        </w:rPr>
        <w:t>预警级别，超范围建设为黄色预警级别，建设永久建筑或占用基本农田为红色预警级别。</w:t>
      </w:r>
    </w:p>
    <w:p>
      <w:pPr>
        <w:pStyle w:val="8"/>
        <w:spacing w:line="360" w:lineRule="auto"/>
        <w:ind w:firstLine="600"/>
        <w:outlineLvl w:val="1"/>
        <w:rPr>
          <w:rFonts w:hint="eastAsia" w:ascii="仿宋" w:hAnsi="仿宋" w:eastAsia="仿宋"/>
          <w:color w:val="auto"/>
          <w:sz w:val="30"/>
          <w:szCs w:val="30"/>
        </w:rPr>
      </w:pPr>
      <w:r>
        <w:rPr>
          <w:rFonts w:hint="eastAsia" w:ascii="仿宋" w:hAnsi="仿宋" w:eastAsia="仿宋"/>
          <w:color w:val="auto"/>
          <w:sz w:val="30"/>
          <w:szCs w:val="30"/>
        </w:rPr>
        <w:t>对于黄色、蓝色预警，责令用地单位限期整改。对于红色预警移交执法部门进行违法处罚。</w:t>
      </w:r>
    </w:p>
    <w:p>
      <w:pPr>
        <w:pStyle w:val="8"/>
        <w:numPr>
          <w:numId w:val="0"/>
        </w:numPr>
        <w:spacing w:line="360" w:lineRule="auto"/>
        <w:ind w:leftChars="200"/>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（四）提交成果</w:t>
      </w:r>
    </w:p>
    <w:p>
      <w:pPr>
        <w:pStyle w:val="8"/>
        <w:spacing w:line="360" w:lineRule="auto"/>
        <w:ind w:firstLine="600"/>
        <w:outlineLvl w:val="1"/>
        <w:rPr>
          <w:rFonts w:ascii="仿宋" w:hAnsi="仿宋" w:eastAsia="仿宋"/>
          <w:color w:val="auto"/>
          <w:sz w:val="30"/>
          <w:szCs w:val="30"/>
        </w:rPr>
      </w:pPr>
      <w:r>
        <w:rPr>
          <w:rFonts w:hint="eastAsia" w:ascii="仿宋" w:hAnsi="仿宋" w:eastAsia="仿宋"/>
          <w:color w:val="auto"/>
          <w:sz w:val="30"/>
          <w:szCs w:val="30"/>
        </w:rPr>
        <w:t>本项目成果如下：</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rPr>
        <w:t>1、临时用地2026年度审批台账、宗地资料库及图形数据库。</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rPr>
        <w:t>2、龙岗区超期占用临时用地整改报告。</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rPr>
        <w:t>3、2026年度正在使用中临时用地动态监测评估报告</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jc w:val="both"/>
        <w:textAlignment w:val="baseline"/>
        <w:rPr>
          <w:rFonts w:hint="eastAsia" w:ascii="仿宋" w:hAnsi="仿宋" w:eastAsia="仿宋"/>
          <w:color w:val="auto"/>
          <w:sz w:val="30"/>
          <w:szCs w:val="30"/>
        </w:rPr>
      </w:pPr>
      <w:r>
        <w:rPr>
          <w:rFonts w:hint="eastAsia" w:ascii="仿宋" w:hAnsi="仿宋" w:eastAsia="仿宋"/>
          <w:color w:val="auto"/>
          <w:sz w:val="30"/>
          <w:szCs w:val="30"/>
        </w:rPr>
        <w:t>以上成果文件均提供“可视化图件（GIS平台）+文字报告”双格式输出，并提供书面和电子文件，电子文件应为Shapefile、PDF、Excel等格式并用光盘介质存储。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10" w:leftChars="0" w:firstLine="640" w:firstLine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供应商资格要求</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（一）具有独立法人资格；</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（二）投标供应商提供近三年内（投标人成立不足三年的可从成立之日起算）无重大违法犯罪记录和不存在被禁止参与政府采购活动的书面声明函。</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10" w:leftChars="0" w:firstLine="640" w:firstLine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评标定标方法</w:t>
      </w:r>
    </w:p>
    <w:p>
      <w:pPr>
        <w:pStyle w:val="8"/>
        <w:spacing w:line="360" w:lineRule="auto"/>
        <w:ind w:firstLine="600" w:firstLineChars="200"/>
        <w:outlineLvl w:val="0"/>
        <w:rPr>
          <w:rFonts w:hint="eastAsia" w:ascii="仿宋" w:hAnsi="仿宋" w:eastAsia="仿宋"/>
          <w:color w:val="auto"/>
          <w:sz w:val="30"/>
          <w:szCs w:val="30"/>
          <w:highlight w:val="none"/>
        </w:rPr>
      </w:pPr>
      <w:r>
        <w:rPr>
          <w:rFonts w:hint="eastAsia" w:ascii="仿宋" w:hAnsi="仿宋" w:eastAsia="仿宋"/>
          <w:color w:val="auto"/>
          <w:sz w:val="30"/>
          <w:szCs w:val="30"/>
          <w:highlight w:val="none"/>
          <w:lang w:val="en-US" w:eastAsia="zh-CN"/>
        </w:rPr>
        <w:t>采用询价方式采购，最低评标法，价低者得</w:t>
      </w:r>
      <w:r>
        <w:rPr>
          <w:rFonts w:hint="eastAsia" w:ascii="仿宋" w:hAnsi="仿宋" w:eastAsia="仿宋"/>
          <w:color w:val="auto"/>
          <w:sz w:val="30"/>
          <w:szCs w:val="30"/>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10" w:leftChars="0" w:firstLine="640" w:firstLine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商务需求</w:t>
      </w:r>
    </w:p>
    <w:p>
      <w:pPr>
        <w:pStyle w:val="8"/>
        <w:numPr>
          <w:ilvl w:val="0"/>
          <w:numId w:val="3"/>
        </w:numPr>
        <w:spacing w:line="360" w:lineRule="auto"/>
        <w:ind w:left="0" w:leftChars="0" w:firstLine="640" w:firstLineChars="200"/>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服务期限</w:t>
      </w:r>
    </w:p>
    <w:p>
      <w:pPr>
        <w:pStyle w:val="8"/>
        <w:spacing w:line="360" w:lineRule="auto"/>
        <w:ind w:firstLine="600" w:firstLineChars="200"/>
        <w:outlineLvl w:val="0"/>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本合同签订之日起10个月内前开展并完成该项目。在该项目完成后的1年内，中标方须与采购方保持全面沟通，随时跟进。</w:t>
      </w:r>
    </w:p>
    <w:p>
      <w:pPr>
        <w:pStyle w:val="8"/>
        <w:numPr>
          <w:ilvl w:val="0"/>
          <w:numId w:val="3"/>
        </w:numPr>
        <w:spacing w:line="360" w:lineRule="auto"/>
        <w:ind w:left="0" w:leftChars="0" w:firstLine="640" w:firstLineChars="200"/>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服务地点</w:t>
      </w:r>
    </w:p>
    <w:p>
      <w:pPr>
        <w:pStyle w:val="8"/>
        <w:spacing w:line="360" w:lineRule="auto"/>
        <w:ind w:firstLine="600" w:firstLineChars="200"/>
        <w:outlineLvl w:val="0"/>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深圳市龙岗区。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（三）服务进度安排</w:t>
      </w:r>
    </w:p>
    <w:tbl>
      <w:tblPr>
        <w:tblStyle w:val="5"/>
        <w:tblW w:w="7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00"/>
        <w:gridCol w:w="4820"/>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6" w:type="dxa"/>
            <w:noWrap w:val="0"/>
            <w:vAlign w:val="center"/>
          </w:tcPr>
          <w:p>
            <w:pPr>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000" w:type="dxa"/>
            <w:noWrap w:val="0"/>
            <w:vAlign w:val="center"/>
          </w:tcPr>
          <w:p>
            <w:pPr>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项目进度</w:t>
            </w:r>
          </w:p>
        </w:tc>
        <w:tc>
          <w:tcPr>
            <w:tcW w:w="4820" w:type="dxa"/>
            <w:noWrap w:val="0"/>
            <w:vAlign w:val="center"/>
          </w:tcPr>
          <w:p>
            <w:pPr>
              <w:ind w:firstLine="360"/>
              <w:jc w:val="center"/>
              <w:rPr>
                <w:rFonts w:hint="eastAsia" w:ascii="仿宋" w:hAnsi="仿宋" w:eastAsia="仿宋" w:cs="仿宋"/>
                <w:color w:val="auto"/>
                <w:sz w:val="21"/>
                <w:szCs w:val="21"/>
              </w:rPr>
            </w:pPr>
            <w:r>
              <w:rPr>
                <w:rFonts w:hint="eastAsia" w:ascii="仿宋" w:hAnsi="仿宋" w:eastAsia="仿宋" w:cs="仿宋"/>
                <w:color w:val="auto"/>
                <w:sz w:val="21"/>
                <w:szCs w:val="21"/>
              </w:rPr>
              <w:t>工作内容及具体安排</w:t>
            </w:r>
          </w:p>
        </w:tc>
        <w:tc>
          <w:tcPr>
            <w:tcW w:w="1251" w:type="dxa"/>
            <w:noWrap w:val="0"/>
            <w:vAlign w:val="center"/>
          </w:tcPr>
          <w:p>
            <w:pPr>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6" w:type="dxa"/>
            <w:noWrap w:val="0"/>
            <w:vAlign w:val="center"/>
          </w:tcPr>
          <w:p>
            <w:pPr>
              <w:spacing w:line="276"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01</w:t>
            </w:r>
          </w:p>
        </w:tc>
        <w:tc>
          <w:tcPr>
            <w:tcW w:w="1000" w:type="dxa"/>
            <w:noWrap w:val="0"/>
            <w:vAlign w:val="center"/>
          </w:tcPr>
          <w:p>
            <w:pPr>
              <w:spacing w:line="276"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初步成果编制阶段</w:t>
            </w:r>
          </w:p>
        </w:tc>
        <w:tc>
          <w:tcPr>
            <w:tcW w:w="4820" w:type="dxa"/>
            <w:noWrap w:val="0"/>
            <w:vAlign w:val="center"/>
          </w:tcPr>
          <w:p>
            <w:pPr>
              <w:spacing w:line="276"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成立项目组，明确岗位分工与技术路线，对接各经办人备案与审批数据通道，制定数据标准与采集模板。每季度收集备案、审批与到期临时用地信息，搭建图属校核平台与审批全链条数据库。</w:t>
            </w:r>
          </w:p>
        </w:tc>
        <w:tc>
          <w:tcPr>
            <w:tcW w:w="1251" w:type="dxa"/>
            <w:vMerge w:val="restart"/>
            <w:noWrap w:val="0"/>
            <w:vAlign w:val="center"/>
          </w:tcPr>
          <w:p>
            <w:pPr>
              <w:spacing w:line="276"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根据本项目的特点，本项目需在2026年度全程跟踪、不定期派专人录入数据和实地巡查。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6" w:type="dxa"/>
            <w:noWrap w:val="0"/>
            <w:vAlign w:val="center"/>
          </w:tcPr>
          <w:p>
            <w:pPr>
              <w:spacing w:line="276"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02</w:t>
            </w:r>
          </w:p>
        </w:tc>
        <w:tc>
          <w:tcPr>
            <w:tcW w:w="1000" w:type="dxa"/>
            <w:noWrap w:val="0"/>
            <w:vAlign w:val="center"/>
          </w:tcPr>
          <w:p>
            <w:pPr>
              <w:spacing w:line="276"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中期成果阶段</w:t>
            </w:r>
          </w:p>
        </w:tc>
        <w:tc>
          <w:tcPr>
            <w:tcW w:w="4820" w:type="dxa"/>
            <w:noWrap w:val="0"/>
            <w:vAlign w:val="center"/>
          </w:tcPr>
          <w:p>
            <w:pPr>
              <w:spacing w:line="276"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（1）跟进项目用地审批进度，根据相关规定，协助科室分析研判临时用地选址合理性及到期收回可行性，识别图属冲突点、审批滞后点、收回断点等问题，以及</w:t>
            </w:r>
            <w:r>
              <w:commentReference w:id="2"/>
            </w:r>
            <w:r>
              <w:rPr>
                <w:rFonts w:hint="eastAsia" w:ascii="仿宋" w:hAnsi="仿宋" w:eastAsia="仿宋" w:cs="仿宋"/>
                <w:color w:val="auto"/>
                <w:sz w:val="21"/>
                <w:szCs w:val="21"/>
              </w:rPr>
              <w:t>临时用地日常监管巡查工作。</w:t>
            </w:r>
          </w:p>
          <w:p>
            <w:pPr>
              <w:spacing w:line="276"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（2）归类专项清理问题数据，提取典型样本，运用政策分析与用地合规判断逻辑，分析预判可能存在的超复垦期用地比例，提出差异化整改路径建议。</w:t>
            </w:r>
          </w:p>
        </w:tc>
        <w:tc>
          <w:tcPr>
            <w:tcW w:w="1251" w:type="dxa"/>
            <w:vMerge w:val="continue"/>
            <w:noWrap w:val="0"/>
            <w:vAlign w:val="center"/>
          </w:tcPr>
          <w:p>
            <w:pPr>
              <w:ind w:firstLine="0" w:firstLineChars="0"/>
              <w:jc w:val="center"/>
              <w:rPr>
                <w:rFonts w:hint="eastAsia" w:ascii="仿宋" w:hAnsi="仿宋" w:eastAsia="仿宋" w:cs="仿宋"/>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96" w:type="dxa"/>
            <w:noWrap w:val="0"/>
            <w:vAlign w:val="center"/>
          </w:tcPr>
          <w:p>
            <w:pPr>
              <w:spacing w:line="276"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03</w:t>
            </w:r>
          </w:p>
        </w:tc>
        <w:tc>
          <w:tcPr>
            <w:tcW w:w="1000" w:type="dxa"/>
            <w:noWrap w:val="0"/>
            <w:vAlign w:val="center"/>
          </w:tcPr>
          <w:p>
            <w:pPr>
              <w:spacing w:line="276"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成果验收与归档阶段</w:t>
            </w:r>
          </w:p>
        </w:tc>
        <w:tc>
          <w:tcPr>
            <w:tcW w:w="4820" w:type="dxa"/>
            <w:noWrap w:val="0"/>
            <w:vAlign w:val="center"/>
          </w:tcPr>
          <w:p>
            <w:pPr>
              <w:spacing w:line="276"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成果提交相应职能部门征求意见，报深圳市规划和自然资源局龙岗管理局审查，以深圳市规划和自然资源局龙岗管理局出具相关结题会议纪要为结题依据。</w:t>
            </w:r>
          </w:p>
        </w:tc>
        <w:tc>
          <w:tcPr>
            <w:tcW w:w="1251" w:type="dxa"/>
            <w:vMerge w:val="continue"/>
            <w:noWrap w:val="0"/>
            <w:vAlign w:val="center"/>
          </w:tcPr>
          <w:p>
            <w:pPr>
              <w:spacing w:line="276" w:lineRule="auto"/>
              <w:ind w:firstLine="0" w:firstLineChars="0"/>
              <w:jc w:val="center"/>
              <w:rPr>
                <w:rFonts w:hint="eastAsia" w:ascii="仿宋" w:hAnsi="仿宋" w:eastAsia="仿宋" w:cs="仿宋"/>
                <w:color w:val="0000FF"/>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（四）项目实施要求</w:t>
      </w:r>
    </w:p>
    <w:p>
      <w:pPr>
        <w:pStyle w:val="8"/>
        <w:spacing w:line="360" w:lineRule="auto"/>
        <w:ind w:firstLine="600"/>
        <w:outlineLvl w:val="1"/>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1.人员要求：为保证工作有序开展，要求中标方形成不少于8人的工作组，以1名项目负责人（在深圳从事规划设计工作5年以上）和7名参与人员组成。</w:t>
      </w:r>
    </w:p>
    <w:p>
      <w:pPr>
        <w:spacing w:line="360" w:lineRule="auto"/>
        <w:ind w:firstLine="600" w:firstLineChars="200"/>
        <w:rPr>
          <w:rFonts w:ascii="仿宋" w:hAnsi="仿宋" w:eastAsia="仿宋"/>
          <w:color w:val="auto"/>
          <w:sz w:val="30"/>
          <w:szCs w:val="30"/>
        </w:rPr>
      </w:pPr>
      <w:r>
        <w:rPr>
          <w:rFonts w:hint="eastAsia" w:ascii="仿宋" w:hAnsi="仿宋" w:eastAsia="仿宋" w:cs="Times New Roman"/>
          <w:color w:val="auto"/>
          <w:kern w:val="2"/>
          <w:sz w:val="30"/>
          <w:szCs w:val="30"/>
          <w:lang w:val="en-US" w:eastAsia="zh-CN" w:bidi="ar-SA"/>
        </w:rPr>
        <w:t>2.投标供应商必须提供项目的实</w:t>
      </w:r>
      <w:r>
        <w:rPr>
          <w:rFonts w:hint="eastAsia" w:ascii="仿宋" w:hAnsi="仿宋" w:eastAsia="仿宋"/>
          <w:color w:val="auto"/>
          <w:sz w:val="30"/>
          <w:szCs w:val="30"/>
        </w:rPr>
        <w:t>施方案及计划，并严格按照方案及计划执行。</w:t>
      </w:r>
    </w:p>
    <w:p>
      <w:pPr>
        <w:spacing w:line="360" w:lineRule="auto"/>
        <w:ind w:firstLine="600" w:firstLineChars="200"/>
        <w:rPr>
          <w:rFonts w:ascii="仿宋" w:hAnsi="仿宋" w:eastAsia="仿宋"/>
          <w:color w:val="auto"/>
          <w:sz w:val="30"/>
          <w:szCs w:val="30"/>
        </w:rPr>
      </w:pPr>
      <w:r>
        <w:rPr>
          <w:rFonts w:ascii="仿宋" w:hAnsi="仿宋" w:eastAsia="仿宋"/>
          <w:color w:val="auto"/>
          <w:sz w:val="30"/>
          <w:szCs w:val="30"/>
        </w:rPr>
        <w:t>3.</w:t>
      </w:r>
      <w:r>
        <w:rPr>
          <w:rFonts w:hint="eastAsia" w:ascii="仿宋" w:hAnsi="仿宋" w:eastAsia="仿宋"/>
          <w:color w:val="auto"/>
          <w:sz w:val="30"/>
          <w:szCs w:val="30"/>
        </w:rPr>
        <w:t>中标单位要按约定的工作内容、技术标准、工作进度和成果要求进行工作，并在规定时间内提交成果，对所提交成果的质量负责。</w:t>
      </w:r>
    </w:p>
    <w:p>
      <w:pPr>
        <w:spacing w:line="360" w:lineRule="auto"/>
        <w:ind w:firstLine="600" w:firstLineChars="200"/>
        <w:rPr>
          <w:rFonts w:ascii="仿宋" w:hAnsi="仿宋" w:eastAsia="仿宋"/>
          <w:color w:val="auto"/>
          <w:sz w:val="30"/>
          <w:szCs w:val="30"/>
        </w:rPr>
      </w:pPr>
      <w:r>
        <w:rPr>
          <w:rFonts w:ascii="仿宋" w:hAnsi="仿宋" w:eastAsia="仿宋"/>
          <w:color w:val="auto"/>
          <w:sz w:val="30"/>
          <w:szCs w:val="30"/>
        </w:rPr>
        <w:t>4.</w:t>
      </w:r>
      <w:r>
        <w:rPr>
          <w:rFonts w:hint="eastAsia" w:ascii="仿宋" w:hAnsi="仿宋" w:eastAsia="仿宋"/>
          <w:color w:val="auto"/>
          <w:sz w:val="30"/>
          <w:szCs w:val="30"/>
        </w:rPr>
        <w:t>中标单位在合同的执行过程中应自觉接受由采购人组织的全过程监督检查。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（五）报价要求</w:t>
      </w:r>
    </w:p>
    <w:p>
      <w:pPr>
        <w:pStyle w:val="8"/>
        <w:spacing w:line="360" w:lineRule="auto"/>
        <w:ind w:firstLine="600"/>
        <w:rPr>
          <w:rFonts w:ascii="仿宋" w:hAnsi="仿宋" w:eastAsia="仿宋"/>
          <w:color w:val="auto"/>
          <w:sz w:val="30"/>
          <w:szCs w:val="30"/>
        </w:rPr>
      </w:pPr>
      <w:r>
        <w:rPr>
          <w:rFonts w:ascii="仿宋" w:hAnsi="仿宋" w:eastAsia="仿宋"/>
          <w:color w:val="auto"/>
          <w:sz w:val="30"/>
          <w:szCs w:val="30"/>
        </w:rPr>
        <w:t>1</w:t>
      </w:r>
      <w:r>
        <w:rPr>
          <w:rFonts w:hint="eastAsia" w:ascii="仿宋" w:hAnsi="仿宋" w:eastAsia="仿宋"/>
          <w:color w:val="auto"/>
          <w:sz w:val="30"/>
          <w:szCs w:val="30"/>
        </w:rPr>
        <w:t>.</w:t>
      </w:r>
      <w:r>
        <w:rPr>
          <w:rFonts w:ascii="仿宋" w:hAnsi="仿宋" w:eastAsia="仿宋"/>
          <w:color w:val="auto"/>
          <w:sz w:val="30"/>
          <w:szCs w:val="30"/>
        </w:rPr>
        <w:t>本项目服务费采用包干制，应包括服务成本、法定税费和企业的利润。由投标供应商根据采购文件所提供的资料自行测算投标报价；一经中标，报价总价作为中标供应商与采购人</w:t>
      </w:r>
      <w:r>
        <w:rPr>
          <w:rFonts w:hint="eastAsia" w:ascii="仿宋" w:hAnsi="仿宋" w:eastAsia="仿宋"/>
          <w:color w:val="auto"/>
          <w:sz w:val="30"/>
          <w:szCs w:val="30"/>
          <w:lang w:val="en-US" w:eastAsia="zh-CN"/>
        </w:rPr>
        <w:t>签订</w:t>
      </w:r>
      <w:r>
        <w:rPr>
          <w:rFonts w:hint="eastAsia" w:ascii="仿宋" w:hAnsi="仿宋" w:eastAsia="仿宋"/>
          <w:color w:val="auto"/>
          <w:sz w:val="30"/>
          <w:szCs w:val="30"/>
        </w:rPr>
        <w:t>的合同金额，合同期限内不做调整。</w:t>
      </w:r>
    </w:p>
    <w:p>
      <w:pPr>
        <w:pStyle w:val="8"/>
        <w:spacing w:line="360" w:lineRule="auto"/>
        <w:ind w:firstLine="600"/>
        <w:rPr>
          <w:rFonts w:ascii="仿宋" w:hAnsi="仿宋" w:eastAsia="仿宋"/>
          <w:color w:val="auto"/>
          <w:sz w:val="30"/>
          <w:szCs w:val="30"/>
        </w:rPr>
      </w:pPr>
      <w:r>
        <w:rPr>
          <w:rFonts w:ascii="仿宋" w:hAnsi="仿宋" w:eastAsia="仿宋"/>
          <w:color w:val="auto"/>
          <w:sz w:val="30"/>
          <w:szCs w:val="30"/>
        </w:rPr>
        <w:t>2</w:t>
      </w:r>
      <w:r>
        <w:rPr>
          <w:rFonts w:hint="eastAsia" w:ascii="仿宋" w:hAnsi="仿宋" w:eastAsia="仿宋"/>
          <w:color w:val="auto"/>
          <w:sz w:val="30"/>
          <w:szCs w:val="30"/>
        </w:rPr>
        <w:t>.</w:t>
      </w:r>
      <w:r>
        <w:rPr>
          <w:rFonts w:ascii="仿宋" w:hAnsi="仿宋" w:eastAsia="仿宋"/>
          <w:color w:val="auto"/>
          <w:sz w:val="30"/>
          <w:szCs w:val="30"/>
        </w:rPr>
        <w:t>投标供应商应当根据本企业的成本自行决定报价，但不得以低于其</w:t>
      </w:r>
      <w:r>
        <w:rPr>
          <w:rFonts w:hint="eastAsia" w:ascii="仿宋" w:hAnsi="仿宋" w:eastAsia="仿宋"/>
          <w:color w:val="auto"/>
          <w:sz w:val="30"/>
          <w:szCs w:val="30"/>
        </w:rPr>
        <w:t>企业成本的报价投标。</w:t>
      </w:r>
    </w:p>
    <w:p>
      <w:pPr>
        <w:pStyle w:val="8"/>
        <w:spacing w:line="360" w:lineRule="auto"/>
        <w:ind w:firstLine="600"/>
        <w:rPr>
          <w:rFonts w:ascii="仿宋" w:hAnsi="仿宋" w:eastAsia="仿宋"/>
          <w:color w:val="auto"/>
          <w:sz w:val="30"/>
          <w:szCs w:val="30"/>
        </w:rPr>
      </w:pPr>
      <w:r>
        <w:rPr>
          <w:rFonts w:ascii="仿宋" w:hAnsi="仿宋" w:eastAsia="仿宋"/>
          <w:color w:val="auto"/>
          <w:sz w:val="30"/>
          <w:szCs w:val="30"/>
        </w:rPr>
        <w:t>3</w:t>
      </w:r>
      <w:r>
        <w:rPr>
          <w:rFonts w:hint="eastAsia" w:ascii="仿宋" w:hAnsi="仿宋" w:eastAsia="仿宋"/>
          <w:color w:val="auto"/>
          <w:sz w:val="30"/>
          <w:szCs w:val="30"/>
        </w:rPr>
        <w:t>.</w:t>
      </w:r>
      <w:r>
        <w:rPr>
          <w:rFonts w:ascii="仿宋" w:hAnsi="仿宋" w:eastAsia="仿宋"/>
          <w:color w:val="auto"/>
          <w:sz w:val="30"/>
          <w:szCs w:val="30"/>
        </w:rPr>
        <w:t>投标供应商的报价不得超过项目预算金额。</w:t>
      </w:r>
    </w:p>
    <w:p>
      <w:pPr>
        <w:pStyle w:val="8"/>
        <w:spacing w:line="360" w:lineRule="auto"/>
        <w:ind w:firstLine="600"/>
        <w:rPr>
          <w:rFonts w:ascii="仿宋" w:hAnsi="仿宋" w:eastAsia="仿宋"/>
          <w:color w:val="auto"/>
          <w:sz w:val="30"/>
          <w:szCs w:val="30"/>
        </w:rPr>
      </w:pPr>
      <w:r>
        <w:rPr>
          <w:rFonts w:ascii="仿宋" w:hAnsi="仿宋" w:eastAsia="仿宋"/>
          <w:color w:val="auto"/>
          <w:sz w:val="30"/>
          <w:szCs w:val="30"/>
        </w:rPr>
        <w:t>4</w:t>
      </w:r>
      <w:r>
        <w:rPr>
          <w:rFonts w:hint="eastAsia" w:ascii="仿宋" w:hAnsi="仿宋" w:eastAsia="仿宋"/>
          <w:color w:val="auto"/>
          <w:sz w:val="30"/>
          <w:szCs w:val="30"/>
        </w:rPr>
        <w:t>.</w:t>
      </w:r>
      <w:r>
        <w:rPr>
          <w:rFonts w:ascii="仿宋" w:hAnsi="仿宋" w:eastAsia="仿宋"/>
          <w:color w:val="auto"/>
          <w:sz w:val="30"/>
          <w:szCs w:val="30"/>
        </w:rPr>
        <w:t>投标供应商的报价，应当是本项目采购范围和采购文件及合同条款上所列的各项内容中所述的全部，不得以任何理由予以重复。</w:t>
      </w:r>
    </w:p>
    <w:p>
      <w:pPr>
        <w:pStyle w:val="8"/>
        <w:spacing w:line="360" w:lineRule="auto"/>
        <w:ind w:firstLine="600"/>
        <w:rPr>
          <w:rFonts w:ascii="仿宋" w:hAnsi="仿宋" w:eastAsia="仿宋"/>
          <w:color w:val="auto"/>
          <w:sz w:val="30"/>
          <w:szCs w:val="30"/>
        </w:rPr>
      </w:pPr>
      <w:r>
        <w:rPr>
          <w:rFonts w:ascii="仿宋" w:hAnsi="仿宋" w:eastAsia="仿宋"/>
          <w:color w:val="auto"/>
          <w:sz w:val="30"/>
          <w:szCs w:val="30"/>
        </w:rPr>
        <w:t>5</w:t>
      </w:r>
      <w:r>
        <w:rPr>
          <w:rFonts w:hint="eastAsia" w:ascii="仿宋" w:hAnsi="仿宋" w:eastAsia="仿宋"/>
          <w:color w:val="auto"/>
          <w:sz w:val="30"/>
          <w:szCs w:val="30"/>
        </w:rPr>
        <w:t>.</w:t>
      </w:r>
      <w:r>
        <w:rPr>
          <w:rFonts w:ascii="仿宋" w:hAnsi="仿宋" w:eastAsia="仿宋"/>
          <w:color w:val="auto"/>
          <w:sz w:val="30"/>
          <w:szCs w:val="30"/>
        </w:rPr>
        <w:t>除非采购人通过修改采购文件予以更正，否则，投标供应商应毫无例外地按响应文件所列</w:t>
      </w:r>
      <w:commentRangeStart w:id="3"/>
      <w:r>
        <w:rPr>
          <w:rFonts w:ascii="仿宋" w:hAnsi="仿宋" w:eastAsia="仿宋"/>
          <w:color w:val="auto"/>
          <w:sz w:val="30"/>
          <w:szCs w:val="30"/>
        </w:rPr>
        <w:t>清单</w:t>
      </w:r>
      <w:r>
        <w:rPr>
          <w:rFonts w:hint="eastAsia" w:ascii="仿宋" w:hAnsi="仿宋" w:eastAsia="仿宋"/>
          <w:color w:val="auto"/>
          <w:sz w:val="30"/>
          <w:szCs w:val="30"/>
        </w:rPr>
        <w:t>中</w:t>
      </w:r>
      <w:commentRangeEnd w:id="3"/>
      <w:r>
        <w:commentReference w:id="3"/>
      </w:r>
      <w:r>
        <w:rPr>
          <w:rFonts w:ascii="仿宋" w:hAnsi="仿宋" w:eastAsia="仿宋"/>
          <w:color w:val="auto"/>
          <w:sz w:val="30"/>
          <w:szCs w:val="30"/>
        </w:rPr>
        <w:t>的</w:t>
      </w:r>
      <w:r>
        <w:rPr>
          <w:rFonts w:hint="eastAsia" w:ascii="仿宋" w:hAnsi="仿宋" w:eastAsia="仿宋"/>
          <w:color w:val="auto"/>
          <w:sz w:val="30"/>
          <w:szCs w:val="30"/>
        </w:rPr>
        <w:t>项目和数量填报综合单价和合价。投标供应商未填综合单价或合价的项目，在实施后，将不得以支付，并视作该项费用已包括在其它有价款的综合单价或合价内。</w:t>
      </w:r>
    </w:p>
    <w:p>
      <w:pPr>
        <w:pStyle w:val="8"/>
        <w:spacing w:line="360" w:lineRule="auto"/>
        <w:ind w:firstLine="600"/>
        <w:rPr>
          <w:rFonts w:ascii="仿宋" w:hAnsi="仿宋" w:eastAsia="仿宋"/>
          <w:color w:val="auto"/>
          <w:sz w:val="30"/>
          <w:szCs w:val="30"/>
        </w:rPr>
      </w:pPr>
      <w:r>
        <w:rPr>
          <w:rFonts w:ascii="仿宋" w:hAnsi="仿宋" w:eastAsia="仿宋"/>
          <w:color w:val="auto"/>
          <w:sz w:val="30"/>
          <w:szCs w:val="30"/>
        </w:rPr>
        <w:t>6</w:t>
      </w:r>
      <w:r>
        <w:rPr>
          <w:rFonts w:hint="eastAsia" w:ascii="仿宋" w:hAnsi="仿宋" w:eastAsia="仿宋"/>
          <w:color w:val="auto"/>
          <w:sz w:val="30"/>
          <w:szCs w:val="30"/>
        </w:rPr>
        <w:t>.</w:t>
      </w:r>
      <w:r>
        <w:rPr>
          <w:rFonts w:ascii="仿宋" w:hAnsi="仿宋" w:eastAsia="仿宋"/>
          <w:color w:val="auto"/>
          <w:sz w:val="30"/>
          <w:szCs w:val="30"/>
        </w:rPr>
        <w:t>投标供应商应先到项目地点踏勘以充分了解项目的位置、情况、道路及任何其它足以影响投标报价的情况，任何因忽视或误解项目情况而导致的索赔或服务期限延长申请将不获批准。</w:t>
      </w:r>
    </w:p>
    <w:p>
      <w:pPr>
        <w:pStyle w:val="8"/>
        <w:spacing w:line="360" w:lineRule="auto"/>
        <w:ind w:firstLine="600"/>
        <w:rPr>
          <w:rFonts w:ascii="仿宋" w:hAnsi="仿宋" w:eastAsia="仿宋"/>
          <w:color w:val="auto"/>
          <w:sz w:val="30"/>
          <w:szCs w:val="30"/>
        </w:rPr>
      </w:pPr>
      <w:r>
        <w:rPr>
          <w:rFonts w:ascii="仿宋" w:hAnsi="仿宋" w:eastAsia="仿宋"/>
          <w:color w:val="auto"/>
          <w:sz w:val="30"/>
          <w:szCs w:val="30"/>
        </w:rPr>
        <w:t>7</w:t>
      </w:r>
      <w:r>
        <w:rPr>
          <w:rFonts w:hint="eastAsia" w:ascii="仿宋" w:hAnsi="仿宋" w:eastAsia="仿宋"/>
          <w:color w:val="auto"/>
          <w:sz w:val="30"/>
          <w:szCs w:val="30"/>
        </w:rPr>
        <w:t>.</w:t>
      </w:r>
      <w:r>
        <w:rPr>
          <w:rFonts w:ascii="仿宋" w:hAnsi="仿宋" w:eastAsia="仿宋"/>
          <w:color w:val="auto"/>
          <w:sz w:val="30"/>
          <w:szCs w:val="30"/>
        </w:rPr>
        <w:t>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（六）付款方式</w:t>
      </w:r>
    </w:p>
    <w:p>
      <w:pPr>
        <w:pStyle w:val="8"/>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采用分期付款方式：分三期付款。</w:t>
      </w:r>
    </w:p>
    <w:p>
      <w:pPr>
        <w:pStyle w:val="8"/>
        <w:spacing w:line="360" w:lineRule="auto"/>
        <w:ind w:firstLine="600"/>
        <w:rPr>
          <w:rFonts w:ascii="仿宋" w:hAnsi="仿宋" w:eastAsia="仿宋"/>
          <w:color w:val="auto"/>
          <w:sz w:val="30"/>
          <w:szCs w:val="30"/>
        </w:rPr>
      </w:pPr>
      <w:r>
        <w:rPr>
          <w:rFonts w:hint="eastAsia" w:ascii="仿宋" w:hAnsi="仿宋" w:eastAsia="仿宋"/>
          <w:color w:val="auto"/>
          <w:sz w:val="30"/>
          <w:szCs w:val="30"/>
        </w:rPr>
        <w:t>首期款：自签订合同之日起，中标方在10个工作日之内提出付款申请，采购方按照区财政安排该项目的年度资金开展支付首期款工作（占合同总价款50%）；</w:t>
      </w:r>
    </w:p>
    <w:p>
      <w:pPr>
        <w:pStyle w:val="8"/>
        <w:spacing w:line="360" w:lineRule="auto"/>
        <w:ind w:firstLine="600"/>
        <w:rPr>
          <w:rFonts w:hint="eastAsia" w:ascii="仿宋" w:hAnsi="仿宋" w:eastAsia="仿宋"/>
          <w:color w:val="auto"/>
          <w:sz w:val="30"/>
          <w:szCs w:val="30"/>
        </w:rPr>
      </w:pPr>
      <w:r>
        <w:rPr>
          <w:rFonts w:hint="eastAsia" w:ascii="仿宋" w:hAnsi="仿宋" w:eastAsia="仿宋"/>
          <w:color w:val="auto"/>
          <w:sz w:val="30"/>
          <w:szCs w:val="30"/>
        </w:rPr>
        <w:t>中期款：中标方按照合同提交中期成果，并通过采购方审查通过后在10个工作日之内由中标方提出付款申请，采购方按照区财政安排项目的年度资金开展支付中期款工作（占合同总价款40%）；</w:t>
      </w:r>
    </w:p>
    <w:p>
      <w:pPr>
        <w:pStyle w:val="8"/>
        <w:spacing w:line="360" w:lineRule="auto"/>
        <w:ind w:firstLine="600"/>
        <w:rPr>
          <w:rFonts w:ascii="仿宋" w:hAnsi="仿宋" w:eastAsia="仿宋"/>
          <w:color w:val="auto"/>
          <w:sz w:val="30"/>
          <w:szCs w:val="30"/>
        </w:rPr>
      </w:pPr>
      <w:r>
        <w:rPr>
          <w:rFonts w:hint="eastAsia" w:ascii="仿宋" w:hAnsi="仿宋" w:eastAsia="仿宋"/>
          <w:color w:val="auto"/>
          <w:sz w:val="30"/>
          <w:szCs w:val="30"/>
        </w:rPr>
        <w:t>尾款:中标方提交最终成果，并通过采购方审查通过后、完成归档手续后在10个工作日之内由中标方提出付款申请，采购方按照区财政安排项目的年度资金开展支付尾款工作（占合同总价款10%）。</w:t>
      </w:r>
    </w:p>
    <w:p>
      <w:pPr>
        <w:pStyle w:val="8"/>
        <w:spacing w:line="360" w:lineRule="auto"/>
        <w:ind w:firstLine="600"/>
        <w:rPr>
          <w:rFonts w:ascii="仿宋" w:hAnsi="仿宋" w:eastAsia="仿宋"/>
          <w:color w:val="auto"/>
          <w:sz w:val="30"/>
          <w:szCs w:val="30"/>
        </w:rPr>
      </w:pPr>
      <w:r>
        <w:rPr>
          <w:rFonts w:hint="eastAsia" w:ascii="仿宋" w:hAnsi="仿宋" w:eastAsia="仿宋"/>
          <w:color w:val="auto"/>
          <w:sz w:val="30"/>
          <w:szCs w:val="30"/>
        </w:rPr>
        <w:t>（七）履约担保金：无。</w:t>
      </w:r>
    </w:p>
    <w:p>
      <w:pPr>
        <w:pStyle w:val="8"/>
        <w:spacing w:line="360" w:lineRule="auto"/>
        <w:ind w:firstLine="639" w:firstLineChars="213"/>
        <w:rPr>
          <w:rFonts w:ascii="仿宋" w:hAnsi="仿宋" w:eastAsia="仿宋"/>
          <w:color w:val="auto"/>
          <w:sz w:val="30"/>
          <w:szCs w:val="30"/>
        </w:rPr>
      </w:pPr>
      <w:r>
        <w:rPr>
          <w:rFonts w:hint="eastAsia" w:ascii="仿宋" w:hAnsi="仿宋" w:eastAsia="仿宋"/>
          <w:color w:val="auto"/>
          <w:sz w:val="30"/>
          <w:szCs w:val="30"/>
        </w:rPr>
        <w:t>（八）违约责任：以合同约定为准。</w:t>
      </w:r>
    </w:p>
    <w:p>
      <w:pPr>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rPr>
        <w:t>（九）其他：投标供应商必须签署《政府采购投标及履约承诺函》、《政府采购违法行为风险知悉确认书》</w:t>
      </w:r>
      <w:r>
        <w:rPr>
          <w:rFonts w:hint="eastAsia" w:ascii="仿宋" w:hAnsi="仿宋" w:eastAsia="仿宋"/>
          <w:color w:val="auto"/>
          <w:sz w:val="30"/>
          <w:szCs w:val="30"/>
          <w:lang w:eastAsia="zh-CN"/>
        </w:rPr>
        <w:t>《供应商基本情况表》</w:t>
      </w:r>
      <w:r>
        <w:rPr>
          <w:rFonts w:hint="eastAsia" w:ascii="仿宋" w:hAnsi="仿宋" w:eastAsia="仿宋"/>
          <w:color w:val="auto"/>
          <w:sz w:val="30"/>
          <w:szCs w:val="30"/>
        </w:rPr>
        <w:t>并加盖单位公章作为投标文件的组成部分，否则</w:t>
      </w:r>
      <w:commentRangeStart w:id="4"/>
      <w:r>
        <w:rPr>
          <w:rFonts w:hint="eastAsia" w:ascii="仿宋" w:hAnsi="仿宋" w:eastAsia="仿宋"/>
          <w:color w:val="auto"/>
          <w:sz w:val="30"/>
          <w:szCs w:val="30"/>
        </w:rPr>
        <w:t>做废</w:t>
      </w:r>
      <w:commentRangeEnd w:id="4"/>
      <w:r>
        <w:commentReference w:id="4"/>
      </w:r>
      <w:r>
        <w:rPr>
          <w:rFonts w:hint="eastAsia" w:ascii="仿宋" w:hAnsi="仿宋" w:eastAsia="仿宋"/>
          <w:color w:val="auto"/>
          <w:sz w:val="30"/>
          <w:szCs w:val="30"/>
        </w:rPr>
        <w:t>标处理。信用记录：未被列入失信被执行人、重大税收违法案件当事人名单、政府采购严重违法失信行为记录名单。通过“信用中国”、“中国政府采购网”以及“深圳市政府采购监管网”为供应商信用信息的查询渠道，以开标当日查询结果为准，相关查询截图证据与采购文件一并保存。</w:t>
      </w:r>
    </w:p>
    <w:p>
      <w:pPr>
        <w:spacing w:line="360" w:lineRule="auto"/>
        <w:ind w:firstLine="600" w:firstLineChars="200"/>
        <w:rPr>
          <w:rFonts w:ascii="仿宋" w:hAnsi="仿宋" w:eastAsia="仿宋"/>
          <w:color w:val="0000FF"/>
          <w:sz w:val="30"/>
          <w:szCs w:val="30"/>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baseline"/>
        <w:rPr>
          <w:rFonts w:hint="eastAsia" w:ascii="仿宋" w:hAnsi="仿宋" w:eastAsia="仿宋"/>
          <w:color w:val="0000FF"/>
          <w:sz w:val="30"/>
          <w:szCs w:val="30"/>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弞乢" w:date="2026-03-11T15:54:40Z" w:initials="">
    <w:p w14:paraId="F72FB460">
      <w:pPr>
        <w:pStyle w:val="3"/>
        <w:rPr>
          <w:rFonts w:hint="default" w:eastAsia="宋体"/>
          <w:lang w:val="en-US" w:eastAsia="zh-CN"/>
        </w:rPr>
      </w:pPr>
      <w:r>
        <w:rPr>
          <w:rFonts w:hint="eastAsia" w:eastAsia="宋体"/>
          <w:lang w:val="en-US" w:eastAsia="zh-CN"/>
        </w:rPr>
        <w:t>作出处置</w:t>
      </w:r>
    </w:p>
  </w:comment>
  <w:comment w:id="1" w:author="弞乢" w:date="2026-03-11T15:55:13Z" w:initials="">
    <w:p w14:paraId="2FDE08DE">
      <w:pPr>
        <w:pStyle w:val="3"/>
        <w:rPr>
          <w:rFonts w:hint="eastAsia" w:eastAsia="仿宋"/>
          <w:lang w:val="en-US" w:eastAsia="zh-CN"/>
        </w:rPr>
      </w:pPr>
      <w:r>
        <w:rPr>
          <w:rFonts w:hint="eastAsia" w:eastAsia="宋体"/>
          <w:lang w:val="en-US" w:eastAsia="zh-CN"/>
        </w:rPr>
        <w:t>自</w:t>
      </w:r>
      <w:r>
        <w:rPr>
          <w:rFonts w:hint="eastAsia" w:ascii="仿宋" w:hAnsi="仿宋" w:eastAsia="仿宋"/>
          <w:color w:val="auto"/>
          <w:sz w:val="30"/>
          <w:szCs w:val="30"/>
        </w:rPr>
        <w:t>2026年</w:t>
      </w:r>
      <w:r>
        <w:rPr>
          <w:rFonts w:hint="eastAsia" w:ascii="仿宋" w:hAnsi="仿宋" w:eastAsia="仿宋"/>
          <w:color w:val="auto"/>
          <w:sz w:val="30"/>
          <w:szCs w:val="30"/>
          <w:lang w:val="en-US" w:eastAsia="zh-CN"/>
        </w:rPr>
        <w:t>起</w:t>
      </w:r>
    </w:p>
  </w:comment>
  <w:comment w:id="2" w:author="弞乢" w:date="2026-03-11T15:56:20Z" w:initials="">
    <w:p w14:paraId="59BF5E44">
      <w:pPr>
        <w:pStyle w:val="3"/>
      </w:pPr>
      <w:r>
        <w:rPr>
          <w:rFonts w:hint="eastAsia" w:ascii="仿宋" w:hAnsi="仿宋" w:eastAsia="仿宋" w:cs="仿宋"/>
          <w:color w:val="auto"/>
          <w:sz w:val="21"/>
          <w:szCs w:val="21"/>
          <w:lang w:val="en-US" w:eastAsia="zh-CN"/>
        </w:rPr>
        <w:t>并开展</w:t>
      </w:r>
      <w:r>
        <w:rPr>
          <w:rFonts w:hint="eastAsia" w:ascii="仿宋" w:hAnsi="仿宋" w:eastAsia="仿宋" w:cs="仿宋"/>
          <w:color w:val="auto"/>
          <w:sz w:val="21"/>
          <w:szCs w:val="21"/>
        </w:rPr>
        <w:t>临时用地日常监管巡查工作</w:t>
      </w:r>
    </w:p>
  </w:comment>
  <w:comment w:id="3" w:author="弞乢" w:date="2026-03-11T15:57:30Z" w:initials="">
    <w:p w14:paraId="6B9FA026">
      <w:pPr>
        <w:pStyle w:val="3"/>
        <w:rPr>
          <w:rFonts w:hint="default" w:eastAsia="宋体"/>
          <w:lang w:val="en-US" w:eastAsia="zh-CN"/>
        </w:rPr>
      </w:pPr>
      <w:r>
        <w:rPr>
          <w:rFonts w:hint="eastAsia" w:eastAsia="宋体"/>
          <w:lang w:val="en-US" w:eastAsia="zh-CN"/>
        </w:rPr>
        <w:t>清单中的</w:t>
      </w:r>
    </w:p>
  </w:comment>
  <w:comment w:id="4" w:author="弞乢" w:date="2026-03-11T15:57:55Z" w:initials="">
    <w:p w14:paraId="37F78100">
      <w:pPr>
        <w:pStyle w:val="3"/>
        <w:rPr>
          <w:rFonts w:hint="eastAsia" w:eastAsia="宋体"/>
          <w:lang w:val="en-US" w:eastAsia="zh-CN"/>
        </w:rPr>
      </w:pPr>
      <w:r>
        <w:rPr>
          <w:rFonts w:hint="eastAsia" w:eastAsia="宋体"/>
          <w:lang w:val="en-US" w:eastAsia="zh-CN"/>
        </w:rPr>
        <w:t>作废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72FB460" w15:done="1"/>
  <w15:commentEx w15:paraId="2FDE08DE" w15:done="1"/>
  <w15:commentEx w15:paraId="59BF5E44" w15:done="1"/>
  <w15:commentEx w15:paraId="6B9FA026" w15:done="1"/>
  <w15:commentEx w15:paraId="37F78100"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CCC14"/>
    <w:multiLevelType w:val="singleLevel"/>
    <w:tmpl w:val="BA5CCC14"/>
    <w:lvl w:ilvl="0" w:tentative="0">
      <w:start w:val="1"/>
      <w:numFmt w:val="chineseCounting"/>
      <w:suff w:val="nothing"/>
      <w:lvlText w:val="（%1）"/>
      <w:lvlJc w:val="left"/>
      <w:rPr>
        <w:rFonts w:hint="eastAsia"/>
      </w:rPr>
    </w:lvl>
  </w:abstractNum>
  <w:abstractNum w:abstractNumId="1">
    <w:nsid w:val="4FDD7DE7"/>
    <w:multiLevelType w:val="singleLevel"/>
    <w:tmpl w:val="4FDD7DE7"/>
    <w:lvl w:ilvl="0" w:tentative="0">
      <w:start w:val="1"/>
      <w:numFmt w:val="chineseCounting"/>
      <w:suff w:val="nothing"/>
      <w:lvlText w:val="（%1）"/>
      <w:lvlJc w:val="left"/>
      <w:rPr>
        <w:rFonts w:hint="eastAsia"/>
      </w:rPr>
    </w:lvl>
  </w:abstractNum>
  <w:abstractNum w:abstractNumId="2">
    <w:nsid w:val="783D6798"/>
    <w:multiLevelType w:val="singleLevel"/>
    <w:tmpl w:val="783D6798"/>
    <w:lvl w:ilvl="0" w:tentative="0">
      <w:start w:val="1"/>
      <w:numFmt w:val="chineseCounting"/>
      <w:suff w:val="nothing"/>
      <w:lvlText w:val="%1、"/>
      <w:lvlJc w:val="left"/>
      <w:pPr>
        <w:ind w:left="-10"/>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弞乢">
    <w15:presenceInfo w15:providerId="WPS Office" w15:userId="4129362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ZDI5Njg1YjA3Mzc5NDdlMzkyNTZmZTE1MTJhYmIifQ=="/>
  </w:docVars>
  <w:rsids>
    <w:rsidRoot w:val="00000000"/>
    <w:rsid w:val="0BF36038"/>
    <w:rsid w:val="23EF2A88"/>
    <w:rsid w:val="286E3B08"/>
    <w:rsid w:val="2C9E14C2"/>
    <w:rsid w:val="2E35730D"/>
    <w:rsid w:val="31DDB46E"/>
    <w:rsid w:val="4D2C2A1E"/>
    <w:rsid w:val="4FFF3A85"/>
    <w:rsid w:val="61684445"/>
    <w:rsid w:val="6DD74BAC"/>
    <w:rsid w:val="728E4DB7"/>
    <w:rsid w:val="7467CF15"/>
    <w:rsid w:val="7C1C5824"/>
    <w:rsid w:val="7C7501B9"/>
    <w:rsid w:val="7CE2158A"/>
    <w:rsid w:val="7EFFF45A"/>
    <w:rsid w:val="ADCE1438"/>
    <w:rsid w:val="D6FE456D"/>
    <w:rsid w:val="FF7E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1"/>
    <w:qFormat/>
    <w:uiPriority w:val="0"/>
    <w:pPr>
      <w:spacing w:before="100" w:after="100" w:afterLines="0" w:afterAutospacing="0" w:line="300" w:lineRule="auto"/>
      <w:ind w:firstLine="1124" w:firstLineChars="200"/>
    </w:pPr>
    <w:rPr>
      <w:rFonts w:ascii="Times New Roman" w:hAnsi="Times New Roman"/>
    </w:rPr>
  </w:style>
  <w:style w:type="paragraph" w:customStyle="1" w:styleId="7">
    <w:name w:val="样式 标题 + 二号"/>
    <w:qFormat/>
    <w:uiPriority w:val="0"/>
    <w:rPr>
      <w:rFonts w:ascii="Arial" w:hAnsi="Arial" w:eastAsia="黑体" w:cs="Arial"/>
      <w:b/>
      <w:bCs/>
      <w:kern w:val="2"/>
      <w:sz w:val="44"/>
      <w:szCs w:val="32"/>
      <w:lang w:val="en-US" w:eastAsia="zh-CN" w:bidi="ar-SA"/>
    </w:rPr>
  </w:style>
  <w:style w:type="paragraph" w:styleId="8">
    <w:name w:val="List Paragraph"/>
    <w:basedOn w:val="1"/>
    <w:qFormat/>
    <w:uiPriority w:val="34"/>
    <w:pPr>
      <w:ind w:firstLine="420" w:firstLineChars="200"/>
    </w:pPr>
  </w:style>
  <w:style w:type="paragraph" w:customStyle="1" w:styleId="9">
    <w:name w:val="List Paragraph1"/>
    <w:basedOn w:val="1"/>
    <w:qFormat/>
    <w:uiPriority w:val="34"/>
    <w:pPr>
      <w:ind w:firstLine="420" w:firstLineChars="200"/>
      <w:textAlignment w:val="auto"/>
    </w:pPr>
    <w:rPr>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3598</Words>
  <Characters>3682</Characters>
  <Lines>0</Lines>
  <Paragraphs>0</Paragraphs>
  <TotalTime>89</TotalTime>
  <ScaleCrop>false</ScaleCrop>
  <LinksUpToDate>false</LinksUpToDate>
  <CharactersWithSpaces>3682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2026-01-09T16:08:00Z</dcterms:created>
  <dc:creator>Administrator</dc:creator>
  <cp:lastModifiedBy>asd</cp:lastModifiedBy>
  <cp:lastPrinted>2026-03-17T15:37:20Z</cp:lastPrinted>
  <dcterms:modified xsi:type="dcterms:W3CDTF">2026-03-17T15:41:21Z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9B016D9AEB4B41F2895EEA6E822FD93F_13</vt:lpwstr>
  </property>
  <property fmtid="{D5CDD505-2E9C-101B-9397-08002B2CF9AE}" pid="4" name="KSOTemplateDocerSaveRecord">
    <vt:lpwstr>eyJoZGlkIjoiNDI3ZmZkODA5ZDY2ZWM3ZTIyMzY2NDE3MzVhYjlkMzEiLCJ1c2VySWQiOiIxMjg0NzM2ODIyIn0=</vt:lpwstr>
  </property>
</Properties>
</file>