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403F">
      <w:pPr>
        <w:spacing w:line="332" w:lineRule="auto"/>
        <w:rPr>
          <w:rFonts w:hint="eastAsia" w:ascii="Arial" w:eastAsia="宋体"/>
          <w:sz w:val="21"/>
          <w:lang w:val="en-US" w:eastAsia="zh-CN"/>
        </w:rPr>
      </w:pPr>
      <w:bookmarkStart w:id="0" w:name="_GoBack"/>
      <w:bookmarkEnd w:id="0"/>
      <w:r>
        <w:rPr>
          <w:rFonts w:hint="eastAsia" w:eastAsia="宋体"/>
          <w:sz w:val="21"/>
          <w:lang w:val="en-US" w:eastAsia="zh-CN"/>
        </w:rPr>
        <w:t>-</w:t>
      </w:r>
    </w:p>
    <w:p w14:paraId="77ACA566">
      <w:pPr>
        <w:spacing w:before="140" w:line="225" w:lineRule="auto"/>
        <w:ind w:left="1186"/>
        <w:rPr>
          <w:rFonts w:ascii="黑体" w:hAnsi="黑体" w:eastAsia="黑体" w:cs="黑体"/>
          <w:sz w:val="43"/>
          <w:szCs w:val="43"/>
        </w:rPr>
      </w:pPr>
      <w:r>
        <w:rPr>
          <w:rFonts w:ascii="黑体" w:hAnsi="黑体" w:eastAsia="黑体" w:cs="黑体"/>
          <w:b/>
          <w:bCs/>
          <w:spacing w:val="5"/>
          <w:sz w:val="43"/>
          <w:szCs w:val="43"/>
        </w:rPr>
        <w:t>服务类项目采购需求模板（通用）</w:t>
      </w:r>
    </w:p>
    <w:p w14:paraId="3A51DC53">
      <w:pPr>
        <w:spacing w:line="85" w:lineRule="auto"/>
        <w:rPr>
          <w:rFonts w:ascii="Arial"/>
          <w:sz w:val="2"/>
        </w:rPr>
      </w:pPr>
    </w:p>
    <w:tbl>
      <w:tblPr>
        <w:tblStyle w:val="11"/>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831"/>
        <w:gridCol w:w="1756"/>
        <w:gridCol w:w="1556"/>
        <w:gridCol w:w="2264"/>
      </w:tblGrid>
      <w:tr w14:paraId="270C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64" w:type="dxa"/>
            <w:vAlign w:val="top"/>
          </w:tcPr>
          <w:p w14:paraId="22EE27DC">
            <w:pPr>
              <w:pStyle w:val="12"/>
              <w:spacing w:before="139" w:line="224" w:lineRule="auto"/>
              <w:ind w:left="127"/>
            </w:pPr>
            <w:r>
              <w:rPr>
                <w:b/>
                <w:bCs/>
                <w:spacing w:val="4"/>
              </w:rPr>
              <w:t>*</w:t>
            </w:r>
            <w:r>
              <w:rPr>
                <w:spacing w:val="4"/>
              </w:rPr>
              <w:t>项目名称</w:t>
            </w:r>
          </w:p>
        </w:tc>
        <w:tc>
          <w:tcPr>
            <w:tcW w:w="7407" w:type="dxa"/>
            <w:gridSpan w:val="4"/>
            <w:vAlign w:val="center"/>
          </w:tcPr>
          <w:p w14:paraId="717AB8C1">
            <w:pPr>
              <w:jc w:val="left"/>
              <w:rPr>
                <w:rFonts w:hint="default" w:ascii="Arial"/>
                <w:sz w:val="21"/>
                <w:lang w:val="en-US"/>
              </w:rPr>
            </w:pPr>
            <w:r>
              <w:rPr>
                <w:rFonts w:hint="eastAsia"/>
                <w:lang w:val="en-US" w:eastAsia="zh-CN"/>
              </w:rPr>
              <w:t>科普绘本编制及活动开展项目</w:t>
            </w:r>
          </w:p>
        </w:tc>
      </w:tr>
      <w:tr w14:paraId="77E8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Align w:val="top"/>
          </w:tcPr>
          <w:p w14:paraId="25BD9638">
            <w:pPr>
              <w:pStyle w:val="12"/>
              <w:spacing w:before="130" w:line="224" w:lineRule="auto"/>
              <w:ind w:left="127"/>
            </w:pPr>
            <w:r>
              <w:rPr>
                <w:b/>
                <w:bCs/>
                <w:spacing w:val="5"/>
              </w:rPr>
              <w:t>*</w:t>
            </w:r>
            <w:r>
              <w:rPr>
                <w:spacing w:val="5"/>
              </w:rPr>
              <w:t>采购人名称</w:t>
            </w:r>
          </w:p>
        </w:tc>
        <w:tc>
          <w:tcPr>
            <w:tcW w:w="3587" w:type="dxa"/>
            <w:gridSpan w:val="2"/>
            <w:shd w:val="clear" w:color="auto" w:fill="auto"/>
            <w:vAlign w:val="center"/>
          </w:tcPr>
          <w:p w14:paraId="12892D9F">
            <w:pPr>
              <w:jc w:val="left"/>
              <w:rPr>
                <w:rFonts w:hint="default" w:ascii="仿宋" w:hAnsi="仿宋" w:eastAsia="仿宋" w:cs="Arial"/>
                <w:snapToGrid w:val="0"/>
                <w:color w:val="000000" w:themeColor="text1"/>
                <w:kern w:val="0"/>
                <w:sz w:val="21"/>
                <w:szCs w:val="21"/>
                <w:lang w:val="en-US" w:eastAsia="zh-CN" w:bidi="ar-SA"/>
                <w14:textFill>
                  <w14:solidFill>
                    <w14:schemeClr w14:val="tx1"/>
                  </w14:solidFill>
                </w14:textFill>
              </w:rPr>
            </w:pPr>
            <w:r>
              <w:rPr>
                <w:rFonts w:hint="eastAsia"/>
                <w:lang w:val="en-US" w:eastAsia="zh-CN"/>
              </w:rPr>
              <w:t>广东内伶仃福田国家级自然保护区管理局</w:t>
            </w:r>
          </w:p>
        </w:tc>
        <w:tc>
          <w:tcPr>
            <w:tcW w:w="1556" w:type="dxa"/>
            <w:vAlign w:val="top"/>
          </w:tcPr>
          <w:p w14:paraId="46C3385A">
            <w:pPr>
              <w:pStyle w:val="12"/>
              <w:spacing w:before="131" w:line="225" w:lineRule="auto"/>
              <w:ind w:left="125"/>
            </w:pPr>
            <w:r>
              <w:rPr>
                <w:b/>
                <w:bCs/>
                <w:spacing w:val="4"/>
              </w:rPr>
              <w:t>*</w:t>
            </w:r>
            <w:r>
              <w:rPr>
                <w:spacing w:val="4"/>
              </w:rPr>
              <w:t>采购方式</w:t>
            </w:r>
          </w:p>
        </w:tc>
        <w:tc>
          <w:tcPr>
            <w:tcW w:w="2264" w:type="dxa"/>
            <w:vAlign w:val="center"/>
          </w:tcPr>
          <w:p w14:paraId="776E913F">
            <w:pPr>
              <w:jc w:val="left"/>
              <w:rPr>
                <w:rFonts w:hint="eastAsia" w:ascii="Arial" w:eastAsia="宋体"/>
                <w:sz w:val="21"/>
                <w:lang w:val="en-US" w:eastAsia="zh-CN"/>
              </w:rPr>
            </w:pPr>
            <w:r>
              <w:rPr>
                <w:rFonts w:hint="eastAsia"/>
                <w:lang w:val="en-US" w:eastAsia="zh-CN"/>
              </w:rPr>
              <w:t>公开招标</w:t>
            </w:r>
          </w:p>
        </w:tc>
      </w:tr>
      <w:tr w14:paraId="1E320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64" w:type="dxa"/>
            <w:vAlign w:val="top"/>
          </w:tcPr>
          <w:p w14:paraId="79230FC3">
            <w:pPr>
              <w:pStyle w:val="12"/>
              <w:spacing w:before="51" w:line="262" w:lineRule="auto"/>
              <w:ind w:left="123" w:right="193" w:hanging="3"/>
            </w:pPr>
            <w:r>
              <w:rPr>
                <w:spacing w:val="7"/>
              </w:rPr>
              <w:t>计划立项批文</w:t>
            </w:r>
            <w:r>
              <w:t>号</w:t>
            </w:r>
          </w:p>
        </w:tc>
        <w:tc>
          <w:tcPr>
            <w:tcW w:w="3587" w:type="dxa"/>
            <w:gridSpan w:val="2"/>
            <w:vAlign w:val="top"/>
          </w:tcPr>
          <w:p w14:paraId="14CE5C36">
            <w:pPr>
              <w:rPr>
                <w:rFonts w:ascii="Arial"/>
                <w:sz w:val="21"/>
              </w:rPr>
            </w:pPr>
          </w:p>
        </w:tc>
        <w:tc>
          <w:tcPr>
            <w:tcW w:w="1556" w:type="dxa"/>
            <w:vAlign w:val="top"/>
          </w:tcPr>
          <w:p w14:paraId="4624D428">
            <w:pPr>
              <w:pStyle w:val="12"/>
              <w:spacing w:before="208" w:line="221" w:lineRule="auto"/>
              <w:ind w:left="125"/>
            </w:pPr>
            <w:r>
              <w:rPr>
                <w:b/>
                <w:bCs/>
                <w:spacing w:val="4"/>
              </w:rPr>
              <w:t>*</w:t>
            </w:r>
            <w:r>
              <w:rPr>
                <w:spacing w:val="4"/>
              </w:rPr>
              <w:t>资金来源</w:t>
            </w:r>
          </w:p>
        </w:tc>
        <w:tc>
          <w:tcPr>
            <w:tcW w:w="2264" w:type="dxa"/>
            <w:vAlign w:val="top"/>
          </w:tcPr>
          <w:p w14:paraId="6531761B">
            <w:pPr>
              <w:rPr>
                <w:rFonts w:ascii="Arial"/>
                <w:sz w:val="21"/>
              </w:rPr>
            </w:pPr>
          </w:p>
        </w:tc>
      </w:tr>
      <w:tr w14:paraId="089A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64" w:type="dxa"/>
            <w:vAlign w:val="top"/>
          </w:tcPr>
          <w:p w14:paraId="0A362E6C">
            <w:pPr>
              <w:pStyle w:val="12"/>
              <w:spacing w:before="53" w:line="261" w:lineRule="auto"/>
              <w:ind w:left="120" w:right="297" w:firstLine="6"/>
            </w:pPr>
            <w:r>
              <w:rPr>
                <w:b/>
                <w:bCs/>
                <w:spacing w:val="5"/>
              </w:rPr>
              <w:t>*</w:t>
            </w:r>
            <w:r>
              <w:rPr>
                <w:spacing w:val="5"/>
              </w:rPr>
              <w:t>财政预算限额（元）</w:t>
            </w:r>
          </w:p>
        </w:tc>
        <w:tc>
          <w:tcPr>
            <w:tcW w:w="3587" w:type="dxa"/>
            <w:gridSpan w:val="2"/>
            <w:vAlign w:val="center"/>
          </w:tcPr>
          <w:p w14:paraId="2803E5CB">
            <w:pPr>
              <w:jc w:val="both"/>
              <w:rPr>
                <w:rFonts w:ascii="Arial"/>
                <w:sz w:val="21"/>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193000</w:t>
            </w:r>
            <w:r>
              <w:rPr>
                <w:rFonts w:hint="default" w:ascii="仿宋" w:hAnsi="仿宋" w:eastAsia="仿宋" w:cs="仿宋"/>
                <w:b/>
                <w:bCs/>
                <w:color w:val="000000" w:themeColor="text1"/>
                <w:kern w:val="2"/>
                <w:sz w:val="21"/>
                <w:szCs w:val="21"/>
                <w:lang w:val="en-US" w:eastAsia="zh-CN" w:bidi="ar-SA"/>
                <w14:textFill>
                  <w14:solidFill>
                    <w14:schemeClr w14:val="tx1"/>
                  </w14:solidFill>
                </w14:textFill>
              </w:rPr>
              <w:t>（人民币壹拾玖万叁仟元整）</w:t>
            </w:r>
          </w:p>
        </w:tc>
        <w:tc>
          <w:tcPr>
            <w:tcW w:w="1556" w:type="dxa"/>
            <w:vAlign w:val="top"/>
          </w:tcPr>
          <w:p w14:paraId="73AA9F62">
            <w:pPr>
              <w:rPr>
                <w:rFonts w:ascii="Arial"/>
                <w:sz w:val="21"/>
              </w:rPr>
            </w:pPr>
          </w:p>
        </w:tc>
        <w:tc>
          <w:tcPr>
            <w:tcW w:w="2264" w:type="dxa"/>
            <w:vAlign w:val="top"/>
          </w:tcPr>
          <w:p w14:paraId="02EE84DC">
            <w:pPr>
              <w:rPr>
                <w:rFonts w:ascii="Arial"/>
                <w:sz w:val="21"/>
              </w:rPr>
            </w:pPr>
          </w:p>
        </w:tc>
      </w:tr>
      <w:tr w14:paraId="2616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64" w:type="dxa"/>
            <w:vAlign w:val="top"/>
          </w:tcPr>
          <w:p w14:paraId="08001C08">
            <w:pPr>
              <w:pStyle w:val="12"/>
              <w:spacing w:before="71" w:line="222" w:lineRule="auto"/>
              <w:jc w:val="center"/>
              <w:rPr>
                <w:spacing w:val="13"/>
              </w:rPr>
            </w:pPr>
            <w:r>
              <w:rPr>
                <w:spacing w:val="13"/>
              </w:rPr>
              <w:t>项目背景</w:t>
            </w:r>
          </w:p>
        </w:tc>
        <w:tc>
          <w:tcPr>
            <w:tcW w:w="7407" w:type="dxa"/>
            <w:gridSpan w:val="4"/>
            <w:vAlign w:val="top"/>
          </w:tcPr>
          <w:p w14:paraId="150A7F3C">
            <w:pPr>
              <w:ind w:firstLine="420" w:firstLineChars="200"/>
              <w:jc w:val="left"/>
              <w:rPr>
                <w:rFonts w:hint="eastAsia"/>
                <w:lang w:val="en-US" w:eastAsia="zh-CN"/>
              </w:rPr>
            </w:pPr>
            <w:r>
              <w:rPr>
                <w:rFonts w:hint="eastAsia"/>
                <w:lang w:val="en-US" w:eastAsia="zh-CN"/>
              </w:rPr>
              <w:t>广东内伶仃福田国家级自然保护区是全国唯一地处城市腹地且面积最小的国家级红树林湿地保护区，是东亚——澳大利西亚候鸟迁飞通道的中转站和加油站，也是深圳乃至全国重要的自然教育与生态科普阵地。</w:t>
            </w:r>
          </w:p>
          <w:p w14:paraId="4EB2A979">
            <w:pPr>
              <w:ind w:firstLine="420" w:firstLineChars="200"/>
              <w:jc w:val="left"/>
              <w:rPr>
                <w:rFonts w:ascii="Arial"/>
                <w:sz w:val="21"/>
              </w:rPr>
            </w:pPr>
            <w:r>
              <w:rPr>
                <w:rFonts w:hint="eastAsia"/>
                <w:lang w:val="en-US" w:eastAsia="zh-CN"/>
              </w:rPr>
              <w:t>为持续推动保护区全龄化科普教育，打造贴合少儿认知特点的本土化红树林科普内容，以童趣化、沉浸式的方式传递生态知识，依托科普绘本内容设计开展配套科普活动，让生态保护理念融入公众日常生活，打破线下场景局限，打造可延伸、可复制的常态化科普载体，推动自然教育向家庭、校园、社会全域覆盖。       通过编制红树林幼儿主题科普绘本、打造以绘本内容为核心的系列配套科普活动、搭建系统化宣传推广体系，打造保护区专属自然教育科普内容矩阵，扩大生态科普辐射范围，提升福田红树林自然教育品牌影响力，助力深圳福田红树林生态保护事业长效发展。</w:t>
            </w:r>
          </w:p>
        </w:tc>
      </w:tr>
      <w:tr w14:paraId="04290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64" w:type="dxa"/>
            <w:vAlign w:val="top"/>
          </w:tcPr>
          <w:p w14:paraId="007D0AEE">
            <w:pPr>
              <w:pStyle w:val="12"/>
              <w:spacing w:before="71" w:line="222" w:lineRule="auto"/>
              <w:jc w:val="center"/>
              <w:rPr>
                <w:spacing w:val="13"/>
              </w:rPr>
            </w:pPr>
            <w:r>
              <w:rPr>
                <w:spacing w:val="13"/>
              </w:rPr>
              <w:t>项目前期设</w:t>
            </w:r>
          </w:p>
          <w:p w14:paraId="79ACE338">
            <w:pPr>
              <w:pStyle w:val="12"/>
              <w:spacing w:before="71" w:line="222" w:lineRule="auto"/>
              <w:jc w:val="center"/>
              <w:rPr>
                <w:spacing w:val="13"/>
              </w:rPr>
            </w:pPr>
            <w:r>
              <w:rPr>
                <w:spacing w:val="13"/>
              </w:rPr>
              <w:t>计、规划论证单位</w:t>
            </w:r>
          </w:p>
        </w:tc>
        <w:tc>
          <w:tcPr>
            <w:tcW w:w="7407" w:type="dxa"/>
            <w:gridSpan w:val="4"/>
            <w:vAlign w:val="top"/>
          </w:tcPr>
          <w:p w14:paraId="61C369CD">
            <w:pPr>
              <w:spacing w:line="299" w:lineRule="auto"/>
              <w:rPr>
                <w:rFonts w:ascii="Arial"/>
                <w:sz w:val="21"/>
              </w:rPr>
            </w:pPr>
          </w:p>
          <w:p w14:paraId="7EE2DE7E">
            <w:pPr>
              <w:pStyle w:val="12"/>
              <w:spacing w:before="65" w:line="222" w:lineRule="auto"/>
              <w:ind w:left="107"/>
              <w:rPr>
                <w:rFonts w:hint="eastAsia" w:eastAsia="FangSong_GB2312"/>
                <w:lang w:eastAsia="zh-CN"/>
              </w:rPr>
            </w:pPr>
            <w:r>
              <w:rPr>
                <w:rFonts w:hint="eastAsia"/>
                <w:spacing w:val="8"/>
                <w:lang w:val="en-US" w:eastAsia="zh-CN"/>
              </w:rPr>
              <w:t>无</w:t>
            </w:r>
          </w:p>
        </w:tc>
      </w:tr>
      <w:tr w14:paraId="396C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564" w:type="dxa"/>
            <w:vAlign w:val="top"/>
          </w:tcPr>
          <w:p w14:paraId="5BA674DD">
            <w:pPr>
              <w:pStyle w:val="12"/>
              <w:spacing w:before="71" w:line="222" w:lineRule="auto"/>
              <w:jc w:val="center"/>
              <w:rPr>
                <w:spacing w:val="13"/>
              </w:rPr>
            </w:pPr>
          </w:p>
          <w:p w14:paraId="308A2976">
            <w:pPr>
              <w:pStyle w:val="12"/>
              <w:spacing w:before="71" w:line="222" w:lineRule="auto"/>
              <w:jc w:val="center"/>
              <w:rPr>
                <w:spacing w:val="13"/>
              </w:rPr>
            </w:pPr>
          </w:p>
          <w:p w14:paraId="32708641">
            <w:pPr>
              <w:pStyle w:val="12"/>
              <w:spacing w:before="71" w:line="222" w:lineRule="auto"/>
              <w:jc w:val="center"/>
              <w:rPr>
                <w:spacing w:val="13"/>
              </w:rPr>
            </w:pPr>
          </w:p>
          <w:p w14:paraId="098957DF">
            <w:pPr>
              <w:pStyle w:val="12"/>
              <w:spacing w:before="71" w:line="222" w:lineRule="auto"/>
              <w:jc w:val="center"/>
              <w:rPr>
                <w:spacing w:val="13"/>
              </w:rPr>
            </w:pPr>
            <w:r>
              <w:rPr>
                <w:spacing w:val="13"/>
              </w:rPr>
              <w:t>投标人资质要求</w:t>
            </w:r>
          </w:p>
        </w:tc>
        <w:tc>
          <w:tcPr>
            <w:tcW w:w="7407" w:type="dxa"/>
            <w:gridSpan w:val="4"/>
            <w:vAlign w:val="top"/>
          </w:tcPr>
          <w:p w14:paraId="6F92A82B">
            <w:pPr>
              <w:ind w:firstLine="420" w:firstLineChars="200"/>
              <w:jc w:val="left"/>
              <w:rPr>
                <w:rFonts w:hint="eastAsia"/>
              </w:rPr>
            </w:pPr>
            <w:r>
              <w:rPr>
                <w:rFonts w:hint="eastAsia"/>
                <w:lang w:val="en-US" w:eastAsia="zh-CN"/>
              </w:rPr>
              <w:t>1.</w:t>
            </w:r>
            <w:r>
              <w:rPr>
                <w:rFonts w:hint="eastAsia"/>
              </w:rPr>
              <w:t>中华人民共和国境内注册的独立法人;</w:t>
            </w:r>
          </w:p>
          <w:p w14:paraId="6B409B4C">
            <w:pPr>
              <w:ind w:firstLine="420" w:firstLineChars="200"/>
              <w:jc w:val="left"/>
              <w:rPr>
                <w:rFonts w:hint="eastAsia"/>
                <w:lang w:eastAsia="zh-CN"/>
              </w:rPr>
            </w:pPr>
            <w:r>
              <w:rPr>
                <w:rFonts w:hint="eastAsia"/>
                <w:lang w:val="en-US" w:eastAsia="zh-CN"/>
              </w:rPr>
              <w:t>2.无</w:t>
            </w:r>
            <w:r>
              <w:rPr>
                <w:rFonts w:hint="eastAsia"/>
              </w:rPr>
              <w:t xml:space="preserve">不良记录:近三年内(截止时间从招标文件发布之日算起，供应商成立不足三年的从成立之日算起，下同)，投标人在政府采购或建设系统内没有骗取中标、合同履约纠纷及重大安全及质量问题，不存在被政府有关部门取消投标资格或列入不良行为记录在公示期内(投标人需在“履约承诺函”中进行承诺并加盖公章) </w:t>
            </w:r>
            <w:r>
              <w:rPr>
                <w:rFonts w:hint="eastAsia"/>
                <w:lang w:eastAsia="zh-CN"/>
              </w:rPr>
              <w:t>；</w:t>
            </w:r>
          </w:p>
          <w:p w14:paraId="51F5382F">
            <w:pPr>
              <w:ind w:firstLine="420" w:firstLineChars="200"/>
              <w:jc w:val="left"/>
            </w:pPr>
            <w:r>
              <w:rPr>
                <w:rFonts w:hint="eastAsia"/>
                <w:lang w:val="en-US" w:eastAsia="zh-CN"/>
              </w:rPr>
              <w:t>3</w:t>
            </w:r>
            <w:r>
              <w:rPr>
                <w:rFonts w:hint="eastAsia"/>
              </w:rPr>
              <w:t>. 本项目不接受联合体投标，不允许转包分包。</w:t>
            </w:r>
          </w:p>
        </w:tc>
      </w:tr>
      <w:tr w14:paraId="0E8E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64" w:type="dxa"/>
            <w:vAlign w:val="top"/>
          </w:tcPr>
          <w:p w14:paraId="49FFBC23">
            <w:pPr>
              <w:pStyle w:val="12"/>
              <w:spacing w:before="71" w:line="222" w:lineRule="auto"/>
              <w:jc w:val="center"/>
              <w:rPr>
                <w:spacing w:val="13"/>
              </w:rPr>
            </w:pPr>
          </w:p>
          <w:p w14:paraId="713703F0">
            <w:pPr>
              <w:pStyle w:val="12"/>
              <w:spacing w:before="71" w:line="222" w:lineRule="auto"/>
              <w:jc w:val="center"/>
              <w:rPr>
                <w:spacing w:val="13"/>
              </w:rPr>
            </w:pPr>
          </w:p>
          <w:p w14:paraId="3D1BA031">
            <w:pPr>
              <w:pStyle w:val="12"/>
              <w:spacing w:before="71" w:line="222" w:lineRule="auto"/>
              <w:jc w:val="center"/>
              <w:rPr>
                <w:spacing w:val="13"/>
              </w:rPr>
            </w:pPr>
            <w:r>
              <w:rPr>
                <w:spacing w:val="13"/>
              </w:rPr>
              <w:t>需求内容</w:t>
            </w:r>
          </w:p>
        </w:tc>
        <w:tc>
          <w:tcPr>
            <w:tcW w:w="7407" w:type="dxa"/>
            <w:gridSpan w:val="4"/>
            <w:vAlign w:val="top"/>
          </w:tcPr>
          <w:p w14:paraId="06A2B965">
            <w:pPr>
              <w:pStyle w:val="13"/>
              <w:spacing w:line="240" w:lineRule="auto"/>
              <w:ind w:left="0" w:leftChars="0" w:firstLine="0" w:firstLineChars="0"/>
              <w:rPr>
                <w:rFonts w:ascii="仿宋" w:hAnsi="仿宋" w:eastAsia="仿宋"/>
                <w:color w:val="000000" w:themeColor="text1"/>
                <w:szCs w:val="21"/>
                <w:highlight w:val="none"/>
                <w14:textFill>
                  <w14:solidFill>
                    <w14:schemeClr w14:val="tx1"/>
                  </w14:solidFill>
                </w14:textFill>
              </w:rPr>
            </w:pPr>
            <w:r>
              <w:rPr>
                <w:rFonts w:ascii="仿宋" w:hAnsi="仿宋" w:eastAsia="仿宋"/>
                <w:b/>
                <w:color w:val="000000" w:themeColor="text1"/>
                <w:szCs w:val="21"/>
                <w:highlight w:val="none"/>
                <w14:textFill>
                  <w14:solidFill>
                    <w14:schemeClr w14:val="tx1"/>
                  </w14:solidFill>
                </w14:textFill>
              </w:rPr>
              <w:t>*</w:t>
            </w:r>
            <w:r>
              <w:rPr>
                <w:rFonts w:ascii="仿宋" w:hAnsi="仿宋" w:eastAsia="仿宋"/>
                <w:bCs/>
                <w:color w:val="000000" w:themeColor="text1"/>
                <w:szCs w:val="21"/>
                <w:highlight w:val="none"/>
                <w14:textFill>
                  <w14:solidFill>
                    <w14:schemeClr w14:val="tx1"/>
                  </w14:solidFill>
                </w14:textFill>
              </w:rPr>
              <w:t>1、</w:t>
            </w:r>
            <w:r>
              <w:rPr>
                <w:rFonts w:ascii="仿宋" w:hAnsi="仿宋" w:eastAsia="仿宋"/>
                <w:color w:val="000000" w:themeColor="text1"/>
                <w:szCs w:val="21"/>
                <w:highlight w:val="none"/>
                <w14:textFill>
                  <w14:solidFill>
                    <w14:schemeClr w14:val="tx1"/>
                  </w14:solidFill>
                </w14:textFill>
              </w:rPr>
              <w:t>报价要求（明确分项报价要求）</w:t>
            </w:r>
          </w:p>
          <w:p w14:paraId="72BA5ADD">
            <w:pPr>
              <w:ind w:firstLine="420" w:firstLineChars="200"/>
              <w:jc w:val="left"/>
            </w:pPr>
            <w:r>
              <w:rPr>
                <w:rFonts w:hint="eastAsia" w:ascii="宋体" w:hAnsi="宋体" w:eastAsia="宋体" w:cs="宋体"/>
                <w:color w:val="000000" w:themeColor="text1"/>
                <w:kern w:val="2"/>
                <w:szCs w:val="21"/>
                <w:highlight w:val="none"/>
                <w:lang w:eastAsia="zh-CN"/>
                <w14:textFill>
                  <w14:solidFill>
                    <w14:schemeClr w14:val="tx1"/>
                  </w14:solidFill>
                </w14:textFill>
              </w:rPr>
              <w:t>1</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Cs w:val="21"/>
                <w:highlight w:val="none"/>
                <w:lang w:eastAsia="zh-CN"/>
                <w14:textFill>
                  <w14:solidFill>
                    <w14:schemeClr w14:val="tx1"/>
                  </w14:solidFill>
                </w14:textFill>
              </w:rPr>
              <w:t>本项目服务费采用包干制，应包括服务成本、法定税费和企业的利润</w:t>
            </w:r>
            <w:r>
              <w:rPr>
                <w:rFonts w:hint="eastAsia"/>
              </w:rPr>
              <w:t>。由投标供应商根据采购文件所提供的资料自行测算投标报价；一经中标，报价总价作为中标供应商与采购人签定的合同金额，合同期限内不做调整。</w:t>
            </w:r>
          </w:p>
          <w:p w14:paraId="1FA51E59">
            <w:pPr>
              <w:pStyle w:val="13"/>
              <w:spacing w:line="240" w:lineRule="auto"/>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投标人应当根据本企业的成本自行决定报价，但不得以低于其企业成本的报价投标。</w:t>
            </w:r>
          </w:p>
          <w:p w14:paraId="6FDF8C61">
            <w:pPr>
              <w:pStyle w:val="13"/>
              <w:spacing w:line="240" w:lineRule="auto"/>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3</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投标人的报价不得超过项目预算金额。</w:t>
            </w:r>
          </w:p>
          <w:p w14:paraId="1C0B3456">
            <w:pPr>
              <w:pStyle w:val="13"/>
              <w:spacing w:line="240" w:lineRule="auto"/>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4</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投标人的报价，应当是本项目采购范围和采购文件及合同条款上所列的各项内容中所述的全部，不得以任何理由予以重复。</w:t>
            </w:r>
          </w:p>
          <w:p w14:paraId="7E9F2917">
            <w:pPr>
              <w:pStyle w:val="13"/>
              <w:spacing w:line="240" w:lineRule="auto"/>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5</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p w14:paraId="26FEE79F">
            <w:pPr>
              <w:ind w:firstLine="420" w:firstLineChars="200"/>
              <w:jc w:val="left"/>
              <w:rPr>
                <w:rFonts w:hint="eastAsia" w:ascii="仿宋" w:hAnsi="仿宋" w:eastAsia="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6</w:t>
            </w:r>
            <w:r>
              <w:rPr>
                <w:rFonts w:hint="eastAsia" w:ascii="宋体" w:hAnsi="宋体" w:eastAsia="宋体" w:cs="宋体"/>
                <w:color w:val="000000" w:themeColor="text1"/>
                <w:kern w:val="2"/>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投标人不得期望通过索赔等方式获取补偿，否则，除可能遭到拒绝外，还可能将被作为不良行为记录在案，并可能影响其以后参加政府采购的项目投标。各投标人在报价时，应充分考虑报价的风险。</w:t>
            </w:r>
          </w:p>
          <w:p w14:paraId="755BC3B0">
            <w:pPr>
              <w:pStyle w:val="13"/>
              <w:spacing w:line="240" w:lineRule="auto"/>
              <w:ind w:left="0" w:leftChars="0" w:firstLine="0" w:firstLineChars="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ascii="仿宋" w:hAnsi="仿宋" w:eastAsia="仿宋"/>
                <w:b/>
                <w:color w:val="000000" w:themeColor="text1"/>
                <w:szCs w:val="21"/>
                <w:highlight w:val="none"/>
                <w14:textFill>
                  <w14:solidFill>
                    <w14:schemeClr w14:val="tx1"/>
                  </w14:solidFill>
                </w14:textFill>
              </w:rPr>
              <w:t>*</w:t>
            </w:r>
            <w:r>
              <w:rPr>
                <w:rFonts w:ascii="仿宋" w:hAnsi="仿宋" w:eastAsia="仿宋"/>
                <w:color w:val="000000" w:themeColor="text1"/>
                <w:szCs w:val="21"/>
                <w:highlight w:val="none"/>
                <w14:textFill>
                  <w14:solidFill>
                    <w14:schemeClr w14:val="tx1"/>
                  </w14:solidFill>
                </w14:textFill>
              </w:rPr>
              <w:t>2、付款</w:t>
            </w:r>
            <w:r>
              <w:rPr>
                <w:rFonts w:hint="eastAsia" w:ascii="仿宋" w:hAnsi="仿宋" w:eastAsia="仿宋"/>
                <w:color w:val="000000" w:themeColor="text1"/>
                <w:szCs w:val="21"/>
                <w:highlight w:val="none"/>
                <w14:textFill>
                  <w14:solidFill>
                    <w14:schemeClr w14:val="tx1"/>
                  </w14:solidFill>
                </w14:textFill>
              </w:rPr>
              <w:t>方式</w:t>
            </w:r>
            <w:r>
              <w:rPr>
                <w:rFonts w:hint="eastAsia" w:ascii="仿宋" w:hAnsi="仿宋" w:eastAsia="仿宋"/>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人民币壹拾玖万叁仟元整（¥193000.00 元）。甲方在合同生效后 15 个工作日内，甲方应当在收到乙方开具相应金额的发票后向乙方支付合同总金额的 70%，即人民币壹拾叁万伍仟壹佰元整（¥135100.00 元）；绘本编绘定稿、以绘本内容为核心的配套科普活动由乙方全部策划落地实施、项目全部成果交付完成，整体项目经甲方最终验收合格后 15 个工作日内，甲方在收到乙方开具相应金额的合法合规发票后，向乙方支付合同总金额的 30%，即人民币伍万柒仟玖佰元整（¥57900.00 元）。</w:t>
            </w:r>
          </w:p>
          <w:p w14:paraId="6D4EE4A2">
            <w:pPr>
              <w:jc w:val="left"/>
              <w:rPr>
                <w:rFonts w:hint="eastAsia" w:ascii="仿宋" w:hAnsi="仿宋" w:eastAsia="仿宋"/>
                <w:b/>
                <w:bCs/>
                <w:color w:val="000000" w:themeColor="text1"/>
                <w:szCs w:val="21"/>
                <w:highlight w:val="none"/>
                <w:lang w:val="en-US" w:eastAsia="zh-CN"/>
                <w14:textFill>
                  <w14:solidFill>
                    <w14:schemeClr w14:val="tx1"/>
                  </w14:solidFill>
                </w14:textFill>
              </w:rPr>
            </w:pPr>
            <w:r>
              <w:rPr>
                <w:rFonts w:ascii="仿宋" w:hAnsi="仿宋" w:eastAsia="仿宋"/>
                <w:b/>
                <w:bCs/>
                <w:color w:val="000000" w:themeColor="text1"/>
                <w:szCs w:val="21"/>
                <w:highlight w:val="none"/>
                <w14:textFill>
                  <w14:solidFill>
                    <w14:schemeClr w14:val="tx1"/>
                  </w14:solidFill>
                </w14:textFill>
              </w:rPr>
              <w:t>*3、履约保证金</w:t>
            </w:r>
            <w:r>
              <w:rPr>
                <w:rFonts w:hint="eastAsia" w:ascii="仿宋" w:hAnsi="仿宋" w:eastAsia="仿宋"/>
                <w:b/>
                <w:bCs/>
                <w:color w:val="000000" w:themeColor="text1"/>
                <w:szCs w:val="21"/>
                <w:highlight w:val="none"/>
                <w:lang w:eastAsia="zh-CN"/>
                <w14:textFill>
                  <w14:solidFill>
                    <w14:schemeClr w14:val="tx1"/>
                  </w14:solidFill>
                </w14:textFill>
              </w:rPr>
              <w:t>：</w:t>
            </w:r>
            <w:r>
              <w:rPr>
                <w:rFonts w:hint="eastAsia" w:ascii="仿宋" w:hAnsi="仿宋" w:eastAsia="仿宋"/>
                <w:b/>
                <w:bCs/>
                <w:color w:val="000000" w:themeColor="text1"/>
                <w:szCs w:val="21"/>
                <w:highlight w:val="none"/>
                <w:lang w:val="en-US" w:eastAsia="zh-CN"/>
                <w14:textFill>
                  <w14:solidFill>
                    <w14:schemeClr w14:val="tx1"/>
                  </w14:solidFill>
                </w14:textFill>
              </w:rPr>
              <w:t>无。</w:t>
            </w:r>
          </w:p>
          <w:p w14:paraId="5FA16A87">
            <w:pPr>
              <w:jc w:val="left"/>
              <w:rPr>
                <w:rFonts w:ascii="仿宋" w:hAnsi="仿宋" w:eastAsia="仿宋"/>
                <w:color w:val="000000" w:themeColor="text1"/>
                <w:szCs w:val="21"/>
                <w:highlight w:val="none"/>
                <w14:textFill>
                  <w14:solidFill>
                    <w14:schemeClr w14:val="tx1"/>
                  </w14:solidFill>
                </w14:textFill>
              </w:rPr>
            </w:pPr>
            <w:r>
              <w:rPr>
                <w:rFonts w:ascii="仿宋" w:hAnsi="仿宋" w:eastAsia="仿宋"/>
                <w:b/>
                <w:color w:val="000000" w:themeColor="text1"/>
                <w:szCs w:val="21"/>
                <w:highlight w:val="none"/>
                <w14:textFill>
                  <w14:solidFill>
                    <w14:schemeClr w14:val="tx1"/>
                  </w14:solidFill>
                </w14:textFill>
              </w:rPr>
              <w:t>*</w:t>
            </w:r>
            <w:r>
              <w:rPr>
                <w:rFonts w:ascii="仿宋" w:hAnsi="仿宋" w:eastAsia="仿宋"/>
                <w:color w:val="000000" w:themeColor="text1"/>
                <w:szCs w:val="21"/>
                <w:highlight w:val="none"/>
                <w14:textFill>
                  <w14:solidFill>
                    <w14:schemeClr w14:val="tx1"/>
                  </w14:solidFill>
                </w14:textFill>
              </w:rPr>
              <w:t>4、违约责任</w:t>
            </w:r>
            <w:r>
              <w:rPr>
                <w:rFonts w:hint="eastAsia" w:ascii="仿宋" w:hAnsi="仿宋" w:eastAsia="仿宋"/>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由甲乙双方协商一致后详细约定于合同内，需明确双方权利义务、逾期交付责任、成果质量不达标整改及赔付责任、单方违约的相关处理条款等内容。</w:t>
            </w:r>
          </w:p>
          <w:p w14:paraId="586A3B07">
            <w:pPr>
              <w:jc w:val="left"/>
            </w:pPr>
            <w:r>
              <w:rPr>
                <w:rFonts w:ascii="仿宋" w:hAnsi="仿宋" w:eastAsia="仿宋"/>
                <w:b/>
                <w:color w:val="000000" w:themeColor="text1"/>
                <w:szCs w:val="21"/>
                <w:highlight w:val="none"/>
                <w14:textFill>
                  <w14:solidFill>
                    <w14:schemeClr w14:val="tx1"/>
                  </w14:solidFill>
                </w14:textFill>
              </w:rPr>
              <w:t>*</w:t>
            </w:r>
            <w:r>
              <w:rPr>
                <w:rFonts w:ascii="仿宋" w:hAnsi="仿宋" w:eastAsia="仿宋"/>
                <w:color w:val="000000" w:themeColor="text1"/>
                <w:szCs w:val="21"/>
                <w:highlight w:val="none"/>
                <w14:textFill>
                  <w14:solidFill>
                    <w14:schemeClr w14:val="tx1"/>
                  </w14:solidFill>
                </w14:textFill>
              </w:rPr>
              <w:t>5、</w:t>
            </w:r>
            <w:r>
              <w:rPr>
                <w:rFonts w:hint="eastAsia"/>
              </w:rPr>
              <w:t>服务质量监督和项目验收要求：中标方需按采购方的要求，完成相应工作内容并提交成果后，采购方将进行项目验收。验收方式包括但不限于专家评审、采购人业务会议等。</w:t>
            </w:r>
          </w:p>
        </w:tc>
      </w:tr>
      <w:tr w14:paraId="57E7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5" w:hRule="atLeast"/>
        </w:trPr>
        <w:tc>
          <w:tcPr>
            <w:tcW w:w="1564" w:type="dxa"/>
            <w:vAlign w:val="top"/>
          </w:tcPr>
          <w:p w14:paraId="316251AA">
            <w:pPr>
              <w:pStyle w:val="12"/>
              <w:spacing w:before="71" w:line="222" w:lineRule="auto"/>
              <w:jc w:val="center"/>
              <w:rPr>
                <w:spacing w:val="13"/>
              </w:rPr>
            </w:pPr>
          </w:p>
          <w:p w14:paraId="27DCA011">
            <w:pPr>
              <w:pStyle w:val="12"/>
              <w:spacing w:before="71" w:line="222" w:lineRule="auto"/>
              <w:jc w:val="center"/>
              <w:rPr>
                <w:spacing w:val="13"/>
              </w:rPr>
            </w:pPr>
          </w:p>
          <w:p w14:paraId="33D5A8BA">
            <w:pPr>
              <w:pStyle w:val="12"/>
              <w:spacing w:before="71" w:line="222" w:lineRule="auto"/>
              <w:jc w:val="center"/>
              <w:rPr>
                <w:spacing w:val="13"/>
              </w:rPr>
            </w:pPr>
          </w:p>
          <w:p w14:paraId="56DFFB00">
            <w:pPr>
              <w:pStyle w:val="12"/>
              <w:spacing w:before="71" w:line="222" w:lineRule="auto"/>
              <w:jc w:val="center"/>
              <w:rPr>
                <w:spacing w:val="13"/>
              </w:rPr>
            </w:pPr>
            <w:r>
              <w:rPr>
                <w:spacing w:val="13"/>
              </w:rPr>
              <w:t>具体技术要求</w:t>
            </w:r>
          </w:p>
        </w:tc>
        <w:tc>
          <w:tcPr>
            <w:tcW w:w="7407" w:type="dxa"/>
            <w:gridSpan w:val="4"/>
            <w:vAlign w:val="top"/>
          </w:tcPr>
          <w:p w14:paraId="30787AEE">
            <w:pPr>
              <w:pStyle w:val="13"/>
              <w:spacing w:line="240" w:lineRule="auto"/>
              <w:ind w:left="0" w:leftChars="0"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近年来，随着广东省推进高品质自然教育基地的建设工作，保护区进一步完善了区内的科普设施，修缮科普栈道，开展多种科普教育活动。但长期以来，保护区缺乏适合低领儿童阅读的，趣味性的自然教育读物和活动。本项目力求以国内外高水平儿童科普绘本为参照，开展以下工作满足多层次的市民自然教育需求。</w:t>
            </w:r>
          </w:p>
          <w:p w14:paraId="2F303837">
            <w:pPr>
              <w:pStyle w:val="13"/>
              <w:spacing w:line="240" w:lineRule="auto"/>
              <w:ind w:left="0" w:leftChars="0"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一、编写科普读物及完成出版</w:t>
            </w:r>
          </w:p>
          <w:p w14:paraId="7D892AE9">
            <w:pPr>
              <w:pStyle w:val="13"/>
              <w:spacing w:line="240" w:lineRule="auto"/>
              <w:ind w:left="0" w:leftChars="0"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福田红树林儿童科普汇本的编写并完成出版。基于福田红树林国家级自然保护区自然生物资源、科普设施及科普教育的需求，融合多个鸟类、红树植物等的趣味点、知识点，编写绘本。篇幅不少于28P。印刷不少于3000册。</w:t>
            </w:r>
          </w:p>
          <w:p w14:paraId="162DA503">
            <w:pPr>
              <w:pStyle w:val="13"/>
              <w:numPr>
                <w:ilvl w:val="0"/>
                <w:numId w:val="1"/>
              </w:numPr>
              <w:spacing w:line="240" w:lineRule="auto"/>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开展配套科普活动</w:t>
            </w:r>
          </w:p>
          <w:p w14:paraId="5D30D018">
            <w:pPr>
              <w:pStyle w:val="13"/>
              <w:numPr>
                <w:ilvl w:val="0"/>
                <w:numId w:val="0"/>
              </w:numPr>
              <w:spacing w:line="240" w:lineRule="auto"/>
              <w:ind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活动的设计制作设计。据保护区的生态特点和主要保护对象，设计2场适合低龄儿童科普活动或游戏，包含活动内容、教具、特色文创等，通过活动的开展，增强公众对保护区的印象，扩大保护区的知名度和影响力。</w:t>
            </w:r>
          </w:p>
          <w:p w14:paraId="33053EDB">
            <w:pPr>
              <w:pStyle w:val="13"/>
              <w:numPr>
                <w:ilvl w:val="0"/>
                <w:numId w:val="1"/>
              </w:numPr>
              <w:spacing w:line="240" w:lineRule="auto"/>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进度要求</w:t>
            </w:r>
          </w:p>
          <w:p w14:paraId="3F13FC3E">
            <w:pPr>
              <w:pStyle w:val="13"/>
              <w:numPr>
                <w:ilvl w:val="0"/>
                <w:numId w:val="0"/>
              </w:numPr>
              <w:spacing w:line="240" w:lineRule="auto"/>
              <w:ind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2026年8月底完成科普绘本初稿编写，并通过专家评审。</w:t>
            </w:r>
          </w:p>
          <w:p w14:paraId="096F3098">
            <w:pPr>
              <w:pStyle w:val="13"/>
              <w:numPr>
                <w:ilvl w:val="0"/>
                <w:numId w:val="0"/>
              </w:numPr>
              <w:spacing w:line="240" w:lineRule="auto"/>
              <w:ind w:left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2026年10月底前完成编写并出版。</w:t>
            </w:r>
          </w:p>
        </w:tc>
      </w:tr>
      <w:tr w14:paraId="383B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1564" w:type="dxa"/>
            <w:vAlign w:val="top"/>
          </w:tcPr>
          <w:p w14:paraId="4B5DD974">
            <w:pPr>
              <w:pStyle w:val="12"/>
              <w:spacing w:before="71" w:line="222" w:lineRule="auto"/>
              <w:jc w:val="center"/>
              <w:rPr>
                <w:spacing w:val="13"/>
              </w:rPr>
            </w:pPr>
            <w:r>
              <w:rPr>
                <w:rFonts w:hint="eastAsia"/>
                <w:spacing w:val="13"/>
              </w:rPr>
              <w:t>商务需求</w:t>
            </w:r>
          </w:p>
        </w:tc>
        <w:tc>
          <w:tcPr>
            <w:tcW w:w="7407" w:type="dxa"/>
            <w:gridSpan w:val="4"/>
            <w:vAlign w:val="top"/>
          </w:tcPr>
          <w:p w14:paraId="26B66ED2">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1、项目采购范围：广东省。</w:t>
            </w:r>
          </w:p>
          <w:p w14:paraId="722D67FD">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2、项目服务期限：合同签订后至2026年11月1日。</w:t>
            </w:r>
          </w:p>
          <w:p w14:paraId="716310B2">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3、组织实施要求：组建不少于5人专业工作团队。</w:t>
            </w:r>
          </w:p>
          <w:p w14:paraId="346FEF73">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4、售后要求：按采购方的需求，提供相应的专业咨询和指导工作。</w:t>
            </w:r>
          </w:p>
        </w:tc>
      </w:tr>
      <w:tr w14:paraId="0FA1E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4" w:type="dxa"/>
            <w:shd w:val="clear" w:color="auto" w:fill="auto"/>
            <w:vAlign w:val="top"/>
          </w:tcPr>
          <w:p w14:paraId="25159510">
            <w:pPr>
              <w:pStyle w:val="12"/>
              <w:spacing w:before="71" w:line="222" w:lineRule="auto"/>
              <w:jc w:val="center"/>
              <w:rPr>
                <w:rFonts w:hint="eastAsia"/>
                <w:spacing w:val="13"/>
                <w:lang w:val="en-US" w:eastAsia="en-US"/>
              </w:rPr>
            </w:pPr>
            <w:r>
              <w:rPr>
                <w:spacing w:val="13"/>
              </w:rPr>
              <w:t>评审因素</w:t>
            </w:r>
          </w:p>
        </w:tc>
        <w:tc>
          <w:tcPr>
            <w:tcW w:w="7407" w:type="dxa"/>
            <w:gridSpan w:val="4"/>
            <w:shd w:val="clear" w:color="auto" w:fill="auto"/>
            <w:vAlign w:val="center"/>
          </w:tcPr>
          <w:p w14:paraId="63125910">
            <w:pPr>
              <w:pStyle w:val="13"/>
              <w:spacing w:line="240" w:lineRule="auto"/>
              <w:ind w:left="0" w:leftChars="0" w:firstLine="0" w:firstLineChars="0"/>
              <w:jc w:val="center"/>
              <w:rPr>
                <w:rFonts w:hint="eastAsia" w:ascii="FangSong_GB2312" w:hAnsi="FangSong_GB2312" w:eastAsia="FangSong_GB2312" w:cs="FangSong_GB2312"/>
                <w:snapToGrid w:val="0"/>
                <w:color w:val="000000"/>
                <w:kern w:val="0"/>
                <w:sz w:val="20"/>
                <w:szCs w:val="20"/>
                <w:lang w:val="en-US" w:eastAsia="en-US" w:bidi="ar-SA"/>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评审标准</w:t>
            </w:r>
          </w:p>
        </w:tc>
      </w:tr>
      <w:tr w14:paraId="19066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shd w:val="clear" w:color="auto" w:fill="auto"/>
            <w:vAlign w:val="top"/>
          </w:tcPr>
          <w:p w14:paraId="697CFD0F">
            <w:pPr>
              <w:pStyle w:val="12"/>
              <w:spacing w:before="71" w:line="222" w:lineRule="auto"/>
              <w:jc w:val="center"/>
              <w:rPr>
                <w:spacing w:val="13"/>
              </w:rPr>
            </w:pPr>
            <w:r>
              <w:rPr>
                <w:spacing w:val="13"/>
              </w:rPr>
              <w:t>分值构成</w:t>
            </w:r>
          </w:p>
        </w:tc>
        <w:tc>
          <w:tcPr>
            <w:tcW w:w="7407" w:type="dxa"/>
            <w:gridSpan w:val="4"/>
            <w:shd w:val="clear" w:color="auto" w:fill="auto"/>
            <w:vAlign w:val="top"/>
          </w:tcPr>
          <w:p w14:paraId="769B716F">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综合部分25.0分，商务部分45.0分</w:t>
            </w:r>
          </w:p>
          <w:p w14:paraId="3A385B1F">
            <w:pPr>
              <w:pStyle w:val="13"/>
              <w:spacing w:line="240" w:lineRule="auto"/>
              <w:ind w:left="0" w:leftChars="0" w:firstLine="0" w:firstLineChars="0"/>
              <w:jc w:val="both"/>
              <w:rPr>
                <w:rFonts w:hint="default" w:eastAsia="FangSong_GB2312"/>
                <w:spacing w:val="4"/>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投标报价25.0分，诚信情况5.0分</w:t>
            </w:r>
          </w:p>
        </w:tc>
      </w:tr>
      <w:tr w14:paraId="670E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shd w:val="clear" w:color="auto" w:fill="auto"/>
            <w:vAlign w:val="center"/>
          </w:tcPr>
          <w:p w14:paraId="655ABCDA">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w:t>
            </w:r>
          </w:p>
          <w:p w14:paraId="75033B89">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（25.0分）</w:t>
            </w:r>
          </w:p>
        </w:tc>
        <w:tc>
          <w:tcPr>
            <w:tcW w:w="1831" w:type="dxa"/>
            <w:shd w:val="clear" w:color="auto" w:fill="auto"/>
            <w:vAlign w:val="center"/>
          </w:tcPr>
          <w:p w14:paraId="513E9EC7">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投标报价得分</w:t>
            </w:r>
          </w:p>
          <w:p w14:paraId="13393D2B">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(25.0分)</w:t>
            </w:r>
          </w:p>
        </w:tc>
        <w:tc>
          <w:tcPr>
            <w:tcW w:w="5576" w:type="dxa"/>
            <w:gridSpan w:val="3"/>
            <w:shd w:val="clear" w:color="auto" w:fill="auto"/>
            <w:vAlign w:val="top"/>
          </w:tcPr>
          <w:p w14:paraId="6D073E7C">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采用低价优先法计算，即满足磋商文件要求且最终报价最低的供应商的价格为评标基准价，其价格分为满分。其他供应商的价格分统一按照下列公式计算：</w:t>
            </w:r>
          </w:p>
          <w:p w14:paraId="10F5D65F">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磋商报价得分=(磋商基准价/最终磋商报价)×20,价格分计算保留小数点后两位。</w:t>
            </w:r>
          </w:p>
          <w:p w14:paraId="251E7A6E">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2F771A00">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1.投标报价超过采购预算价的，作无效投标处理。</w:t>
            </w:r>
          </w:p>
          <w:p w14:paraId="3AAA7398">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低价认定：磋商小组认为响应供应商的报价明显低于其他通过符合性审查供应商的报价，有可能影响产品质量或者不能诚信履约的，应当要求其在评标现场合理的时间内提供书面说明，必要时提交相关证明材料；响应供应商不能证明其报价合理性的，磋商小组应当将其作为无效投标处理。</w:t>
            </w:r>
          </w:p>
          <w:p w14:paraId="06E37E8F">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3.最低报价不是中标的唯一依据。因落实政府采购政策进行价格调整的，以调整后的价格计算评标基准价和投标报价。</w:t>
            </w:r>
          </w:p>
        </w:tc>
      </w:tr>
      <w:tr w14:paraId="308C3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restart"/>
            <w:shd w:val="clear" w:color="auto" w:fill="auto"/>
            <w:vAlign w:val="center"/>
          </w:tcPr>
          <w:p w14:paraId="76ABD0AF">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商务部分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（45.0分）</w:t>
            </w:r>
          </w:p>
          <w:p w14:paraId="705CB346">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2A9C485A">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项目整体实施方案(15.0分)</w:t>
            </w:r>
          </w:p>
        </w:tc>
        <w:tc>
          <w:tcPr>
            <w:tcW w:w="5576" w:type="dxa"/>
            <w:gridSpan w:val="3"/>
            <w:shd w:val="clear" w:color="auto" w:fill="auto"/>
            <w:vAlign w:val="top"/>
          </w:tcPr>
          <w:p w14:paraId="04859E9D">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根据响应供应商提供的整体实施方案进行评审：包括但不限于①背景分析②工作内容③技术方案。</w:t>
            </w:r>
          </w:p>
          <w:p w14:paraId="4D5DF71F">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以上三点均有描述，且方案完整，合理性强、可行性高、技术专业能力强，完全满足或优于采购需求的，每写一点得5分 ；</w:t>
            </w:r>
          </w:p>
          <w:p w14:paraId="5F4944DD">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方案完整，有较强的合理性，可行性及技术专业能力较高，能较好地满足采购需求的，每写一点得4分；</w:t>
            </w:r>
          </w:p>
          <w:p w14:paraId="473EA964">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方案比较完整，但合理性及可行性一般，技术专业能力一般，基本能满足采购需求的，每写一点得3分；</w:t>
            </w:r>
          </w:p>
          <w:p w14:paraId="5826FCF8">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方案有欠缺，合理性及可行性较差，技术专业能力较低，不能满足采购需求的，每写一点得1分；</w:t>
            </w:r>
          </w:p>
          <w:p w14:paraId="63C83B21">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未提供方案不得分。</w:t>
            </w:r>
          </w:p>
        </w:tc>
      </w:tr>
      <w:tr w14:paraId="4ADDE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2894107B">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3406A503">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质量（完成时间、安全、环保）保障措施及方案</w:t>
            </w:r>
          </w:p>
          <w:p w14:paraId="6970A344">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(15.0分)</w:t>
            </w:r>
          </w:p>
        </w:tc>
        <w:tc>
          <w:tcPr>
            <w:tcW w:w="5576" w:type="dxa"/>
            <w:gridSpan w:val="3"/>
            <w:shd w:val="clear" w:color="auto" w:fill="auto"/>
            <w:vAlign w:val="top"/>
          </w:tcPr>
          <w:p w14:paraId="0CBAD64E">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根据响应供应商的服务保障方案进行评审：包括但不限于①工作计划②进度保障措施③质量目标。</w:t>
            </w:r>
          </w:p>
          <w:p w14:paraId="0C74B21F">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以上三点均有描述，且质量保障措施具体、明确，维护方案内容描述明确清晰，退换方案完善可行，完全满足或优于采购需求的，每写一点得4分；</w:t>
            </w:r>
          </w:p>
          <w:p w14:paraId="2C318A64">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工作计划比较详细，进度保障措施比较清晰，质量目标比较明确的，满足采购需求每写一点得3分 ；</w:t>
            </w:r>
          </w:p>
          <w:p w14:paraId="15F19EA6">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工作计划不明确，进度保障措施描述不清晰，质量目标不清晰，不完全满足采购需求的，每写一点得1分；</w:t>
            </w:r>
          </w:p>
          <w:p w14:paraId="2E2C4169">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未提供方案不得分。</w:t>
            </w:r>
          </w:p>
        </w:tc>
      </w:tr>
      <w:tr w14:paraId="6671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2FAE84D2">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1038F42A">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版面设计效果图</w:t>
            </w:r>
          </w:p>
          <w:p w14:paraId="61974B6C">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(15.0分)</w:t>
            </w:r>
          </w:p>
        </w:tc>
        <w:tc>
          <w:tcPr>
            <w:tcW w:w="5576" w:type="dxa"/>
            <w:gridSpan w:val="3"/>
            <w:shd w:val="clear" w:color="auto" w:fill="auto"/>
            <w:vAlign w:val="top"/>
          </w:tcPr>
          <w:p w14:paraId="2766D154">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投标人用红树林植物为代表，图文并茂，分别涉及2-3张A4效果图。</w:t>
            </w:r>
          </w:p>
          <w:p w14:paraId="03C42C7E">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图文深度契合且逻辑严密，2-3张A4效果图清晰逼真、细节丰富，得15分。</w:t>
            </w:r>
          </w:p>
          <w:p w14:paraId="65D8F119">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图文配合尚可但逻辑不够紧密，2-3张效果图表现力中等，得10分。</w:t>
            </w:r>
          </w:p>
          <w:p w14:paraId="47E7965F">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植物选择单一或缺乏代表性，图文关联度低且说明简略，效果图数量不足、清晰度差或存在明显素材堆砌现象，难以反映项目实际效果，得5分。</w:t>
            </w:r>
          </w:p>
          <w:p w14:paraId="6FB082B4">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未提供相关内容或植物选择严重错误或未按要求提供规定数量与格式的效果图，不得分。</w:t>
            </w:r>
          </w:p>
        </w:tc>
      </w:tr>
      <w:tr w14:paraId="3DAE1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restart"/>
            <w:shd w:val="clear" w:color="auto" w:fill="auto"/>
            <w:vAlign w:val="center"/>
          </w:tcPr>
          <w:p w14:paraId="6FE69AC4">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综合部分</w:t>
            </w:r>
          </w:p>
          <w:p w14:paraId="0D4E2271">
            <w:pPr>
              <w:pStyle w:val="13"/>
              <w:spacing w:line="240" w:lineRule="auto"/>
              <w:ind w:left="0" w:leftChars="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（25.0分）</w:t>
            </w:r>
          </w:p>
        </w:tc>
        <w:tc>
          <w:tcPr>
            <w:tcW w:w="1831" w:type="dxa"/>
            <w:shd w:val="clear" w:color="auto" w:fill="auto"/>
            <w:vAlign w:val="center"/>
          </w:tcPr>
          <w:p w14:paraId="7E2CB3D0">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同类业绩</w:t>
            </w:r>
          </w:p>
          <w:p w14:paraId="2F585835">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(3.0分)</w:t>
            </w:r>
          </w:p>
        </w:tc>
        <w:tc>
          <w:tcPr>
            <w:tcW w:w="5576" w:type="dxa"/>
            <w:gridSpan w:val="3"/>
            <w:shd w:val="clear" w:color="auto" w:fill="auto"/>
            <w:vAlign w:val="top"/>
          </w:tcPr>
          <w:p w14:paraId="69022A69">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响应供应商近三年(2023年)1月1日至今承担过同类业绩情况(同类业绩是指:科普自然教育或科普设计或科普手绘出版)，每提供一次业绩得1分，满分3分。</w:t>
            </w:r>
          </w:p>
          <w:p w14:paraId="15BC99CD">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7DB875B1">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供合同关键页(含签订合同双方的单位名称、合同项目名称或服务内容、项目金额与含签订合同双方的落款盖章、签订日期的关键页)复印件加盖公章作为同类业绩评价证明资料。资料不全或专家无法认定不得分。</w:t>
            </w:r>
          </w:p>
        </w:tc>
      </w:tr>
      <w:tr w14:paraId="47B2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7A18399B">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34B68663">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投标人获奖情况</w:t>
            </w:r>
          </w:p>
          <w:p w14:paraId="27FE84B1">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(2.0分)</w:t>
            </w:r>
          </w:p>
        </w:tc>
        <w:tc>
          <w:tcPr>
            <w:tcW w:w="5576" w:type="dxa"/>
            <w:gridSpan w:val="3"/>
            <w:shd w:val="clear" w:color="auto" w:fill="auto"/>
            <w:vAlign w:val="top"/>
          </w:tcPr>
          <w:p w14:paraId="30E0C1FD">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响应供应商近三年(2023年)1月1日出版的图书获得过项目相关的奖项每个得1分，满分2分。注:须提供显示响应供应商名称的获奖图书封面、版权页和证书复印件或扫描件并且加盖投标人公章，三项资料缺任一项不得分。</w:t>
            </w:r>
          </w:p>
        </w:tc>
      </w:tr>
      <w:tr w14:paraId="41AD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5FED209D">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45DFE0A1">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项目负责人</w:t>
            </w:r>
          </w:p>
          <w:p w14:paraId="3831DA51">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（5.0分）</w:t>
            </w:r>
          </w:p>
        </w:tc>
        <w:tc>
          <w:tcPr>
            <w:tcW w:w="5576" w:type="dxa"/>
            <w:gridSpan w:val="3"/>
            <w:shd w:val="clear" w:color="auto" w:fill="auto"/>
            <w:vAlign w:val="top"/>
          </w:tcPr>
          <w:p w14:paraId="7D1FB905">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本项目须拟配备项目负责人情况:</w:t>
            </w:r>
          </w:p>
          <w:p w14:paraId="53979DEB">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1.统筹负责人和执行负责人各1名，得3分;</w:t>
            </w:r>
          </w:p>
          <w:p w14:paraId="15FF3E65">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.具备1名出版副编审或以上职称的，得1分，最高得2分。</w:t>
            </w:r>
          </w:p>
          <w:p w14:paraId="27AFE6ED">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60AC5A36">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①提供上述人员响应截止日期前三个月任一个月社保证明材料，否则不得分。②提供有效期内的职称证书复印件(或扫描件或电子证书)，否则不得分。</w:t>
            </w:r>
          </w:p>
        </w:tc>
      </w:tr>
      <w:tr w14:paraId="568D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6D0D4894">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36932812">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其他团队成员</w:t>
            </w:r>
          </w:p>
          <w:p w14:paraId="5DD87E0E">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（12.0分）</w:t>
            </w:r>
          </w:p>
        </w:tc>
        <w:tc>
          <w:tcPr>
            <w:tcW w:w="5576" w:type="dxa"/>
            <w:gridSpan w:val="3"/>
            <w:shd w:val="clear" w:color="auto" w:fill="auto"/>
            <w:vAlign w:val="top"/>
          </w:tcPr>
          <w:p w14:paraId="41868611">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除项目负责人外，拟本项目设计制作团队的配备人员情况:</w:t>
            </w:r>
          </w:p>
          <w:p w14:paraId="51BD49FD">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1.具备1名出版或林业相关专业副高级或以上职称得6分，最高得分12分;2 .具备1名出版或林业相关专业中级，得3分，最高得12分，3.具备1名出版或林业相关专业初级职称得1分，最高得4分。同一人员同时具有多个证书的按最高级别计分。</w:t>
            </w:r>
          </w:p>
          <w:p w14:paraId="45767137">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77F9630F">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①提供上述人员响应截止日期前三个月任一个月社保证明材料，否则不得分。②提供有效期内的职称证书复印件(或扫描件或电子证书)，否则不得分。</w:t>
            </w:r>
          </w:p>
        </w:tc>
      </w:tr>
      <w:tr w14:paraId="01E85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64" w:type="dxa"/>
            <w:vMerge w:val="continue"/>
            <w:shd w:val="clear" w:color="auto" w:fill="auto"/>
            <w:vAlign w:val="center"/>
          </w:tcPr>
          <w:p w14:paraId="698393C3">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7E2D266F">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投标人出版图书获新闻媒体报道</w:t>
            </w:r>
          </w:p>
          <w:p w14:paraId="16BB0FC2">
            <w:pPr>
              <w:pStyle w:val="13"/>
              <w:spacing w:line="240" w:lineRule="auto"/>
              <w:ind w:left="0" w:leftChars="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（2.0分）</w:t>
            </w:r>
          </w:p>
        </w:tc>
        <w:tc>
          <w:tcPr>
            <w:tcW w:w="5576" w:type="dxa"/>
            <w:gridSpan w:val="3"/>
            <w:shd w:val="clear" w:color="auto" w:fill="auto"/>
            <w:vAlign w:val="top"/>
          </w:tcPr>
          <w:p w14:paraId="01EBBDA0">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响应供应商近三年(2023年)1月1日至今在出版图书再相关领域，获得原创报道情况进行评分，每提供1篇有效报道得0.4分，满分2分，同一篇报道内容不重复计分。</w:t>
            </w:r>
          </w:p>
          <w:p w14:paraId="62B1A662">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注:须提供显示响应供应商名称的报道版面并且加盖投标人公章，不提供不得分。</w:t>
            </w:r>
          </w:p>
        </w:tc>
      </w:tr>
      <w:tr w14:paraId="188C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564" w:type="dxa"/>
            <w:shd w:val="clear" w:color="auto" w:fill="auto"/>
            <w:vAlign w:val="center"/>
          </w:tcPr>
          <w:p w14:paraId="68F5CEB1">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诚信情况</w:t>
            </w:r>
          </w:p>
          <w:p w14:paraId="6D726398">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（5.0分）</w:t>
            </w:r>
          </w:p>
        </w:tc>
        <w:tc>
          <w:tcPr>
            <w:tcW w:w="1831" w:type="dxa"/>
            <w:shd w:val="clear" w:color="auto" w:fill="auto"/>
            <w:vAlign w:val="center"/>
          </w:tcPr>
          <w:p w14:paraId="26379337">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市财政委员会诚信管理情况</w:t>
            </w:r>
          </w:p>
          <w:p w14:paraId="41D4EFF4">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（5.0分）</w:t>
            </w:r>
          </w:p>
        </w:tc>
        <w:tc>
          <w:tcPr>
            <w:tcW w:w="5576" w:type="dxa"/>
            <w:gridSpan w:val="3"/>
            <w:shd w:val="clear" w:color="auto" w:fill="auto"/>
            <w:vAlign w:val="top"/>
          </w:tcPr>
          <w:p w14:paraId="3F9812B8">
            <w:pPr>
              <w:pStyle w:val="13"/>
              <w:spacing w:line="240" w:lineRule="auto"/>
              <w:ind w:left="0" w:leftChars="0" w:firstLine="420" w:firstLineChars="200"/>
              <w:jc w:val="both"/>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投标人在参与政府采购活动中存在诚信相关问题且在主管部门相关处理措施实施期限内的，本项不得分，否则得满分。投标人无需提供任何证明材料，由工作人员向评审委员会提供相关信息。</w:t>
            </w:r>
          </w:p>
        </w:tc>
      </w:tr>
    </w:tbl>
    <w:p w14:paraId="4E47E47A">
      <w:pPr>
        <w:pStyle w:val="13"/>
        <w:spacing w:line="240" w:lineRule="auto"/>
        <w:ind w:left="0" w:leftChars="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ectPr>
          <w:footerReference r:id="rId5" w:type="default"/>
          <w:pgSz w:w="11906" w:h="16839"/>
          <w:pgMar w:top="1431" w:right="1460" w:bottom="1384" w:left="1469" w:header="0" w:footer="1020" w:gutter="0"/>
          <w:cols w:space="720" w:num="1"/>
        </w:sectPr>
      </w:pPr>
    </w:p>
    <w:p w14:paraId="09E3ED60">
      <w:pPr>
        <w:spacing w:line="92" w:lineRule="exact"/>
      </w:pPr>
    </w:p>
    <w:p w14:paraId="3B4E2C14">
      <w:pPr>
        <w:rPr>
          <w:rFonts w:ascii="Arial"/>
          <w:sz w:val="21"/>
        </w:rPr>
      </w:pPr>
    </w:p>
    <w:p w14:paraId="5F703154">
      <w:pPr>
        <w:rPr>
          <w:rFonts w:ascii="Arial" w:hAnsi="Arial" w:eastAsia="Arial" w:cs="Arial"/>
          <w:sz w:val="21"/>
          <w:szCs w:val="21"/>
        </w:rPr>
        <w:sectPr>
          <w:pgSz w:w="21430" w:h="30500"/>
          <w:pgMar w:top="2592" w:right="3185" w:bottom="0" w:left="2904" w:header="0" w:footer="0" w:gutter="0"/>
          <w:cols w:space="720" w:num="1"/>
        </w:sectPr>
      </w:pPr>
    </w:p>
    <w:p w14:paraId="3ADBC6FC">
      <w:pPr>
        <w:rPr>
          <w:rFonts w:ascii="Arial"/>
          <w:sz w:val="21"/>
        </w:rPr>
      </w:pPr>
    </w:p>
    <w:sectPr>
      <w:footerReference r:id="rId6" w:type="default"/>
      <w:pgSz w:w="11906" w:h="16839"/>
      <w:pgMar w:top="1431" w:right="1475" w:bottom="1384" w:left="1469"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EFB6">
    <w:pPr>
      <w:spacing w:line="233" w:lineRule="auto"/>
      <w:ind w:left="4071"/>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DDEC">
    <w:pPr>
      <w:pStyle w:val="5"/>
      <w:spacing w:line="235" w:lineRule="auto"/>
      <w:ind w:left="407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B9896"/>
    <w:multiLevelType w:val="singleLevel"/>
    <w:tmpl w:val="5DEB98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B4930"/>
    <w:rsid w:val="025E466E"/>
    <w:rsid w:val="038E27E2"/>
    <w:rsid w:val="042C71E8"/>
    <w:rsid w:val="047F3831"/>
    <w:rsid w:val="06131BC8"/>
    <w:rsid w:val="0DDF31C9"/>
    <w:rsid w:val="0DF86616"/>
    <w:rsid w:val="0F5D54C1"/>
    <w:rsid w:val="17B61D16"/>
    <w:rsid w:val="1841525A"/>
    <w:rsid w:val="1A8E0352"/>
    <w:rsid w:val="1ADE52DA"/>
    <w:rsid w:val="1AFC7C25"/>
    <w:rsid w:val="1B8C30ED"/>
    <w:rsid w:val="1D9060FA"/>
    <w:rsid w:val="1FBB7F9F"/>
    <w:rsid w:val="21723AEC"/>
    <w:rsid w:val="2425283C"/>
    <w:rsid w:val="258B3A02"/>
    <w:rsid w:val="28C7783A"/>
    <w:rsid w:val="2903377D"/>
    <w:rsid w:val="2C5A1CD2"/>
    <w:rsid w:val="2D13593E"/>
    <w:rsid w:val="2D4358F5"/>
    <w:rsid w:val="2DB849EC"/>
    <w:rsid w:val="2E260ECD"/>
    <w:rsid w:val="2E516D92"/>
    <w:rsid w:val="2E587E6A"/>
    <w:rsid w:val="2F5B1126"/>
    <w:rsid w:val="2F7D5A53"/>
    <w:rsid w:val="3031359C"/>
    <w:rsid w:val="321524B8"/>
    <w:rsid w:val="355B2A19"/>
    <w:rsid w:val="35776D2F"/>
    <w:rsid w:val="37F30C49"/>
    <w:rsid w:val="38DA69D3"/>
    <w:rsid w:val="399576C1"/>
    <w:rsid w:val="39F21E28"/>
    <w:rsid w:val="3A756774"/>
    <w:rsid w:val="405575AB"/>
    <w:rsid w:val="40E43586"/>
    <w:rsid w:val="417549AA"/>
    <w:rsid w:val="4176379A"/>
    <w:rsid w:val="41F15AEE"/>
    <w:rsid w:val="42D504B3"/>
    <w:rsid w:val="43DC3263"/>
    <w:rsid w:val="456D26F5"/>
    <w:rsid w:val="460C6D7B"/>
    <w:rsid w:val="4AE414ED"/>
    <w:rsid w:val="4B1D06D0"/>
    <w:rsid w:val="4CB50C09"/>
    <w:rsid w:val="4CD84661"/>
    <w:rsid w:val="4D145094"/>
    <w:rsid w:val="51B15B17"/>
    <w:rsid w:val="52E90593"/>
    <w:rsid w:val="54953626"/>
    <w:rsid w:val="562253FD"/>
    <w:rsid w:val="5911172D"/>
    <w:rsid w:val="5A104BD6"/>
    <w:rsid w:val="5B081AB1"/>
    <w:rsid w:val="5B5C676B"/>
    <w:rsid w:val="5D780C51"/>
    <w:rsid w:val="5F103000"/>
    <w:rsid w:val="61CE7E59"/>
    <w:rsid w:val="639C0BAB"/>
    <w:rsid w:val="6C3B7BA1"/>
    <w:rsid w:val="6C9D43C3"/>
    <w:rsid w:val="6DCD1AD1"/>
    <w:rsid w:val="714B0D57"/>
    <w:rsid w:val="72D462AD"/>
    <w:rsid w:val="72F33D1D"/>
    <w:rsid w:val="76D621DE"/>
    <w:rsid w:val="7775458B"/>
    <w:rsid w:val="780D0085"/>
    <w:rsid w:val="7CEF6506"/>
    <w:rsid w:val="7E336DF6"/>
    <w:rsid w:val="7FA52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spacing w:after="160" w:line="259" w:lineRule="auto"/>
    </w:pPr>
    <w:rPr>
      <w:rFonts w:ascii="等线" w:hAnsi="等线" w:eastAsia="等线" w:cs="Times New Roman"/>
      <w:kern w:val="0"/>
      <w:sz w:val="22"/>
    </w:rPr>
  </w:style>
  <w:style w:type="paragraph" w:styleId="5">
    <w:name w:val="Body Text"/>
    <w:basedOn w:val="1"/>
    <w:next w:val="1"/>
    <w:semiHidden/>
    <w:qFormat/>
    <w:uiPriority w:val="0"/>
    <w:rPr>
      <w:rFonts w:ascii="宋体" w:hAnsi="宋体" w:eastAsia="宋体" w:cs="宋体"/>
      <w:sz w:val="28"/>
      <w:szCs w:val="28"/>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ind w:left="420" w:leftChars="200"/>
    </w:pPr>
    <w:rPr>
      <w:rFonts w:ascii="Calibri" w:hAnsi="Calibri" w:eastAsia="宋体" w:cs="Times New Roman"/>
      <w:szCs w:val="24"/>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FangSong_GB2312" w:hAnsi="FangSong_GB2312" w:eastAsia="FangSong_GB2312" w:cs="FangSong_GB2312"/>
      <w:sz w:val="20"/>
      <w:szCs w:val="20"/>
      <w:lang w:val="en-US" w:eastAsia="en-US" w:bidi="ar-SA"/>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3872</Words>
  <Characters>4033</Characters>
  <TotalTime>6</TotalTime>
  <ScaleCrop>false</ScaleCrop>
  <LinksUpToDate>false</LinksUpToDate>
  <CharactersWithSpaces>4054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2025-08-04T17:26:00Z</dcterms:created>
  <dc:creator>Administrator</dc:creator>
  <cp:lastModifiedBy></cp:lastModifiedBy>
  <dcterms:modified xsi:type="dcterms:W3CDTF">2026-04-14T04:50:53Z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2026-03-18T10:27:47Z</vt:filetime>
  </property>
  <property fmtid="{D5CDD505-2E9C-101B-9397-08002B2CF9AE}" pid="4" name="KSOTemplateDocerSaveRecord">
    <vt:lpwstr>eyJoZGlkIjoiZGU5N2UzYWI5ZDdjY2ZhZGQxYTJmOTM1Y2MwMDQ5YmMiLCJ1c2VySWQiOiIxMTcyMzAyMzA3In0=</vt:lpwstr>
  </property>
  <property fmtid="{D5CDD505-2E9C-101B-9397-08002B2CF9AE}" pid="5" name="KSOProductBuildVer">
    <vt:lpwstr>2052-12.1.0.25225</vt:lpwstr>
  </property>
  <property fmtid="{D5CDD505-2E9C-101B-9397-08002B2CF9AE}" pid="6" name="ICV">
    <vt:lpwstr>606DF6166FE94E8F82DBAF35AC41A3F3_13</vt:lpwstr>
  </property>
</Properties>
</file>