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105" w:leftChars="50"/>
        <w:jc w:val="center"/>
        <w:textAlignment w:val="auto"/>
        <w:rPr>
          <w:rStyle w:val="9"/>
          <w:rFonts w:hint="eastAsia" w:ascii="方正小标宋_GBK" w:hAnsi="方正小标宋_GBK" w:eastAsia="方正小标宋_GBK" w:cs="方正小标宋_GBK"/>
          <w:b w:val="0"/>
          <w:bCs w:val="0"/>
          <w:sz w:val="36"/>
          <w:szCs w:val="36"/>
        </w:rPr>
      </w:pPr>
      <w:r>
        <w:rPr>
          <w:rStyle w:val="9"/>
          <w:rFonts w:hint="eastAsia" w:ascii="方正小标宋_GBK" w:hAnsi="方正小标宋_GBK" w:eastAsia="方正小标宋_GBK" w:cs="方正小标宋_GBK"/>
          <w:b w:val="0"/>
          <w:bCs w:val="0"/>
          <w:sz w:val="36"/>
          <w:szCs w:val="36"/>
          <w:lang w:val="en-US" w:eastAsia="zh-CN"/>
        </w:rPr>
        <w:t>光明区</w:t>
      </w:r>
      <w:r>
        <w:rPr>
          <w:rStyle w:val="9"/>
          <w:rFonts w:hint="eastAsia" w:ascii="方正小标宋_GBK" w:hAnsi="方正小标宋_GBK" w:eastAsia="方正小标宋_GBK" w:cs="方正小标宋_GBK"/>
          <w:b w:val="0"/>
          <w:bCs w:val="0"/>
          <w:sz w:val="36"/>
          <w:szCs w:val="36"/>
        </w:rPr>
        <w:t>非国家重点保护野生动物猎捕实施方案</w:t>
      </w:r>
    </w:p>
    <w:p>
      <w:pPr>
        <w:rPr>
          <w:rFonts w:hint="eastAsia"/>
        </w:rPr>
      </w:pPr>
    </w:p>
    <w:p>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uto"/>
        <w:ind w:leftChars="0" w:firstLine="480" w:firstLineChars="200"/>
        <w:textAlignment w:val="auto"/>
        <w:outlineLvl w:val="3"/>
        <w:rPr>
          <w:rFonts w:hint="eastAsia" w:ascii="黑体" w:hAnsi="黑体" w:eastAsia="黑体" w:cs="黑体"/>
          <w:b w:val="0"/>
          <w:bCs w:val="0"/>
          <w:sz w:val="24"/>
          <w:szCs w:val="24"/>
        </w:rPr>
      </w:pPr>
      <w:r>
        <w:rPr>
          <w:rStyle w:val="9"/>
          <w:rFonts w:hint="eastAsia" w:ascii="黑体" w:hAnsi="黑体" w:eastAsia="黑体" w:cs="黑体"/>
          <w:b w:val="0"/>
          <w:bCs w:val="0"/>
          <w:sz w:val="24"/>
          <w:szCs w:val="24"/>
          <w:lang w:eastAsia="zh-CN"/>
        </w:rPr>
        <w:t>一、</w:t>
      </w:r>
      <w:r>
        <w:rPr>
          <w:rStyle w:val="9"/>
          <w:rFonts w:hint="eastAsia" w:ascii="黑体" w:hAnsi="黑体" w:eastAsia="黑体" w:cs="黑体"/>
          <w:b w:val="0"/>
          <w:bCs w:val="0"/>
          <w:sz w:val="24"/>
          <w:szCs w:val="24"/>
        </w:rPr>
        <w:t>方案背景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项目严格依据国家《候鸟迁飞通道保护修复中国行动计划（2024-2030年）》的核心目标，致力于到2030年将90%的候鸟迁飞通道关键栖息地纳入有效保护范围，同时积极响应国家林草局、发改委等五部门联合发布的《国家公园等自然保护地建设及野生动植物保护重大工程建设规划（2021—2035年）》中关于“新建40处左右鸟类环志站，基本构建起覆盖四大迁徙区域的全国候鸟环志体系”的重要部署。作为东亚-澳大利西亚迁飞通道的关键节点，深圳开展鸟类环志工作，不仅是对国家迁飞通道保护网络的有力支撑，更具有突出的国际生态价值。深圳是习近平总书记在《湿地公约》第十四届缔约方大会上宣布设立的“国际红树林中心”所在地，肩负着履行全球生态保护承诺的重要使命；深圳湾每年吸引约10万只候鸟停歇或越冬，记录有候鸟283种，其中178种被列入《中日候鸟保护协定》和《中澳候鸟保护协定》，是全球生物多样性保护的热点区域。在此背景下，开展科学环志工作，是掌握候鸟种群动态、评估栖息地生态质量、制定精准化保护策略的基础性举措，对于推动国际协同保护、提升我国在湿地与候鸟保护领域的全球影响力具有重要意义。</w:t>
      </w:r>
    </w:p>
    <w:p>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uto"/>
        <w:ind w:leftChars="0" w:firstLine="480" w:firstLineChars="200"/>
        <w:textAlignment w:val="auto"/>
        <w:outlineLvl w:val="3"/>
        <w:rPr>
          <w:rStyle w:val="9"/>
          <w:rFonts w:hint="eastAsia" w:ascii="黑体" w:hAnsi="黑体" w:eastAsia="黑体" w:cs="黑体"/>
          <w:b w:val="0"/>
          <w:bCs w:val="0"/>
          <w:sz w:val="24"/>
          <w:szCs w:val="24"/>
        </w:rPr>
      </w:pPr>
      <w:r>
        <w:rPr>
          <w:rStyle w:val="9"/>
          <w:rFonts w:hint="eastAsia" w:ascii="黑体" w:hAnsi="黑体" w:eastAsia="黑体" w:cs="黑体"/>
          <w:b w:val="0"/>
          <w:bCs w:val="0"/>
          <w:sz w:val="24"/>
          <w:szCs w:val="24"/>
          <w:lang w:eastAsia="zh-CN"/>
        </w:rPr>
        <w:t>二、</w:t>
      </w:r>
      <w:r>
        <w:rPr>
          <w:rStyle w:val="9"/>
          <w:rFonts w:hint="eastAsia" w:ascii="黑体" w:hAnsi="黑体" w:eastAsia="黑体" w:cs="黑体"/>
          <w:b w:val="0"/>
          <w:bCs w:val="0"/>
          <w:sz w:val="24"/>
          <w:szCs w:val="24"/>
        </w:rPr>
        <w:t>猎捕目的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作为深圳市鸟类环志监测总站，本项目旨在通过标准化环志（金属环、旗标、彩环）与卫星定位等辅助技术，系统收集鸟类迁徙路线、停留时间、种群结构及健康状况等关键数据，填补深圳地区鸟类长期监测的空白。项目将环志工作与野生动物疫源疫病监测（如禽流感病毒采样）紧密结合，建立公共卫生风险的早期预警机制。通过构建覆盖城市核心生态区的监测网络，本项目致力于提升深圳在候鸟保护领域的科研能力与国际影响力，为“国际红树林中心”建设提供坚实支撑。</w:t>
      </w:r>
    </w:p>
    <w:p>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uto"/>
        <w:ind w:leftChars="0" w:firstLine="480" w:firstLineChars="200"/>
        <w:textAlignment w:val="auto"/>
        <w:outlineLvl w:val="3"/>
        <w:rPr>
          <w:rStyle w:val="9"/>
          <w:rFonts w:hint="eastAsia" w:ascii="黑体" w:hAnsi="黑体" w:eastAsia="黑体" w:cs="黑体"/>
          <w:b w:val="0"/>
          <w:bCs w:val="0"/>
          <w:sz w:val="24"/>
          <w:szCs w:val="24"/>
        </w:rPr>
      </w:pPr>
      <w:r>
        <w:rPr>
          <w:rStyle w:val="9"/>
          <w:rFonts w:hint="eastAsia" w:ascii="黑体" w:hAnsi="黑体" w:eastAsia="黑体" w:cs="黑体"/>
          <w:b w:val="0"/>
          <w:bCs w:val="0"/>
          <w:sz w:val="24"/>
          <w:szCs w:val="24"/>
          <w:lang w:eastAsia="zh-CN"/>
        </w:rPr>
        <w:t>三、项目单位基本情况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US" w:eastAsia="zh-CN" w:bidi="ar"/>
        </w:rPr>
        <w:t>深圳市自然保护区管理中心（深圳市陆生野生动物救护和疫源疫病监测站）为深圳市规划和自然资源局直属公益一类专业技术类事业单位，主要负责深圳市陆生野生动物的救护、疫源疫病监测及野生动物保护科普教育等工作。 作为项目实施单位，已获得广东省林业局和广东省鸟类环志监测总站正式批复（2025年5月26日），依托其专业资质（4名人员持有全国鸟类环志中心认证资质），</w:t>
      </w:r>
      <w:r>
        <w:rPr>
          <w:rFonts w:hint="eastAsia" w:ascii="仿宋" w:hAnsi="仿宋" w:eastAsia="仿宋" w:cs="仿宋"/>
          <w:b w:val="0"/>
          <w:bCs w:val="0"/>
          <w:kern w:val="0"/>
          <w:sz w:val="24"/>
          <w:szCs w:val="24"/>
          <w:lang w:val="en-AU" w:eastAsia="zh-CN" w:bidi="ar"/>
        </w:rPr>
        <w:t>正式成立</w:t>
      </w:r>
      <w:r>
        <w:rPr>
          <w:rFonts w:hint="eastAsia" w:ascii="仿宋" w:hAnsi="仿宋" w:eastAsia="仿宋" w:cs="仿宋"/>
          <w:b w:val="0"/>
          <w:bCs w:val="0"/>
          <w:kern w:val="0"/>
          <w:sz w:val="24"/>
          <w:szCs w:val="24"/>
          <w:lang w:val="en-US" w:eastAsia="zh-CN" w:bidi="ar"/>
        </w:rPr>
        <w:t>深圳市</w:t>
      </w:r>
      <w:r>
        <w:rPr>
          <w:rFonts w:hint="eastAsia" w:ascii="仿宋" w:hAnsi="仿宋" w:eastAsia="仿宋" w:cs="仿宋"/>
          <w:b w:val="0"/>
          <w:bCs w:val="0"/>
          <w:kern w:val="0"/>
          <w:sz w:val="24"/>
          <w:szCs w:val="24"/>
          <w:lang w:val="en-AU" w:eastAsia="zh-CN" w:bidi="ar"/>
        </w:rPr>
        <w:t>鸟类环志站</w:t>
      </w:r>
      <w:r>
        <w:rPr>
          <w:rFonts w:hint="eastAsia" w:ascii="仿宋" w:hAnsi="仿宋" w:eastAsia="仿宋" w:cs="仿宋"/>
          <w:b w:val="0"/>
          <w:bCs w:val="0"/>
          <w:kern w:val="0"/>
          <w:sz w:val="24"/>
          <w:szCs w:val="24"/>
          <w:lang w:val="en-US" w:eastAsia="zh-CN" w:bidi="ar"/>
        </w:rPr>
        <w:t>。前期在福田红树林生态公园等区域的试点环志（2022年起）及2023年深圳首期鸟类环志培训班的成功举办，为本方案提供了成熟的技术路径和人才支撑。</w:t>
      </w:r>
    </w:p>
    <w:p>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uto"/>
        <w:ind w:leftChars="0" w:firstLine="480" w:firstLineChars="200"/>
        <w:textAlignment w:val="auto"/>
        <w:outlineLvl w:val="3"/>
        <w:rPr>
          <w:rStyle w:val="9"/>
          <w:rFonts w:hint="eastAsia" w:ascii="黑体" w:hAnsi="黑体" w:eastAsia="黑体" w:cs="黑体"/>
          <w:b w:val="0"/>
          <w:bCs w:val="0"/>
          <w:sz w:val="24"/>
          <w:szCs w:val="24"/>
          <w:lang w:val="en-CA" w:eastAsia="zh-CN"/>
        </w:rPr>
      </w:pPr>
      <w:r>
        <w:rPr>
          <w:rStyle w:val="9"/>
          <w:rFonts w:hint="eastAsia" w:ascii="黑体" w:hAnsi="黑体" w:eastAsia="黑体" w:cs="黑体"/>
          <w:b w:val="0"/>
          <w:bCs w:val="0"/>
          <w:sz w:val="24"/>
          <w:szCs w:val="24"/>
          <w:lang w:eastAsia="zh-CN"/>
        </w:rPr>
        <w:t>四、猎捕对象与数量</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ind w:firstLine="480" w:firstLineChars="200"/>
        <w:textAlignment w:val="auto"/>
        <w:outlineLvl w:val="3"/>
        <w:rPr>
          <w:rFonts w:hint="eastAsia" w:ascii="仿宋" w:hAnsi="仿宋" w:eastAsia="仿宋" w:cs="仿宋"/>
          <w:b w:val="0"/>
          <w:bCs w:val="0"/>
          <w:kern w:val="0"/>
          <w:sz w:val="24"/>
          <w:szCs w:val="24"/>
          <w:lang w:val="en-CA" w:eastAsia="zh-CN" w:bidi="ar"/>
        </w:rPr>
      </w:pPr>
      <w:r>
        <w:rPr>
          <w:rFonts w:hint="eastAsia" w:ascii="仿宋" w:hAnsi="仿宋" w:eastAsia="仿宋" w:cs="仿宋"/>
          <w:b w:val="0"/>
          <w:bCs w:val="0"/>
          <w:kern w:val="0"/>
          <w:sz w:val="24"/>
          <w:szCs w:val="24"/>
          <w:lang w:val="en-US" w:eastAsia="zh-CN" w:bidi="ar"/>
        </w:rPr>
        <w:t>本次鸟类环志工作在目标物种选择上坚持科学性与保护优先原则，严格筛选出10种非国家重点保护、种群稳定且生态代表性强的常见鸟类（包括留鸟及越冬候鸟）作为研究对象，所有入选物种均明确未列入《国家重点保护野生动物名录》，符合法规要求。在猎捕数量与种群影响方面，总捕获量控制在100只以内，具体分配将结合实际情况执行，该规模经过科学评估，猎捕个体占种群总数比例远低于1%，显著低于国际通行的5%安全阈值，不会对种群造成显著影响；实际操作中将根据现场观测结果进行动态调整，灵活优化捕获策略，最大限度降低生态干扰；</w:t>
      </w:r>
      <w:r>
        <w:rPr>
          <w:rFonts w:hint="eastAsia" w:ascii="仿宋" w:hAnsi="仿宋" w:eastAsia="仿宋" w:cs="仿宋"/>
          <w:b w:val="0"/>
          <w:bCs w:val="0"/>
          <w:kern w:val="0"/>
          <w:sz w:val="24"/>
          <w:szCs w:val="24"/>
          <w:lang w:val="zh-CN" w:eastAsia="zh-CN" w:bidi="ar"/>
        </w:rPr>
        <w:t>完成环志后将立即放飞，不会对其种群数量造成负面影响</w:t>
      </w:r>
      <w:r>
        <w:rPr>
          <w:rFonts w:hint="eastAsia" w:ascii="仿宋" w:hAnsi="仿宋" w:eastAsia="仿宋" w:cs="仿宋"/>
          <w:b w:val="0"/>
          <w:bCs w:val="0"/>
          <w:kern w:val="0"/>
          <w:sz w:val="24"/>
          <w:szCs w:val="24"/>
          <w:lang w:val="en-CA" w:eastAsia="zh-CN" w:bidi="ar"/>
        </w:rPr>
        <w:t>。鸟种的选择基于过往环志经验和环志上网的鸟种进行设定。为了减少集中猎捕对种群的影响，每次环志完成后均间隔至少一周以上进行第二次环志，主要开展环志鸟类监测和疫源疫病监测。猎捕总数已经上报全国鸟类环志中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表1本项目非国家重点保护</w:t>
      </w:r>
      <w:r>
        <w:rPr>
          <w:rFonts w:hint="eastAsia" w:ascii="仿宋" w:hAnsi="仿宋" w:eastAsia="仿宋" w:cs="仿宋"/>
          <w:b w:val="0"/>
          <w:bCs w:val="0"/>
          <w:kern w:val="0"/>
          <w:sz w:val="24"/>
          <w:szCs w:val="24"/>
          <w:lang w:val="zh-CN" w:eastAsia="zh-CN" w:bidi="ar"/>
        </w:rPr>
        <w:t>鸟类</w:t>
      </w:r>
      <w:r>
        <w:rPr>
          <w:rFonts w:hint="eastAsia" w:ascii="仿宋" w:hAnsi="仿宋" w:eastAsia="仿宋" w:cs="仿宋"/>
          <w:b w:val="0"/>
          <w:bCs w:val="0"/>
          <w:kern w:val="0"/>
          <w:sz w:val="24"/>
          <w:szCs w:val="24"/>
          <w:lang w:val="en-AU" w:eastAsia="zh-CN" w:bidi="ar"/>
        </w:rPr>
        <w:t>的捉捕对象和数量</w:t>
      </w:r>
    </w:p>
    <w:tbl>
      <w:tblPr>
        <w:tblStyle w:val="6"/>
        <w:tblpPr w:leftFromText="180" w:rightFromText="180" w:vertAnchor="page" w:horzAnchor="page" w:tblpX="1623" w:tblpY="2465"/>
        <w:tblOverlap w:val="never"/>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2249"/>
        <w:gridCol w:w="1719"/>
        <w:gridCol w:w="1050"/>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981" w:type="dxa"/>
            <w:gridSpan w:val="2"/>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物种名称</w:t>
            </w:r>
          </w:p>
        </w:tc>
        <w:tc>
          <w:tcPr>
            <w:tcW w:w="1719"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保护级别</w:t>
            </w:r>
          </w:p>
        </w:tc>
        <w:tc>
          <w:tcPr>
            <w:tcW w:w="1050"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数量（只）</w:t>
            </w:r>
          </w:p>
        </w:tc>
        <w:tc>
          <w:tcPr>
            <w:tcW w:w="2138" w:type="dxa"/>
            <w:vMerge w:val="restart"/>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选择理由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732" w:type="dxa"/>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中文名</w:t>
            </w:r>
          </w:p>
        </w:tc>
        <w:tc>
          <w:tcPr>
            <w:tcW w:w="2249" w:type="dxa"/>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学名</w:t>
            </w:r>
          </w:p>
        </w:tc>
        <w:tc>
          <w:tcPr>
            <w:tcW w:w="1719" w:type="dxa"/>
            <w:vMerge w:val="continue"/>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p>
        </w:tc>
        <w:tc>
          <w:tcPr>
            <w:tcW w:w="1050" w:type="dxa"/>
            <w:vMerge w:val="continue"/>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p>
        </w:tc>
        <w:tc>
          <w:tcPr>
            <w:tcW w:w="2138" w:type="dxa"/>
            <w:vMerge w:val="continue"/>
            <w:tcBorders>
              <w:bottom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720" w:firstLineChars="300"/>
              <w:jc w:val="center"/>
              <w:textAlignment w:val="auto"/>
              <w:rPr>
                <w:rFonts w:hint="eastAsia" w:ascii="仿宋" w:hAnsi="仿宋" w:eastAsia="仿宋" w:cs="仿宋"/>
                <w:b w:val="0"/>
                <w:bCs w:val="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黑卷尾</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Dicrurus macrocercus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常见夏候鸟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白头鹎</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Pycnonotus sinensis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种群数量大，适应性强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栗耳鹀</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Emberiza elegans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冬候鸟，是典型的农田及草地鸟类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白眉鸫</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Turdus obscurus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迁徙途经种，栖息地代表性强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白腰文鸟</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Lonchura striata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常见留鸟，常集群活动，种群数量大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斑文鸟</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Lonchura punctulata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常见留鸟，种群数量大，适应性强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北红尾鸲</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Phoenicurus auroreus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城市公园常见的冬候鸟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北灰鹟</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Muscicapa dauurica</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典型的林栖鹟类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紫啸鸫</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Myophonus caeruleus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本地优势种分布广泛，易于识别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7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红耳鹎</w:t>
            </w:r>
          </w:p>
        </w:tc>
        <w:tc>
          <w:tcPr>
            <w:tcW w:w="22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i/>
                <w:iCs/>
                <w:kern w:val="0"/>
                <w:sz w:val="24"/>
                <w:szCs w:val="24"/>
                <w:lang w:val="en-US" w:eastAsia="zh-CN" w:bidi="ar"/>
              </w:rPr>
            </w:pPr>
            <w:r>
              <w:rPr>
                <w:rFonts w:hint="eastAsia" w:ascii="仿宋" w:hAnsi="仿宋" w:eastAsia="仿宋" w:cs="仿宋"/>
                <w:b w:val="0"/>
                <w:bCs w:val="0"/>
                <w:i/>
                <w:iCs/>
                <w:kern w:val="0"/>
                <w:sz w:val="24"/>
                <w:szCs w:val="24"/>
                <w:lang w:val="en-US" w:eastAsia="zh-CN" w:bidi="ar"/>
              </w:rPr>
              <w:t>Pycnonotus jocosus</w:t>
            </w:r>
          </w:p>
        </w:tc>
        <w:tc>
          <w:tcPr>
            <w:tcW w:w="1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非国家重点保护</w:t>
            </w:r>
          </w:p>
        </w:tc>
        <w:tc>
          <w:tcPr>
            <w:tcW w:w="105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10</w:t>
            </w:r>
          </w:p>
        </w:tc>
        <w:tc>
          <w:tcPr>
            <w:tcW w:w="213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0" w:firstLineChars="0"/>
              <w:jc w:val="center"/>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种群数量大，适应性强</w:t>
            </w:r>
          </w:p>
        </w:tc>
      </w:tr>
    </w:tbl>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uto"/>
        <w:ind w:leftChars="0" w:firstLine="480" w:firstLineChars="200"/>
        <w:textAlignment w:val="auto"/>
        <w:outlineLvl w:val="3"/>
        <w:rPr>
          <w:rStyle w:val="9"/>
          <w:rFonts w:hint="eastAsia" w:ascii="黑体" w:hAnsi="黑体" w:eastAsia="黑体" w:cs="黑体"/>
          <w:b w:val="0"/>
          <w:bCs w:val="0"/>
          <w:sz w:val="24"/>
          <w:szCs w:val="24"/>
          <w:lang w:val="en-CA" w:eastAsia="zh-CN"/>
        </w:rPr>
      </w:pPr>
      <w:r>
        <w:rPr>
          <w:rStyle w:val="9"/>
          <w:rFonts w:hint="eastAsia" w:ascii="黑体" w:hAnsi="黑体" w:eastAsia="黑体" w:cs="黑体"/>
          <w:b w:val="0"/>
          <w:bCs w:val="0"/>
          <w:sz w:val="24"/>
          <w:szCs w:val="24"/>
          <w:lang w:val="en-AU" w:eastAsia="zh-CN"/>
        </w:rPr>
        <w:t>五、捕捉</w:t>
      </w:r>
      <w:r>
        <w:rPr>
          <w:rStyle w:val="9"/>
          <w:rFonts w:hint="eastAsia" w:ascii="黑体" w:hAnsi="黑体" w:eastAsia="黑体" w:cs="黑体"/>
          <w:b w:val="0"/>
          <w:bCs w:val="0"/>
          <w:sz w:val="24"/>
          <w:szCs w:val="24"/>
          <w:lang w:val="en-CA" w:eastAsia="zh-CN"/>
        </w:rPr>
        <w:t>位置与时间</w:t>
      </w:r>
    </w:p>
    <w:p>
      <w:pPr>
        <w:keepNext w:val="0"/>
        <w:keepLines w:val="0"/>
        <w:pageBreakBefore w:val="0"/>
        <w:numPr>
          <w:ilvl w:val="0"/>
          <w:numId w:val="2"/>
        </w:numPr>
        <w:kinsoku/>
        <w:wordWrap/>
        <w:overflowPunct/>
        <w:topLinePunct w:val="0"/>
        <w:autoSpaceDE/>
        <w:autoSpaceDN/>
        <w:bidi w:val="0"/>
        <w:adjustRightInd/>
        <w:snapToGrid/>
        <w:spacing w:beforeAutospacing="0" w:afterAutospacing="0" w:line="240" w:lineRule="auto"/>
        <w:ind w:left="42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捕捉位置为</w:t>
      </w:r>
      <w:r>
        <w:rPr>
          <w:rFonts w:hint="eastAsia" w:ascii="仿宋" w:hAnsi="仿宋" w:eastAsia="仿宋" w:cs="仿宋"/>
          <w:b w:val="0"/>
          <w:bCs w:val="0"/>
          <w:kern w:val="0"/>
          <w:sz w:val="24"/>
          <w:szCs w:val="24"/>
          <w:lang w:val="en-US" w:eastAsia="zh-CN" w:bidi="ar"/>
        </w:rPr>
        <w:t>光明农场、欢乐田园、中山大学试验田、虹桥公园</w:t>
      </w:r>
      <w:r>
        <w:rPr>
          <w:rFonts w:hint="eastAsia" w:ascii="仿宋" w:hAnsi="仿宋" w:eastAsia="仿宋" w:cs="仿宋"/>
          <w:b w:val="0"/>
          <w:bCs w:val="0"/>
          <w:kern w:val="0"/>
          <w:sz w:val="24"/>
          <w:szCs w:val="24"/>
          <w:lang w:val="en-AU" w:eastAsia="zh-CN" w:bidi="ar"/>
        </w:rPr>
        <w:t>。具体捕捉位置见图1和表2。</w:t>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textAlignment w:val="auto"/>
        <w:rPr>
          <w:rStyle w:val="9"/>
          <w:rFonts w:hint="eastAsia" w:ascii="仿宋" w:hAnsi="仿宋" w:eastAsia="仿宋" w:cs="仿宋"/>
          <w:b/>
          <w:sz w:val="24"/>
          <w:szCs w:val="24"/>
          <w:lang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textAlignment w:val="auto"/>
        <w:rPr>
          <w:rStyle w:val="9"/>
          <w:rFonts w:hint="eastAsia" w:ascii="仿宋" w:hAnsi="仿宋" w:eastAsia="仿宋" w:cs="仿宋"/>
          <w:b/>
          <w:sz w:val="24"/>
          <w:szCs w:val="24"/>
          <w:lang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textAlignment w:val="auto"/>
        <w:rPr>
          <w:rStyle w:val="9"/>
          <w:rFonts w:hint="eastAsia" w:ascii="仿宋" w:hAnsi="仿宋" w:eastAsia="仿宋" w:cs="仿宋"/>
          <w:b/>
          <w:sz w:val="24"/>
          <w:szCs w:val="24"/>
          <w:lang w:eastAsia="zh-CN"/>
        </w:rPr>
      </w:pPr>
      <w:r>
        <w:drawing>
          <wp:inline distT="0" distB="0" distL="114300" distR="114300">
            <wp:extent cx="5272405" cy="3472180"/>
            <wp:effectExtent l="0" t="0" r="444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34721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firstLine="480" w:firstLineChars="200"/>
        <w:jc w:val="center"/>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图1 2026年计划捕捉鸟类的位置</w:t>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firstLine="480" w:firstLineChars="200"/>
        <w:jc w:val="center"/>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表2捕捉点位具体信息</w:t>
      </w:r>
    </w:p>
    <w:tbl>
      <w:tblPr>
        <w:tblStyle w:val="7"/>
        <w:tblW w:w="6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62"/>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04"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bCs/>
                <w:kern w:val="0"/>
                <w:lang w:val="zh-CN"/>
              </w:rPr>
            </w:pPr>
            <w:r>
              <w:rPr>
                <w:rFonts w:hint="eastAsia" w:ascii="仿宋" w:hAnsi="仿宋" w:eastAsia="仿宋" w:cs="仿宋"/>
                <w:bCs/>
                <w:kern w:val="0"/>
                <w:lang w:val="zh-CN"/>
              </w:rPr>
              <w:t>序号</w:t>
            </w:r>
          </w:p>
        </w:tc>
        <w:tc>
          <w:tcPr>
            <w:tcW w:w="2962"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bCs/>
                <w:kern w:val="0"/>
                <w:lang w:val="zh-CN"/>
              </w:rPr>
            </w:pPr>
            <w:r>
              <w:rPr>
                <w:rFonts w:hint="eastAsia" w:ascii="仿宋" w:hAnsi="仿宋" w:eastAsia="仿宋" w:cs="仿宋"/>
                <w:bCs/>
                <w:kern w:val="0"/>
                <w:lang w:val="zh-CN"/>
              </w:rPr>
              <w:t>地点</w:t>
            </w:r>
          </w:p>
        </w:tc>
        <w:tc>
          <w:tcPr>
            <w:tcW w:w="3263"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bCs/>
                <w:kern w:val="0"/>
                <w:lang w:val="en-US" w:eastAsia="zh-CN"/>
              </w:rPr>
            </w:pPr>
            <w:r>
              <w:rPr>
                <w:rFonts w:hint="eastAsia" w:ascii="仿宋" w:hAnsi="仿宋" w:eastAsia="仿宋" w:cs="仿宋"/>
                <w:sz w:val="24"/>
                <w:szCs w:val="24"/>
              </w:rPr>
              <w:t>具体坐标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kern w:val="0"/>
                <w:lang w:val="zh-CN"/>
              </w:rPr>
            </w:pPr>
            <w:r>
              <w:rPr>
                <w:rFonts w:hint="eastAsia" w:ascii="仿宋" w:hAnsi="仿宋" w:eastAsia="仿宋" w:cs="仿宋"/>
                <w:kern w:val="0"/>
                <w:lang w:val="zh-CN"/>
              </w:rPr>
              <w:t>1</w:t>
            </w:r>
          </w:p>
        </w:tc>
        <w:tc>
          <w:tcPr>
            <w:tcW w:w="2962"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textAlignment w:val="auto"/>
              <w:rPr>
                <w:rFonts w:hint="eastAsia" w:ascii="仿宋" w:hAnsi="仿宋" w:eastAsia="仿宋" w:cs="仿宋"/>
                <w:kern w:val="0"/>
                <w:lang w:val="zh-CN"/>
              </w:rPr>
            </w:pPr>
            <w:r>
              <w:rPr>
                <w:rFonts w:hint="eastAsia" w:ascii="仿宋" w:hAnsi="仿宋" w:eastAsia="仿宋" w:cs="仿宋"/>
                <w:b w:val="0"/>
                <w:bCs w:val="0"/>
                <w:kern w:val="0"/>
                <w:sz w:val="24"/>
                <w:szCs w:val="24"/>
                <w:lang w:val="en-US" w:eastAsia="zh-CN" w:bidi="ar"/>
              </w:rPr>
              <w:t>光明农场</w:t>
            </w:r>
          </w:p>
        </w:tc>
        <w:tc>
          <w:tcPr>
            <w:tcW w:w="3263"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textAlignment w:val="auto"/>
              <w:rPr>
                <w:rFonts w:hint="eastAsia" w:ascii="仿宋" w:hAnsi="仿宋" w:eastAsia="仿宋" w:cs="仿宋"/>
                <w:kern w:val="0"/>
                <w:lang w:val="zh-CN"/>
              </w:rPr>
            </w:pPr>
            <w:r>
              <w:rPr>
                <w:rFonts w:hint="eastAsia" w:ascii="仿宋" w:hAnsi="仿宋" w:eastAsia="仿宋" w:cs="仿宋"/>
                <w:kern w:val="0"/>
                <w:lang w:val="zh-CN"/>
              </w:rPr>
              <w:t>N22.7631482°,E113.9606528°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kern w:val="0"/>
                <w:lang w:val="zh-CN"/>
              </w:rPr>
            </w:pPr>
            <w:r>
              <w:rPr>
                <w:rFonts w:hint="eastAsia" w:ascii="仿宋" w:hAnsi="仿宋" w:eastAsia="仿宋" w:cs="仿宋"/>
                <w:kern w:val="0"/>
                <w:lang w:val="zh-CN"/>
              </w:rPr>
              <w:t>2</w:t>
            </w:r>
          </w:p>
        </w:tc>
        <w:tc>
          <w:tcPr>
            <w:tcW w:w="2962"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textAlignment w:val="auto"/>
              <w:rPr>
                <w:rFonts w:hint="eastAsia" w:ascii="仿宋" w:hAnsi="仿宋" w:eastAsia="仿宋" w:cs="仿宋"/>
                <w:kern w:val="0"/>
                <w:lang w:val="zh-CN"/>
              </w:rPr>
            </w:pPr>
            <w:r>
              <w:rPr>
                <w:rFonts w:hint="eastAsia" w:ascii="仿宋" w:hAnsi="仿宋" w:eastAsia="仿宋" w:cs="仿宋"/>
                <w:b w:val="0"/>
                <w:bCs w:val="0"/>
                <w:kern w:val="0"/>
                <w:sz w:val="24"/>
                <w:szCs w:val="24"/>
                <w:lang w:val="en-US" w:eastAsia="zh-CN" w:bidi="ar"/>
              </w:rPr>
              <w:t>欢乐田园</w:t>
            </w:r>
          </w:p>
        </w:tc>
        <w:tc>
          <w:tcPr>
            <w:tcW w:w="3263"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textAlignment w:val="auto"/>
              <w:rPr>
                <w:rFonts w:hint="eastAsia" w:ascii="仿宋" w:hAnsi="仿宋" w:eastAsia="仿宋" w:cs="仿宋"/>
                <w:kern w:val="0"/>
                <w:lang w:val="zh-CN"/>
              </w:rPr>
            </w:pPr>
            <w:r>
              <w:rPr>
                <w:rFonts w:hint="eastAsia" w:ascii="仿宋" w:hAnsi="仿宋" w:eastAsia="仿宋" w:cs="仿宋"/>
                <w:kern w:val="0"/>
                <w:lang w:val="zh-CN"/>
              </w:rPr>
              <w:t>N22.7750406°,E113.9621038°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eastAsia" w:ascii="仿宋" w:hAnsi="仿宋" w:eastAsia="仿宋" w:cs="仿宋"/>
                <w:kern w:val="0"/>
                <w:lang w:val="en-US" w:eastAsia="zh-CN"/>
              </w:rPr>
            </w:pPr>
            <w:r>
              <w:rPr>
                <w:rFonts w:hint="eastAsia" w:ascii="仿宋" w:hAnsi="仿宋" w:eastAsia="仿宋" w:cs="仿宋"/>
                <w:kern w:val="0"/>
                <w:lang w:val="en-US" w:eastAsia="zh-CN"/>
              </w:rPr>
              <w:t>3</w:t>
            </w:r>
          </w:p>
        </w:tc>
        <w:tc>
          <w:tcPr>
            <w:tcW w:w="2962"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textAlignment w:val="auto"/>
              <w:rPr>
                <w:rFonts w:hint="eastAsia" w:ascii="仿宋" w:hAnsi="仿宋" w:eastAsia="仿宋" w:cs="仿宋"/>
                <w:lang w:val="en-AU"/>
              </w:rPr>
            </w:pPr>
            <w:r>
              <w:rPr>
                <w:rFonts w:hint="eastAsia" w:ascii="仿宋" w:hAnsi="仿宋" w:eastAsia="仿宋" w:cs="仿宋"/>
                <w:b w:val="0"/>
                <w:bCs w:val="0"/>
                <w:kern w:val="0"/>
                <w:sz w:val="24"/>
                <w:szCs w:val="24"/>
                <w:lang w:val="en-US" w:eastAsia="zh-CN" w:bidi="ar"/>
              </w:rPr>
              <w:t>中山大学试验田</w:t>
            </w:r>
          </w:p>
        </w:tc>
        <w:tc>
          <w:tcPr>
            <w:tcW w:w="3263"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jc w:val="left"/>
              <w:textAlignment w:val="auto"/>
              <w:rPr>
                <w:rFonts w:hint="eastAsia" w:ascii="仿宋" w:hAnsi="仿宋" w:eastAsia="仿宋" w:cs="仿宋"/>
                <w:kern w:val="0"/>
                <w:lang w:val="zh-CN"/>
              </w:rPr>
            </w:pPr>
            <w:r>
              <w:rPr>
                <w:rFonts w:hint="eastAsia" w:ascii="仿宋" w:hAnsi="仿宋" w:eastAsia="仿宋" w:cs="仿宋"/>
                <w:kern w:val="0"/>
                <w:lang w:val="zh-CN"/>
              </w:rPr>
              <w:t>N22.8011439°,E113.9512624°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jc w:val="center"/>
              <w:textAlignment w:val="auto"/>
              <w:rPr>
                <w:rFonts w:hint="default" w:ascii="仿宋" w:hAnsi="仿宋" w:eastAsia="仿宋" w:cs="仿宋"/>
                <w:kern w:val="0"/>
                <w:lang w:val="en-US" w:eastAsia="zh-CN"/>
              </w:rPr>
            </w:pPr>
            <w:r>
              <w:rPr>
                <w:rFonts w:hint="eastAsia" w:ascii="仿宋" w:hAnsi="仿宋" w:eastAsia="仿宋" w:cs="仿宋"/>
                <w:kern w:val="0"/>
                <w:lang w:val="en-US" w:eastAsia="zh-CN"/>
              </w:rPr>
              <w:t>4</w:t>
            </w:r>
          </w:p>
        </w:tc>
        <w:tc>
          <w:tcPr>
            <w:tcW w:w="2962" w:type="dxa"/>
          </w:tcPr>
          <w:p>
            <w:pPr>
              <w:keepNext w:val="0"/>
              <w:keepLines w:val="0"/>
              <w:pageBreakBefore w:val="0"/>
              <w:kinsoku/>
              <w:wordWrap/>
              <w:overflowPunct/>
              <w:topLinePunct w:val="0"/>
              <w:autoSpaceDE/>
              <w:autoSpaceDN/>
              <w:bidi w:val="0"/>
              <w:adjustRightInd/>
              <w:snapToGrid/>
              <w:spacing w:beforeAutospacing="0" w:after="160" w:afterAutospacing="0" w:line="240" w:lineRule="auto"/>
              <w:ind w:left="105" w:leftChars="50"/>
              <w:textAlignment w:val="auto"/>
              <w:rPr>
                <w:rFonts w:hint="default"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虹桥公园</w:t>
            </w:r>
          </w:p>
        </w:tc>
        <w:tc>
          <w:tcPr>
            <w:tcW w:w="3263" w:type="dxa"/>
            <w:shd w:val="clear" w:color="auto" w:fill="auto"/>
            <w:vAlign w:val="top"/>
          </w:tcPr>
          <w:p>
            <w:pPr>
              <w:keepNext w:val="0"/>
              <w:keepLines w:val="0"/>
              <w:pageBreakBefore w:val="0"/>
              <w:kinsoku/>
              <w:wordWrap/>
              <w:overflowPunct/>
              <w:topLinePunct w:val="0"/>
              <w:autoSpaceDE/>
              <w:autoSpaceDN/>
              <w:bidi w:val="0"/>
              <w:adjustRightInd/>
              <w:snapToGrid/>
              <w:spacing w:beforeAutospacing="0" w:after="160" w:afterAutospacing="0" w:line="240" w:lineRule="auto"/>
              <w:jc w:val="left"/>
              <w:textAlignment w:val="auto"/>
              <w:rPr>
                <w:rFonts w:hint="eastAsia" w:ascii="仿宋" w:hAnsi="仿宋" w:eastAsia="仿宋" w:cs="仿宋"/>
                <w:kern w:val="0"/>
                <w:sz w:val="21"/>
                <w:szCs w:val="24"/>
                <w:lang w:val="zh-CN" w:eastAsia="zh-CN" w:bidi="ar-SA"/>
              </w:rPr>
            </w:pPr>
            <w:r>
              <w:rPr>
                <w:rFonts w:hint="eastAsia" w:ascii="仿宋" w:hAnsi="仿宋" w:eastAsia="仿宋" w:cs="仿宋"/>
                <w:kern w:val="0"/>
                <w:lang w:val="zh-CN"/>
              </w:rPr>
              <w:t>N22.7429758°,E113.9643515°</w:t>
            </w:r>
          </w:p>
        </w:tc>
      </w:tr>
    </w:tbl>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textAlignment w:val="auto"/>
        <w:rPr>
          <w:rStyle w:val="9"/>
          <w:rFonts w:hint="eastAsia" w:ascii="仿宋" w:hAnsi="仿宋" w:eastAsia="仿宋" w:cs="仿宋"/>
          <w:b/>
          <w:sz w:val="24"/>
          <w:szCs w:val="24"/>
        </w:rPr>
      </w:pPr>
    </w:p>
    <w:p>
      <w:pPr>
        <w:keepNext w:val="0"/>
        <w:keepLines w:val="0"/>
        <w:pageBreakBefore w:val="0"/>
        <w:numPr>
          <w:ilvl w:val="0"/>
          <w:numId w:val="2"/>
        </w:numPr>
        <w:kinsoku/>
        <w:wordWrap/>
        <w:overflowPunct/>
        <w:topLinePunct w:val="0"/>
        <w:autoSpaceDE/>
        <w:autoSpaceDN/>
        <w:bidi w:val="0"/>
        <w:adjustRightInd/>
        <w:snapToGrid/>
        <w:spacing w:beforeAutospacing="0" w:afterAutospacing="0" w:line="240" w:lineRule="auto"/>
        <w:ind w:left="425" w:leftChars="0" w:hanging="425" w:firstLineChars="0"/>
        <w:textAlignment w:val="auto"/>
        <w:rPr>
          <w:rStyle w:val="9"/>
          <w:rFonts w:hint="eastAsia" w:ascii="仿宋" w:hAnsi="仿宋" w:eastAsia="仿宋" w:cs="仿宋"/>
          <w:sz w:val="24"/>
          <w:szCs w:val="24"/>
        </w:rPr>
      </w:pPr>
      <w:r>
        <w:rPr>
          <w:rStyle w:val="9"/>
          <w:rFonts w:hint="eastAsia" w:ascii="仿宋" w:hAnsi="仿宋" w:eastAsia="仿宋" w:cs="仿宋"/>
          <w:sz w:val="24"/>
          <w:szCs w:val="24"/>
        </w:rPr>
        <w:t>时间安排</w:t>
      </w:r>
    </w:p>
    <w:p>
      <w:pPr>
        <w:keepNext w:val="0"/>
        <w:keepLines w:val="0"/>
        <w:pageBreakBefore w:val="0"/>
        <w:kinsoku/>
        <w:wordWrap/>
        <w:overflowPunct/>
        <w:topLinePunct w:val="0"/>
        <w:autoSpaceDE/>
        <w:autoSpaceDN/>
        <w:bidi w:val="0"/>
        <w:adjustRightInd/>
        <w:snapToGrid/>
        <w:spacing w:beforeAutospacing="0" w:afterAutospacing="0" w:line="240" w:lineRule="auto"/>
        <w:ind w:left="105" w:leftChars="50" w:firstLine="480" w:firstLineChars="20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AU" w:eastAsia="zh-CN" w:bidi="ar"/>
        </w:rPr>
        <w:t>在充分考虑到审批时间和后续环志监测工作的开展，申请捕捉期限为自批准之日起到 2026年12月 31日（覆盖全年主要迁徙季及越冬期）。根据鸟</w:t>
      </w:r>
      <w:r>
        <w:rPr>
          <w:rFonts w:hint="eastAsia" w:ascii="仿宋" w:hAnsi="仿宋" w:eastAsia="仿宋" w:cs="仿宋"/>
          <w:b w:val="0"/>
          <w:bCs w:val="0"/>
          <w:kern w:val="0"/>
          <w:sz w:val="24"/>
          <w:szCs w:val="24"/>
          <w:lang w:val="en-US" w:eastAsia="zh-CN" w:bidi="ar"/>
        </w:rPr>
        <w:t>类</w:t>
      </w:r>
      <w:r>
        <w:rPr>
          <w:rFonts w:hint="eastAsia" w:ascii="仿宋" w:hAnsi="仿宋" w:eastAsia="仿宋" w:cs="仿宋"/>
          <w:b w:val="0"/>
          <w:bCs w:val="0"/>
          <w:kern w:val="0"/>
          <w:sz w:val="24"/>
          <w:szCs w:val="24"/>
          <w:lang w:val="en-AU" w:eastAsia="zh-CN" w:bidi="ar"/>
        </w:rPr>
        <w:t>的活动规律，清晨（6-10时）是主要活跃时间，将清晨（6-10时）设置为捕捉林鸟的时间，选择其活动区域附近架网捕捉，每次开网时间不超过4个小时，每次完成环志后间隔至少一周以上再进行环志，确保不会在同一个地方连续捕捉对鸟类造成过多干扰。仅在晴朗或微风天气进行，避免恶劣天气对鸟类造成额外应激。</w:t>
      </w:r>
    </w:p>
    <w:p>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uto"/>
        <w:ind w:leftChars="0" w:firstLine="480" w:firstLineChars="200"/>
        <w:textAlignment w:val="auto"/>
        <w:outlineLvl w:val="3"/>
        <w:rPr>
          <w:rStyle w:val="9"/>
          <w:rFonts w:hint="eastAsia" w:ascii="黑体" w:hAnsi="黑体" w:eastAsia="黑体" w:cs="黑体"/>
          <w:b w:val="0"/>
          <w:bCs w:val="0"/>
          <w:sz w:val="24"/>
          <w:szCs w:val="24"/>
          <w:lang w:val="en-AU" w:eastAsia="zh-CN"/>
        </w:rPr>
      </w:pPr>
      <w:r>
        <w:rPr>
          <w:rStyle w:val="9"/>
          <w:rFonts w:hint="eastAsia" w:ascii="黑体" w:hAnsi="黑体" w:eastAsia="黑体" w:cs="黑体"/>
          <w:b w:val="0"/>
          <w:bCs w:val="0"/>
          <w:sz w:val="24"/>
          <w:szCs w:val="24"/>
          <w:lang w:val="en-AU" w:eastAsia="zh-CN"/>
        </w:rPr>
        <w:t>六、技术方案</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left="570" w:leftChars="0" w:hanging="360" w:firstLineChars="0"/>
        <w:textAlignment w:val="auto"/>
        <w:rPr>
          <w:rFonts w:hint="eastAsia" w:ascii="仿宋" w:hAnsi="仿宋" w:eastAsia="仿宋" w:cs="仿宋"/>
          <w:sz w:val="24"/>
          <w:szCs w:val="24"/>
        </w:rPr>
      </w:pPr>
      <w:r>
        <w:rPr>
          <w:rStyle w:val="9"/>
          <w:rFonts w:hint="eastAsia" w:ascii="仿宋" w:hAnsi="仿宋" w:eastAsia="仿宋" w:cs="仿宋"/>
          <w:sz w:val="24"/>
          <w:szCs w:val="24"/>
        </w:rPr>
        <w:t>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AU" w:eastAsia="zh-CN" w:bidi="ar"/>
        </w:rPr>
        <w:t>采用国际通用的雾网捕捉法（Mist Netting），该方法被公认为对鸟类伤害最小的活体捕捉技术之一。每次捉捕时采用的雾网数量将会按照当天的人手而定，确保在规范方法下进行解鸟、测量、环志以及采样，避免出现鸟数量过多的情况。所有操作严格遵循国家林业和草原局颁布的《鸟类环志管理办法（试行）》及《鸟类环志技术规程（试行）》。</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240" w:lineRule="auto"/>
        <w:ind w:left="570" w:leftChars="0" w:hanging="360" w:firstLineChars="0"/>
        <w:textAlignment w:val="auto"/>
        <w:rPr>
          <w:rFonts w:hint="eastAsia" w:ascii="仿宋" w:hAnsi="仿宋" w:eastAsia="仿宋" w:cs="仿宋"/>
          <w:b w:val="0"/>
          <w:bCs w:val="0"/>
          <w:kern w:val="0"/>
          <w:sz w:val="24"/>
          <w:szCs w:val="24"/>
          <w:lang w:val="en-AU" w:eastAsia="zh-CN" w:bidi="ar"/>
        </w:rPr>
      </w:pPr>
      <w:r>
        <w:rPr>
          <w:rStyle w:val="9"/>
          <w:rFonts w:hint="eastAsia" w:ascii="仿宋" w:hAnsi="仿宋" w:eastAsia="仿宋" w:cs="仿宋"/>
          <w:sz w:val="24"/>
          <w:szCs w:val="24"/>
        </w:rPr>
        <w:t>操作流程</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240" w:lineRule="auto"/>
        <w:ind w:left="530" w:leftChars="5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抓捕前准备工作：抓捕前一天确认参与工作人员数量，抓捕工具数量，当天天气情况，对所有抓捕工具进行检查，避免因为抓捕工具原因对鸟类造成伤害。对抓捕地点进行前期勘测，确保可以准确捕捉到目标鸟种。所有工作人员学习了解《中华人民共和国野生动物保护法》、《鸟类环志管理办法（试行）》和《鸟类环志技术规程（试行）》。</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240" w:lineRule="auto"/>
        <w:ind w:left="530" w:leftChars="5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抓捕中工作：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架网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对合适地点进行架网捕捉，确保架网数量和现场工作人员匹配，避免因为架网太多导致浪费和对鸟类造成负面影响。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巡网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完成架网后每隔15-20分钟进行一次巡网，检查网上是否有鸟类撞网，对发现撞网的鸟类进行解网。在鸟类飞入捉捕区域的高峰期会更频繁地巡查，尽可能减少鸟类挂在网上的时间。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环志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解网后对健康状况良好的个体，工作人员将对其进行环志(戴上全国环志中心发放的金属环，旗标或彩环)，并测量身体特征，登记在册。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放归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每次环志操作不超过5分钟。完成所有操作后，观察个体身体状况，评估无恙后立即放飞，以免造成对个体不必要的伤害。对于兼捕的鸟类进行身体检查后确认健康即进行放飞，避免二次捕获，对国家一二级保护动物进行重点关注。减少其被捕获的可能。</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240" w:lineRule="auto"/>
        <w:ind w:left="530" w:leftChars="5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收网总结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抓捕时间到后组织工作人员进行收网，放置好所有抓捕工具。工作人员会对当天的工作做评估，如有需要时还会对捕捉方案作出适当调整，改善本项目组的计划确保鸟类和参与者的安全。具体细节均按照国家林业局的《鸟类环志管理办法（试行）》和《鸟类环志技术规程（试行）》执行，确保操作过程合法合理。每次完成捕捉后都会收回所有网具，并确保网具不会在无人看管的情况下长时间放在野外。</w:t>
      </w:r>
    </w:p>
    <w:p>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uto"/>
        <w:ind w:firstLine="480" w:firstLineChars="200"/>
        <w:textAlignment w:val="auto"/>
        <w:outlineLvl w:val="3"/>
        <w:rPr>
          <w:rStyle w:val="9"/>
          <w:rFonts w:hint="eastAsia" w:ascii="黑体" w:hAnsi="黑体" w:eastAsia="黑体" w:cs="黑体"/>
          <w:b w:val="0"/>
          <w:bCs w:val="0"/>
          <w:sz w:val="24"/>
          <w:szCs w:val="24"/>
          <w:lang w:val="en-AU" w:eastAsia="zh-CN"/>
        </w:rPr>
      </w:pPr>
      <w:r>
        <w:rPr>
          <w:rStyle w:val="9"/>
          <w:rFonts w:hint="eastAsia" w:ascii="黑体" w:hAnsi="黑体" w:eastAsia="黑体" w:cs="黑体"/>
          <w:b w:val="0"/>
          <w:bCs w:val="0"/>
          <w:sz w:val="24"/>
          <w:szCs w:val="24"/>
          <w:lang w:val="en-AU" w:eastAsia="zh-CN"/>
        </w:rPr>
        <w:t>七、抓捕中的保护措施</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63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雾网的数量控制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雾网是国际上鸟类野外研究工作中最常用到的捕捉方法，能极大的降低捕获及取样过程中对鸟类个体的伤害；在开展工作中将控制雾网的数量，确保在人手充足的情况下开展鸟类捕捉工作。</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63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对误捕鸟类的处理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对误捕的鸟类进行身体检查后，确保其野外生存能力充足的情况下进行放飞，防止对其造成伤害，特别对国家重点的一二级保护动物进行重点关注，同时记录误捕情况，环志结束后对误捕情况进行上报。</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63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对目标鸟种的保护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本次拟捕获的目标鸟种是当地的常见越冬鸟类和留鸟，工作开展中采集的鸟类个体占总种群数量的极少量，将不会对目标鸟种的种群现状造成任何显著的不利影响。在开展捕捉中，张网时间不超过4小时，每隔15-20分钟对雾网进行巡网，确保及时将捕获鸟种摘下进行环志。</w:t>
      </w:r>
    </w:p>
    <w:p>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635" w:leftChars="0" w:hanging="425" w:firstLineChars="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US" w:eastAsia="zh-CN" w:bidi="ar"/>
        </w:rPr>
        <w:t>兽医保障措施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我中心设有专职兽医团队，成员均具备丰富的野生动物救护与临床治疗经验，可对受伤或体弱鸟类实施现场初步救治，并依托</w:t>
      </w:r>
      <w:r>
        <w:rPr>
          <w:rFonts w:hint="eastAsia" w:ascii="仿宋" w:hAnsi="仿宋" w:eastAsia="仿宋" w:cs="仿宋"/>
          <w:b w:val="0"/>
          <w:bCs w:val="0"/>
          <w:kern w:val="0"/>
          <w:sz w:val="24"/>
          <w:szCs w:val="24"/>
          <w:lang w:val="en-US" w:eastAsia="zh-CN" w:bidi="ar"/>
        </w:rPr>
        <w:t>救护</w:t>
      </w:r>
      <w:r>
        <w:rPr>
          <w:rFonts w:hint="eastAsia" w:ascii="仿宋" w:hAnsi="仿宋" w:eastAsia="仿宋" w:cs="仿宋"/>
          <w:b w:val="0"/>
          <w:bCs w:val="0"/>
          <w:kern w:val="0"/>
          <w:sz w:val="24"/>
          <w:szCs w:val="24"/>
          <w:lang w:val="en-AU" w:eastAsia="zh-CN" w:bidi="ar"/>
        </w:rPr>
        <w:t>中心直属的动物医院开展进一步诊疗与康复护理。作为深圳市</w:t>
      </w:r>
      <w:r>
        <w:rPr>
          <w:rFonts w:hint="eastAsia" w:ascii="仿宋" w:hAnsi="仿宋" w:eastAsia="仿宋" w:cs="仿宋"/>
          <w:b w:val="0"/>
          <w:bCs w:val="0"/>
          <w:kern w:val="0"/>
          <w:sz w:val="24"/>
          <w:szCs w:val="24"/>
          <w:lang w:val="en-US" w:eastAsia="zh-CN" w:bidi="ar"/>
        </w:rPr>
        <w:t>鸟类环志监测站</w:t>
      </w:r>
      <w:r>
        <w:rPr>
          <w:rFonts w:hint="eastAsia" w:ascii="仿宋" w:hAnsi="仿宋" w:eastAsia="仿宋" w:cs="仿宋"/>
          <w:b w:val="0"/>
          <w:bCs w:val="0"/>
          <w:kern w:val="0"/>
          <w:sz w:val="24"/>
          <w:szCs w:val="24"/>
          <w:lang w:val="en-AU" w:eastAsia="zh-CN" w:bidi="ar"/>
        </w:rPr>
        <w:t>管理单位，我中心全面负责全市野生动物的救护工作，拥有完善的救护流程、专业救治设备及后勤保障体系（包括救治用品库、隔离观察区、康复饲养区及专业护理团队），确保每一只需要救助的鸟类得到及时、科学、有效的治疗与照护。</w:t>
      </w:r>
      <w:r>
        <w:rPr>
          <w:rFonts w:ascii="宋体" w:hAnsi="宋体" w:eastAsia="宋体" w:cs="宋体"/>
          <w:sz w:val="24"/>
          <w:szCs w:val="24"/>
        </w:rPr>
        <w:t>在</w:t>
      </w:r>
      <w:r>
        <w:rPr>
          <w:rFonts w:hint="eastAsia" w:ascii="仿宋" w:hAnsi="仿宋" w:eastAsia="仿宋" w:cs="仿宋"/>
          <w:b w:val="0"/>
          <w:bCs w:val="0"/>
          <w:kern w:val="0"/>
          <w:sz w:val="24"/>
          <w:szCs w:val="24"/>
          <w:lang w:val="en-AU" w:eastAsia="zh-CN" w:bidi="ar"/>
        </w:rPr>
        <w:t>任何捕捉过程中，一旦发现鸟类出现受伤、虚弱或其他健康异常情况，将立即启动救护程序，确保其健康与生命安全得到优先保障。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240" w:firstLineChars="100"/>
        <w:textAlignment w:val="auto"/>
        <w:rPr>
          <w:rFonts w:hint="eastAsia" w:ascii="仿宋" w:hAnsi="仿宋" w:eastAsia="仿宋" w:cs="仿宋"/>
          <w:b w:val="0"/>
          <w:bCs w:val="0"/>
          <w:kern w:val="0"/>
          <w:sz w:val="24"/>
          <w:szCs w:val="24"/>
          <w:lang w:val="en-AU" w:eastAsia="zh-CN" w:bidi="ar"/>
        </w:rPr>
      </w:pPr>
    </w:p>
    <w:p>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uto"/>
        <w:ind w:firstLine="480" w:firstLineChars="200"/>
        <w:textAlignment w:val="auto"/>
        <w:outlineLvl w:val="3"/>
        <w:rPr>
          <w:rStyle w:val="9"/>
          <w:rFonts w:hint="eastAsia" w:ascii="黑体" w:hAnsi="黑体" w:eastAsia="黑体" w:cs="黑体"/>
          <w:b w:val="0"/>
          <w:bCs w:val="0"/>
          <w:sz w:val="24"/>
          <w:szCs w:val="24"/>
          <w:lang w:val="en-AU" w:eastAsia="zh-CN"/>
        </w:rPr>
      </w:pPr>
      <w:bookmarkStart w:id="1" w:name="_GoBack"/>
      <w:bookmarkEnd w:id="1"/>
      <w:r>
        <w:rPr>
          <w:rStyle w:val="9"/>
          <w:rFonts w:hint="eastAsia" w:ascii="黑体" w:hAnsi="黑体" w:eastAsia="黑体" w:cs="黑体"/>
          <w:b w:val="0"/>
          <w:bCs w:val="0"/>
          <w:sz w:val="24"/>
          <w:szCs w:val="24"/>
          <w:lang w:val="en-AU" w:eastAsia="zh-CN"/>
        </w:rPr>
        <w:t>八、人员配置与资质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105" w:leftChars="50" w:firstLine="480" w:firstLineChars="200"/>
        <w:textAlignment w:val="auto"/>
        <w:rPr>
          <w:rFonts w:hint="eastAsia" w:ascii="仿宋" w:hAnsi="仿宋" w:eastAsia="仿宋" w:cs="仿宋"/>
          <w:b w:val="0"/>
          <w:bCs w:val="0"/>
          <w:kern w:val="0"/>
          <w:sz w:val="24"/>
          <w:szCs w:val="24"/>
          <w:lang w:val="en-AU" w:eastAsia="zh-CN" w:bidi="ar"/>
        </w:rPr>
      </w:pPr>
      <w:r>
        <w:rPr>
          <w:rFonts w:hint="eastAsia" w:ascii="仿宋" w:hAnsi="仿宋" w:eastAsia="仿宋" w:cs="仿宋"/>
          <w:b w:val="0"/>
          <w:bCs w:val="0"/>
          <w:kern w:val="0"/>
          <w:sz w:val="24"/>
          <w:szCs w:val="24"/>
          <w:lang w:val="en-AU" w:eastAsia="zh-CN" w:bidi="ar"/>
        </w:rPr>
        <w:t>本项目由经验丰富的专业团队执行，参与猎捕的工作人员中主要由</w:t>
      </w:r>
      <w:r>
        <w:rPr>
          <w:rFonts w:hint="eastAsia" w:ascii="仿宋" w:hAnsi="仿宋" w:eastAsia="仿宋" w:cs="仿宋"/>
          <w:b w:val="0"/>
          <w:bCs w:val="0"/>
          <w:kern w:val="0"/>
          <w:sz w:val="24"/>
          <w:szCs w:val="24"/>
          <w:lang w:val="en-US" w:eastAsia="zh-CN" w:bidi="ar"/>
        </w:rPr>
        <w:t>深圳市自然保护区管理中心、深圳大学、中山大学及红树林基金会等</w:t>
      </w:r>
      <w:r>
        <w:rPr>
          <w:rFonts w:hint="eastAsia" w:ascii="仿宋" w:hAnsi="仿宋" w:eastAsia="仿宋" w:cs="仿宋"/>
          <w:b w:val="0"/>
          <w:bCs w:val="0"/>
          <w:kern w:val="0"/>
          <w:sz w:val="24"/>
          <w:szCs w:val="24"/>
          <w:lang w:val="en-AU" w:eastAsia="zh-CN" w:bidi="ar"/>
        </w:rPr>
        <w:t>工作人员组成，均具有丰富的鸟类环志经验和研究经验。工作人员有能力应对捕捉过程的各种突发事件，参与猎捕的工作人员均通过全国鸟类环志中心认证培训：</w:t>
      </w:r>
    </w:p>
    <w:tbl>
      <w:tblPr>
        <w:tblStyle w:val="7"/>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95"/>
        <w:gridCol w:w="2390"/>
        <w:gridCol w:w="1322"/>
        <w:gridCol w:w="3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bookmarkStart w:id="0" w:name="_Hlk54791428"/>
            <w:r>
              <w:rPr>
                <w:rFonts w:hint="eastAsia" w:ascii="仿宋" w:hAnsi="仿宋" w:eastAsia="仿宋" w:cs="仿宋"/>
                <w:kern w:val="0"/>
                <w:sz w:val="22"/>
                <w:szCs w:val="22"/>
                <w:lang w:val="zh-CN" w:eastAsia="zh-CN"/>
              </w:rPr>
              <w:t>序号</w:t>
            </w:r>
          </w:p>
        </w:tc>
        <w:tc>
          <w:tcPr>
            <w:tcW w:w="1295"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姓名</w:t>
            </w:r>
          </w:p>
        </w:tc>
        <w:tc>
          <w:tcPr>
            <w:tcW w:w="2390"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单位</w:t>
            </w:r>
          </w:p>
        </w:tc>
        <w:tc>
          <w:tcPr>
            <w:tcW w:w="1322"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zh-CN" w:eastAsia="zh-CN"/>
              </w:rPr>
              <w:t>职业</w:t>
            </w:r>
            <w:r>
              <w:rPr>
                <w:rFonts w:hint="eastAsia" w:ascii="仿宋" w:hAnsi="仿宋" w:eastAsia="仿宋" w:cs="仿宋"/>
                <w:kern w:val="0"/>
                <w:sz w:val="22"/>
                <w:szCs w:val="22"/>
                <w:lang w:val="en-US" w:eastAsia="zh-CN"/>
              </w:rPr>
              <w:t>/职称</w:t>
            </w:r>
          </w:p>
        </w:tc>
        <w:tc>
          <w:tcPr>
            <w:tcW w:w="3073"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核心资质与经验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1</w:t>
            </w:r>
          </w:p>
        </w:tc>
        <w:tc>
          <w:tcPr>
            <w:tcW w:w="1295"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曾志燎</w:t>
            </w:r>
          </w:p>
        </w:tc>
        <w:tc>
          <w:tcPr>
            <w:tcW w:w="2390"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深圳市自然保护区管理中心</w:t>
            </w:r>
          </w:p>
        </w:tc>
        <w:tc>
          <w:tcPr>
            <w:tcW w:w="1322"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高级兽医师</w:t>
            </w:r>
          </w:p>
        </w:tc>
        <w:tc>
          <w:tcPr>
            <w:tcW w:w="3073"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GB" w:eastAsia="zh-CN"/>
              </w:rPr>
              <w:t>具有</w:t>
            </w:r>
            <w:r>
              <w:rPr>
                <w:rFonts w:hint="eastAsia" w:ascii="仿宋" w:hAnsi="仿宋" w:eastAsia="仿宋" w:cs="仿宋"/>
                <w:kern w:val="0"/>
                <w:sz w:val="22"/>
                <w:szCs w:val="22"/>
                <w:lang w:val="en-US" w:eastAsia="zh-CN"/>
              </w:rPr>
              <w:t>10年以上陆生野生动物救护、野生动物疫源疫病监测及</w:t>
            </w:r>
            <w:r>
              <w:rPr>
                <w:rFonts w:hint="eastAsia" w:ascii="仿宋" w:hAnsi="仿宋" w:eastAsia="仿宋" w:cs="仿宋"/>
                <w:kern w:val="0"/>
                <w:sz w:val="22"/>
                <w:szCs w:val="22"/>
                <w:lang w:val="en-GB" w:eastAsia="zh-CN"/>
              </w:rPr>
              <w:t>4年鸟类环志经验，</w:t>
            </w:r>
            <w:r>
              <w:rPr>
                <w:rFonts w:hint="eastAsia" w:ascii="仿宋" w:hAnsi="仿宋" w:eastAsia="仿宋" w:cs="仿宋"/>
                <w:kern w:val="0"/>
                <w:sz w:val="22"/>
                <w:szCs w:val="22"/>
                <w:lang w:val="en-US" w:eastAsia="zh-CN"/>
              </w:rPr>
              <w:t>持有全国鸟类环志中心认证资质、持有执业兽医资格证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2</w:t>
            </w:r>
          </w:p>
        </w:tc>
        <w:tc>
          <w:tcPr>
            <w:tcW w:w="1295"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王凯</w:t>
            </w:r>
          </w:p>
        </w:tc>
        <w:tc>
          <w:tcPr>
            <w:tcW w:w="2390"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深圳市自然保护区管理中心</w:t>
            </w:r>
          </w:p>
        </w:tc>
        <w:tc>
          <w:tcPr>
            <w:tcW w:w="1322"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兽医师</w:t>
            </w:r>
          </w:p>
        </w:tc>
        <w:tc>
          <w:tcPr>
            <w:tcW w:w="3073"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GB" w:eastAsia="zh-CN"/>
              </w:rPr>
              <w:t>具有</w:t>
            </w:r>
            <w:r>
              <w:rPr>
                <w:rFonts w:hint="eastAsia" w:ascii="仿宋" w:hAnsi="仿宋" w:eastAsia="仿宋" w:cs="仿宋"/>
                <w:kern w:val="0"/>
                <w:sz w:val="22"/>
                <w:szCs w:val="22"/>
                <w:lang w:val="en-US" w:eastAsia="zh-CN"/>
              </w:rPr>
              <w:t>10年以上陆生野生动物救护、野生动物疫源疫病监测及</w:t>
            </w:r>
            <w:r>
              <w:rPr>
                <w:rFonts w:hint="eastAsia" w:ascii="仿宋" w:hAnsi="仿宋" w:eastAsia="仿宋" w:cs="仿宋"/>
                <w:kern w:val="0"/>
                <w:sz w:val="22"/>
                <w:szCs w:val="22"/>
                <w:lang w:val="en-GB" w:eastAsia="zh-CN"/>
              </w:rPr>
              <w:t>4年鸟类环志经验，</w:t>
            </w:r>
            <w:r>
              <w:rPr>
                <w:rFonts w:hint="eastAsia" w:ascii="仿宋" w:hAnsi="仿宋" w:eastAsia="仿宋" w:cs="仿宋"/>
                <w:kern w:val="0"/>
                <w:sz w:val="22"/>
                <w:szCs w:val="22"/>
                <w:lang w:val="en-US" w:eastAsia="zh-CN"/>
              </w:rPr>
              <w:t>持有全国鸟类环志中心认证资质、持有执业兽医资格证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3</w:t>
            </w:r>
          </w:p>
        </w:tc>
        <w:tc>
          <w:tcPr>
            <w:tcW w:w="1295"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邓剑锋</w:t>
            </w:r>
          </w:p>
        </w:tc>
        <w:tc>
          <w:tcPr>
            <w:tcW w:w="2390"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深圳市自然保护区管理中心</w:t>
            </w:r>
          </w:p>
        </w:tc>
        <w:tc>
          <w:tcPr>
            <w:tcW w:w="1322"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助理兽医师</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w:t>
            </w:r>
            <w:r>
              <w:rPr>
                <w:rFonts w:hint="eastAsia" w:ascii="仿宋" w:hAnsi="仿宋" w:eastAsia="仿宋" w:cs="仿宋"/>
                <w:kern w:val="0"/>
                <w:sz w:val="22"/>
                <w:szCs w:val="22"/>
                <w:lang w:val="en-US" w:eastAsia="zh-CN"/>
              </w:rPr>
              <w:t>5年以上陆生野生动物救护及</w:t>
            </w:r>
            <w:r>
              <w:rPr>
                <w:rFonts w:hint="eastAsia" w:ascii="仿宋" w:hAnsi="仿宋" w:eastAsia="仿宋" w:cs="仿宋"/>
                <w:kern w:val="0"/>
                <w:sz w:val="22"/>
                <w:szCs w:val="22"/>
                <w:lang w:val="en-GB" w:eastAsia="zh-CN"/>
              </w:rPr>
              <w:t>4年鸟类环志经验，</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4</w:t>
            </w:r>
          </w:p>
        </w:tc>
        <w:tc>
          <w:tcPr>
            <w:tcW w:w="1295"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胡欣元</w:t>
            </w:r>
          </w:p>
        </w:tc>
        <w:tc>
          <w:tcPr>
            <w:tcW w:w="2390"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深圳市自然保护区管理中心</w:t>
            </w:r>
          </w:p>
        </w:tc>
        <w:tc>
          <w:tcPr>
            <w:tcW w:w="1322"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助理畜牧师</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w:t>
            </w:r>
            <w:r>
              <w:rPr>
                <w:rFonts w:hint="eastAsia" w:ascii="仿宋" w:hAnsi="仿宋" w:eastAsia="仿宋" w:cs="仿宋"/>
                <w:kern w:val="0"/>
                <w:sz w:val="22"/>
                <w:szCs w:val="22"/>
                <w:lang w:val="en-US" w:eastAsia="zh-CN"/>
              </w:rPr>
              <w:t>5年以上陆生野生动物救护及</w:t>
            </w:r>
            <w:r>
              <w:rPr>
                <w:rFonts w:hint="eastAsia" w:ascii="仿宋" w:hAnsi="仿宋" w:eastAsia="仿宋" w:cs="仿宋"/>
                <w:kern w:val="0"/>
                <w:sz w:val="22"/>
                <w:szCs w:val="22"/>
                <w:lang w:val="en-GB" w:eastAsia="zh-CN"/>
              </w:rPr>
              <w:t>4年鸟类环志经验，</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5</w:t>
            </w:r>
          </w:p>
        </w:tc>
        <w:tc>
          <w:tcPr>
            <w:tcW w:w="1295"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吴坤华</w:t>
            </w:r>
          </w:p>
        </w:tc>
        <w:tc>
          <w:tcPr>
            <w:tcW w:w="2390"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深圳大学</w:t>
            </w:r>
          </w:p>
        </w:tc>
        <w:tc>
          <w:tcPr>
            <w:tcW w:w="1322"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科研助理</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具有4年鸟类环志经验，</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zh-CN" w:eastAsia="zh-CN"/>
              </w:rPr>
              <w:t>6</w:t>
            </w:r>
          </w:p>
        </w:tc>
        <w:tc>
          <w:tcPr>
            <w:tcW w:w="1295"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符益健</w:t>
            </w:r>
          </w:p>
        </w:tc>
        <w:tc>
          <w:tcPr>
            <w:tcW w:w="2390"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深圳大学</w:t>
            </w:r>
          </w:p>
        </w:tc>
        <w:tc>
          <w:tcPr>
            <w:tcW w:w="1322" w:type="dxa"/>
          </w:tcPr>
          <w:p>
            <w:pPr>
              <w:spacing w:after="160" w:line="360" w:lineRule="auto"/>
              <w:jc w:val="center"/>
              <w:rPr>
                <w:rFonts w:hint="eastAsia" w:ascii="仿宋" w:hAnsi="仿宋" w:eastAsia="仿宋" w:cs="仿宋"/>
                <w:kern w:val="0"/>
                <w:sz w:val="22"/>
                <w:szCs w:val="22"/>
                <w:lang w:val="zh-CN" w:eastAsia="zh-CN"/>
              </w:rPr>
            </w:pPr>
            <w:r>
              <w:rPr>
                <w:rFonts w:hint="eastAsia" w:ascii="仿宋" w:hAnsi="仿宋" w:eastAsia="仿宋" w:cs="仿宋"/>
                <w:kern w:val="0"/>
                <w:sz w:val="22"/>
                <w:szCs w:val="22"/>
                <w:lang w:val="en-US" w:eastAsia="zh-CN"/>
              </w:rPr>
              <w:t>科研助理</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具有4年鸟类环志经验，</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7</w:t>
            </w:r>
          </w:p>
        </w:tc>
        <w:tc>
          <w:tcPr>
            <w:tcW w:w="1295"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梁丹</w:t>
            </w:r>
          </w:p>
        </w:tc>
        <w:tc>
          <w:tcPr>
            <w:tcW w:w="2390"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中山大学</w:t>
            </w:r>
          </w:p>
        </w:tc>
        <w:tc>
          <w:tcPr>
            <w:tcW w:w="1322"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副教授</w:t>
            </w:r>
          </w:p>
        </w:tc>
        <w:tc>
          <w:tcPr>
            <w:tcW w:w="3073"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GB" w:eastAsia="zh-CN"/>
              </w:rPr>
              <w:t>聚焦动物生态学与保护生物学，长期从事迁徙鸟类保护研究，科研与教学经验丰富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8</w:t>
            </w:r>
          </w:p>
        </w:tc>
        <w:tc>
          <w:tcPr>
            <w:tcW w:w="1295"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方语涵</w:t>
            </w:r>
          </w:p>
        </w:tc>
        <w:tc>
          <w:tcPr>
            <w:tcW w:w="2390"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中山大学</w:t>
            </w:r>
          </w:p>
        </w:tc>
        <w:tc>
          <w:tcPr>
            <w:tcW w:w="1322"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科研助理</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长期从事迁徙鸟类保护研究，</w:t>
            </w:r>
            <w:r>
              <w:rPr>
                <w:rFonts w:hint="eastAsia" w:ascii="仿宋" w:hAnsi="仿宋" w:eastAsia="仿宋" w:cs="仿宋"/>
                <w:kern w:val="0"/>
                <w:sz w:val="22"/>
                <w:szCs w:val="22"/>
                <w:lang w:val="en-US" w:eastAsia="zh-CN"/>
              </w:rPr>
              <w:t>野外研究</w:t>
            </w:r>
            <w:r>
              <w:rPr>
                <w:rFonts w:hint="eastAsia" w:ascii="仿宋" w:hAnsi="仿宋" w:eastAsia="仿宋" w:cs="仿宋"/>
                <w:kern w:val="0"/>
                <w:sz w:val="22"/>
                <w:szCs w:val="22"/>
                <w:lang w:val="en-GB" w:eastAsia="zh-CN"/>
              </w:rPr>
              <w:t>经验丰富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1" w:hRule="atLeast"/>
          <w:jc w:val="center"/>
        </w:trPr>
        <w:tc>
          <w:tcPr>
            <w:tcW w:w="846"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both"/>
              <w:rPr>
                <w:rFonts w:hint="eastAsia" w:ascii="仿宋" w:hAnsi="仿宋" w:eastAsia="仿宋" w:cs="仿宋"/>
                <w:kern w:val="0"/>
                <w:sz w:val="22"/>
                <w:szCs w:val="22"/>
                <w:lang w:val="en-US" w:eastAsia="zh-CN"/>
              </w:rPr>
            </w:pPr>
          </w:p>
          <w:p>
            <w:pPr>
              <w:spacing w:after="160" w:line="360" w:lineRule="auto"/>
              <w:ind w:firstLine="220" w:firstLineChars="100"/>
              <w:jc w:val="both"/>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9</w:t>
            </w:r>
          </w:p>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default" w:ascii="仿宋" w:hAnsi="仿宋" w:eastAsia="仿宋" w:cs="仿宋"/>
                <w:kern w:val="0"/>
                <w:sz w:val="22"/>
                <w:szCs w:val="22"/>
                <w:lang w:val="en-US" w:eastAsia="zh-CN"/>
              </w:rPr>
            </w:pPr>
          </w:p>
        </w:tc>
        <w:tc>
          <w:tcPr>
            <w:tcW w:w="1295"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戎灿中</w:t>
            </w:r>
          </w:p>
        </w:tc>
        <w:tc>
          <w:tcPr>
            <w:tcW w:w="2390" w:type="dxa"/>
          </w:tcPr>
          <w:p>
            <w:pPr>
              <w:spacing w:after="160" w:line="360" w:lineRule="auto"/>
              <w:jc w:val="center"/>
              <w:rPr>
                <w:rFonts w:hint="eastAsia" w:ascii="仿宋" w:hAnsi="仿宋" w:eastAsia="仿宋" w:cs="仿宋"/>
                <w:kern w:val="0"/>
                <w:sz w:val="22"/>
                <w:szCs w:val="22"/>
                <w:lang w:val="zh-CN" w:eastAsia="zh-CN"/>
              </w:rPr>
            </w:pPr>
          </w:p>
          <w:p>
            <w:pPr>
              <w:spacing w:after="160" w:line="360" w:lineRule="auto"/>
              <w:jc w:val="center"/>
              <w:rPr>
                <w:rFonts w:hint="eastAsia" w:ascii="仿宋" w:hAnsi="仿宋" w:eastAsia="仿宋" w:cs="仿宋"/>
                <w:kern w:val="0"/>
                <w:sz w:val="22"/>
                <w:szCs w:val="22"/>
                <w:lang w:val="zh-CN"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zh-CN" w:eastAsia="zh-CN"/>
              </w:rPr>
              <w:t>红树林基金会（福田红树林生态公园）</w:t>
            </w:r>
          </w:p>
        </w:tc>
        <w:tc>
          <w:tcPr>
            <w:tcW w:w="1322" w:type="dxa"/>
          </w:tcPr>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p>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科学保育项目主任</w:t>
            </w:r>
          </w:p>
        </w:tc>
        <w:tc>
          <w:tcPr>
            <w:tcW w:w="3073" w:type="dxa"/>
          </w:tcPr>
          <w:p>
            <w:pPr>
              <w:spacing w:after="160" w:line="360" w:lineRule="auto"/>
              <w:jc w:val="both"/>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具有4年鸟类环志经验，参与过全国环志中心鸟类环志培训，</w:t>
            </w:r>
            <w:r>
              <w:rPr>
                <w:rFonts w:hint="eastAsia" w:ascii="仿宋" w:hAnsi="仿宋" w:eastAsia="仿宋" w:cs="仿宋"/>
                <w:kern w:val="0"/>
                <w:sz w:val="22"/>
                <w:szCs w:val="22"/>
                <w:lang w:val="en-US" w:eastAsia="zh-CN"/>
              </w:rPr>
              <w:t>持有全国鸟类环志中心认证资质，</w:t>
            </w:r>
            <w:r>
              <w:rPr>
                <w:rFonts w:hint="eastAsia" w:ascii="仿宋" w:hAnsi="仿宋" w:eastAsia="仿宋" w:cs="仿宋"/>
                <w:kern w:val="0"/>
                <w:sz w:val="22"/>
                <w:szCs w:val="22"/>
                <w:lang w:val="en-GB" w:eastAsia="zh-CN"/>
              </w:rPr>
              <w:t>获得南美鸟类环志网络科学环志员认证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10</w:t>
            </w:r>
          </w:p>
        </w:tc>
        <w:tc>
          <w:tcPr>
            <w:tcW w:w="1295"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尹玉柱</w:t>
            </w:r>
          </w:p>
        </w:tc>
        <w:tc>
          <w:tcPr>
            <w:tcW w:w="2390"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zh-CN" w:eastAsia="zh-CN"/>
              </w:rPr>
              <w:t>红树林基金会（福田红树林生态公园）</w:t>
            </w:r>
          </w:p>
        </w:tc>
        <w:tc>
          <w:tcPr>
            <w:tcW w:w="1322"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项目总监</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参与过全国环志中心鸟类环志培训，</w:t>
            </w:r>
            <w:r>
              <w:rPr>
                <w:rFonts w:hint="eastAsia" w:ascii="仿宋" w:hAnsi="仿宋" w:eastAsia="仿宋" w:cs="仿宋"/>
                <w:kern w:val="0"/>
                <w:sz w:val="22"/>
                <w:szCs w:val="22"/>
                <w:lang w:val="en-US" w:eastAsia="zh-CN"/>
              </w:rPr>
              <w:t>持有全国鸟类环志中心认证资质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spacing w:after="160" w:line="360" w:lineRule="auto"/>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11</w:t>
            </w:r>
          </w:p>
        </w:tc>
        <w:tc>
          <w:tcPr>
            <w:tcW w:w="1295"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谢恺琪</w:t>
            </w:r>
          </w:p>
        </w:tc>
        <w:tc>
          <w:tcPr>
            <w:tcW w:w="2390"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zh-CN" w:eastAsia="zh-CN"/>
              </w:rPr>
              <w:t>红树林基金会（福田红树林生态公园）</w:t>
            </w:r>
          </w:p>
        </w:tc>
        <w:tc>
          <w:tcPr>
            <w:tcW w:w="1322" w:type="dxa"/>
          </w:tcPr>
          <w:p>
            <w:pPr>
              <w:spacing w:after="160" w:line="360" w:lineRule="auto"/>
              <w:jc w:val="center"/>
              <w:rPr>
                <w:rFonts w:hint="eastAsia"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项目总监</w:t>
            </w:r>
          </w:p>
        </w:tc>
        <w:tc>
          <w:tcPr>
            <w:tcW w:w="3073" w:type="dxa"/>
          </w:tcPr>
          <w:p>
            <w:pPr>
              <w:spacing w:after="160" w:line="360" w:lineRule="auto"/>
              <w:jc w:val="center"/>
              <w:rPr>
                <w:rFonts w:hint="eastAsia" w:ascii="仿宋" w:hAnsi="仿宋" w:eastAsia="仿宋" w:cs="仿宋"/>
                <w:kern w:val="0"/>
                <w:sz w:val="22"/>
                <w:szCs w:val="22"/>
                <w:lang w:val="en-GB" w:eastAsia="zh-CN"/>
              </w:rPr>
            </w:pPr>
            <w:r>
              <w:rPr>
                <w:rFonts w:hint="eastAsia" w:ascii="仿宋" w:hAnsi="仿宋" w:eastAsia="仿宋" w:cs="仿宋"/>
                <w:kern w:val="0"/>
                <w:sz w:val="22"/>
                <w:szCs w:val="22"/>
                <w:lang w:val="en-GB" w:eastAsia="zh-CN"/>
              </w:rPr>
              <w:t>参与过全国环志中心鸟类环志培训，</w:t>
            </w:r>
            <w:r>
              <w:rPr>
                <w:rFonts w:hint="eastAsia" w:ascii="仿宋" w:hAnsi="仿宋" w:eastAsia="仿宋" w:cs="仿宋"/>
                <w:kern w:val="0"/>
                <w:sz w:val="22"/>
                <w:szCs w:val="22"/>
                <w:lang w:val="en-US" w:eastAsia="zh-CN"/>
              </w:rPr>
              <w:t>持有全国鸟类环志中心认证资质</w:t>
            </w:r>
          </w:p>
        </w:tc>
      </w:tr>
      <w:bookmarkEnd w:id="0"/>
    </w:tbl>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方案在实施过程中，将接受全国鸟类环志中心、广东省鸟类环志监测总站及深圳市野生动植物保护管理处的业务指导与监督，确保科学、规范、安全、人道地完成既定目标，为东亚-澳大利西亚迁飞通道的保护事业贡献“深圳力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TimesNewRomanPSMT">
    <w:altName w:val="DejaVu Sans"/>
    <w:panose1 w:val="00000000000000000000"/>
    <w:charset w:val="00"/>
    <w:family w:val="roman"/>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MathJax_Vector">
    <w:panose1 w:val="02000603000000000000"/>
    <w:charset w:val="00"/>
    <w:family w:val="auto"/>
    <w:pitch w:val="default"/>
    <w:sig w:usb0="00000001" w:usb1="0000002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34C957"/>
    <w:multiLevelType w:val="singleLevel"/>
    <w:tmpl w:val="F034C957"/>
    <w:lvl w:ilvl="0" w:tentative="0">
      <w:start w:val="1"/>
      <w:numFmt w:val="decimal"/>
      <w:lvlText w:val="%1."/>
      <w:lvlJc w:val="left"/>
      <w:pPr>
        <w:ind w:left="1165" w:hanging="425"/>
      </w:pPr>
      <w:rPr>
        <w:rFonts w:hint="default"/>
      </w:rPr>
    </w:lvl>
  </w:abstractNum>
  <w:abstractNum w:abstractNumId="1">
    <w:nsid w:val="027DFAC8"/>
    <w:multiLevelType w:val="multilevel"/>
    <w:tmpl w:val="027DFAC8"/>
    <w:lvl w:ilvl="0" w:tentative="0">
      <w:start w:val="1"/>
      <w:numFmt w:val="decimal"/>
      <w:lvlText w:val="%1."/>
      <w:lvlJc w:val="left"/>
      <w:pPr>
        <w:tabs>
          <w:tab w:val="left" w:pos="720"/>
        </w:tabs>
        <w:ind w:left="1185"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0A2C56C6"/>
    <w:multiLevelType w:val="singleLevel"/>
    <w:tmpl w:val="0A2C56C6"/>
    <w:lvl w:ilvl="0" w:tentative="0">
      <w:start w:val="1"/>
      <w:numFmt w:val="decimal"/>
      <w:lvlText w:val="%1."/>
      <w:lvlJc w:val="left"/>
      <w:pPr>
        <w:ind w:left="635" w:hanging="425"/>
      </w:pPr>
      <w:rPr>
        <w:rFonts w:hint="default"/>
      </w:rPr>
    </w:lvl>
  </w:abstractNum>
  <w:abstractNum w:abstractNumId="3">
    <w:nsid w:val="29BD9B0B"/>
    <w:multiLevelType w:val="singleLevel"/>
    <w:tmpl w:val="29BD9B0B"/>
    <w:lvl w:ilvl="0" w:tentative="0">
      <w:start w:val="1"/>
      <w:numFmt w:val="decimal"/>
      <w:lvlText w:val="(%1)"/>
      <w:lvlJc w:val="left"/>
      <w:pPr>
        <w:ind w:left="635" w:hanging="425"/>
      </w:pPr>
      <w:rPr>
        <w:rFonts w:hint="default"/>
      </w:rPr>
    </w:lvl>
  </w:abstractNum>
  <w:abstractNum w:abstractNumId="4">
    <w:nsid w:val="52027017"/>
    <w:multiLevelType w:val="multilevel"/>
    <w:tmpl w:val="52027017"/>
    <w:lvl w:ilvl="0" w:tentative="0">
      <w:start w:val="1"/>
      <w:numFmt w:val="decimal"/>
      <w:pStyle w:val="2"/>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1C4070"/>
    <w:rsid w:val="005574FC"/>
    <w:rsid w:val="00D824BD"/>
    <w:rsid w:val="01415CD2"/>
    <w:rsid w:val="01BF37C7"/>
    <w:rsid w:val="01DB1C83"/>
    <w:rsid w:val="0270061D"/>
    <w:rsid w:val="02780E97"/>
    <w:rsid w:val="03655CA8"/>
    <w:rsid w:val="03B60BF9"/>
    <w:rsid w:val="03C84489"/>
    <w:rsid w:val="03D75B73"/>
    <w:rsid w:val="03D8291E"/>
    <w:rsid w:val="04B073F7"/>
    <w:rsid w:val="05110522"/>
    <w:rsid w:val="052878D5"/>
    <w:rsid w:val="05524BE7"/>
    <w:rsid w:val="057D60E8"/>
    <w:rsid w:val="057E5747"/>
    <w:rsid w:val="05F0381A"/>
    <w:rsid w:val="06273827"/>
    <w:rsid w:val="069A65B0"/>
    <w:rsid w:val="06AE7966"/>
    <w:rsid w:val="06DD649D"/>
    <w:rsid w:val="06F07F7E"/>
    <w:rsid w:val="076B3AA9"/>
    <w:rsid w:val="07C35693"/>
    <w:rsid w:val="09EF09C1"/>
    <w:rsid w:val="0A344626"/>
    <w:rsid w:val="0AE47DFA"/>
    <w:rsid w:val="0C6B6317"/>
    <w:rsid w:val="0CD15316"/>
    <w:rsid w:val="0CD8398F"/>
    <w:rsid w:val="0D350DE1"/>
    <w:rsid w:val="0ED168E7"/>
    <w:rsid w:val="108654B0"/>
    <w:rsid w:val="10B169D0"/>
    <w:rsid w:val="115455AE"/>
    <w:rsid w:val="11951E4E"/>
    <w:rsid w:val="140E5EE8"/>
    <w:rsid w:val="14726477"/>
    <w:rsid w:val="158C17BA"/>
    <w:rsid w:val="15E038B4"/>
    <w:rsid w:val="160F7CF5"/>
    <w:rsid w:val="162B2D81"/>
    <w:rsid w:val="16357424"/>
    <w:rsid w:val="16B40FC8"/>
    <w:rsid w:val="178C784F"/>
    <w:rsid w:val="17D326E7"/>
    <w:rsid w:val="187948B6"/>
    <w:rsid w:val="194B7296"/>
    <w:rsid w:val="1A646862"/>
    <w:rsid w:val="1A930EF5"/>
    <w:rsid w:val="1B574618"/>
    <w:rsid w:val="1B854AA1"/>
    <w:rsid w:val="1BBC26CD"/>
    <w:rsid w:val="1C4C1CA3"/>
    <w:rsid w:val="1CB735C0"/>
    <w:rsid w:val="1CF2284B"/>
    <w:rsid w:val="1D036806"/>
    <w:rsid w:val="1D525097"/>
    <w:rsid w:val="1DBE097F"/>
    <w:rsid w:val="1E107A8B"/>
    <w:rsid w:val="1E85324A"/>
    <w:rsid w:val="1F574BE7"/>
    <w:rsid w:val="206F03E9"/>
    <w:rsid w:val="21CB71C6"/>
    <w:rsid w:val="21FE03AF"/>
    <w:rsid w:val="2250365B"/>
    <w:rsid w:val="225278E7"/>
    <w:rsid w:val="231D1CA3"/>
    <w:rsid w:val="239A1546"/>
    <w:rsid w:val="23EB3B50"/>
    <w:rsid w:val="24990502"/>
    <w:rsid w:val="24B46637"/>
    <w:rsid w:val="25622C6E"/>
    <w:rsid w:val="265F25D3"/>
    <w:rsid w:val="268F2143"/>
    <w:rsid w:val="28177609"/>
    <w:rsid w:val="28221B0A"/>
    <w:rsid w:val="28893937"/>
    <w:rsid w:val="2899266F"/>
    <w:rsid w:val="293E4722"/>
    <w:rsid w:val="294855A0"/>
    <w:rsid w:val="298B0594"/>
    <w:rsid w:val="298E38FB"/>
    <w:rsid w:val="29D532D8"/>
    <w:rsid w:val="29E51041"/>
    <w:rsid w:val="2ABA427C"/>
    <w:rsid w:val="2BB533C1"/>
    <w:rsid w:val="2BF10171"/>
    <w:rsid w:val="2C6170A5"/>
    <w:rsid w:val="2C6E3570"/>
    <w:rsid w:val="2CAF6062"/>
    <w:rsid w:val="2CB74F17"/>
    <w:rsid w:val="2E1F2D74"/>
    <w:rsid w:val="2E3031D3"/>
    <w:rsid w:val="2E517857"/>
    <w:rsid w:val="2E690493"/>
    <w:rsid w:val="2ED075DC"/>
    <w:rsid w:val="2EEB86C1"/>
    <w:rsid w:val="2F01691D"/>
    <w:rsid w:val="30850E88"/>
    <w:rsid w:val="30B73737"/>
    <w:rsid w:val="32D93402"/>
    <w:rsid w:val="34727975"/>
    <w:rsid w:val="37421881"/>
    <w:rsid w:val="375F9921"/>
    <w:rsid w:val="383B4C4E"/>
    <w:rsid w:val="38A30A45"/>
    <w:rsid w:val="38A60A39"/>
    <w:rsid w:val="38E928FC"/>
    <w:rsid w:val="391D25A6"/>
    <w:rsid w:val="39904B26"/>
    <w:rsid w:val="3AA82343"/>
    <w:rsid w:val="3B334302"/>
    <w:rsid w:val="3B6F4C0F"/>
    <w:rsid w:val="3C1C6B44"/>
    <w:rsid w:val="3C460564"/>
    <w:rsid w:val="3C642299"/>
    <w:rsid w:val="3CED1F0B"/>
    <w:rsid w:val="3DF633C5"/>
    <w:rsid w:val="3E3839DE"/>
    <w:rsid w:val="411665DB"/>
    <w:rsid w:val="418A4550"/>
    <w:rsid w:val="41B11ADD"/>
    <w:rsid w:val="434B7D0F"/>
    <w:rsid w:val="43B6162D"/>
    <w:rsid w:val="43BB6C43"/>
    <w:rsid w:val="44CD1324"/>
    <w:rsid w:val="44D5127D"/>
    <w:rsid w:val="44FA379B"/>
    <w:rsid w:val="45525B1F"/>
    <w:rsid w:val="46165AA8"/>
    <w:rsid w:val="46623CEE"/>
    <w:rsid w:val="47FB61A8"/>
    <w:rsid w:val="481608EC"/>
    <w:rsid w:val="48D03190"/>
    <w:rsid w:val="48DD6139"/>
    <w:rsid w:val="49E6289A"/>
    <w:rsid w:val="49FD6207"/>
    <w:rsid w:val="4A630034"/>
    <w:rsid w:val="4BE86A43"/>
    <w:rsid w:val="4C2D08FA"/>
    <w:rsid w:val="4CE75B92"/>
    <w:rsid w:val="4E606D65"/>
    <w:rsid w:val="4E915170"/>
    <w:rsid w:val="521C7A65"/>
    <w:rsid w:val="523429E2"/>
    <w:rsid w:val="52FE08FA"/>
    <w:rsid w:val="53566988"/>
    <w:rsid w:val="53642E53"/>
    <w:rsid w:val="54120B01"/>
    <w:rsid w:val="543E18F6"/>
    <w:rsid w:val="54433B35"/>
    <w:rsid w:val="552C5BF2"/>
    <w:rsid w:val="555962BC"/>
    <w:rsid w:val="559F4616"/>
    <w:rsid w:val="55BD4A9D"/>
    <w:rsid w:val="55D63DB0"/>
    <w:rsid w:val="574014E1"/>
    <w:rsid w:val="57460AC2"/>
    <w:rsid w:val="57676721"/>
    <w:rsid w:val="578C0DF0"/>
    <w:rsid w:val="581C4070"/>
    <w:rsid w:val="5A8B06D5"/>
    <w:rsid w:val="5AC661A1"/>
    <w:rsid w:val="5B184523"/>
    <w:rsid w:val="5B3752F1"/>
    <w:rsid w:val="5BE56AFB"/>
    <w:rsid w:val="5DC0337C"/>
    <w:rsid w:val="5E9B7945"/>
    <w:rsid w:val="5EA7453C"/>
    <w:rsid w:val="5ED52E57"/>
    <w:rsid w:val="5EE3728C"/>
    <w:rsid w:val="5F8A277E"/>
    <w:rsid w:val="601259E5"/>
    <w:rsid w:val="60DF1D6B"/>
    <w:rsid w:val="614222FA"/>
    <w:rsid w:val="616A6FEE"/>
    <w:rsid w:val="61BA4586"/>
    <w:rsid w:val="61F5736C"/>
    <w:rsid w:val="62377985"/>
    <w:rsid w:val="64970BAF"/>
    <w:rsid w:val="66EFB751"/>
    <w:rsid w:val="68534DEC"/>
    <w:rsid w:val="68E32614"/>
    <w:rsid w:val="69FB573C"/>
    <w:rsid w:val="6B293346"/>
    <w:rsid w:val="6B2F1B41"/>
    <w:rsid w:val="6C1C0317"/>
    <w:rsid w:val="6C20148A"/>
    <w:rsid w:val="6C427652"/>
    <w:rsid w:val="6C496C32"/>
    <w:rsid w:val="6D7777CF"/>
    <w:rsid w:val="6D793547"/>
    <w:rsid w:val="6D88378A"/>
    <w:rsid w:val="6D8A5754"/>
    <w:rsid w:val="6F7F8D81"/>
    <w:rsid w:val="70A24B63"/>
    <w:rsid w:val="70B84386"/>
    <w:rsid w:val="70C76378"/>
    <w:rsid w:val="71A53FE8"/>
    <w:rsid w:val="72FF629D"/>
    <w:rsid w:val="730B7015"/>
    <w:rsid w:val="731C29AB"/>
    <w:rsid w:val="73BE1CB4"/>
    <w:rsid w:val="74185868"/>
    <w:rsid w:val="7443665D"/>
    <w:rsid w:val="74D86DA5"/>
    <w:rsid w:val="74E05C5A"/>
    <w:rsid w:val="75792336"/>
    <w:rsid w:val="771C566F"/>
    <w:rsid w:val="780103C1"/>
    <w:rsid w:val="783C3AEF"/>
    <w:rsid w:val="78C733B9"/>
    <w:rsid w:val="79F7E824"/>
    <w:rsid w:val="79F99125"/>
    <w:rsid w:val="7A2605B3"/>
    <w:rsid w:val="7A861051"/>
    <w:rsid w:val="7AEF6BF7"/>
    <w:rsid w:val="7AF75AAB"/>
    <w:rsid w:val="7BDD2EF3"/>
    <w:rsid w:val="7BDD8EEF"/>
    <w:rsid w:val="7C6F7FEF"/>
    <w:rsid w:val="7CD2057E"/>
    <w:rsid w:val="7D1EC4F5"/>
    <w:rsid w:val="7D692C90"/>
    <w:rsid w:val="7DA43CC8"/>
    <w:rsid w:val="7DC8349B"/>
    <w:rsid w:val="7E94F41A"/>
    <w:rsid w:val="7ED30F7A"/>
    <w:rsid w:val="7F3E1268"/>
    <w:rsid w:val="7FFC787B"/>
    <w:rsid w:val="9F7B7E4A"/>
    <w:rsid w:val="AEAF4A1F"/>
    <w:rsid w:val="AFE5853F"/>
    <w:rsid w:val="BF9FD430"/>
    <w:rsid w:val="CE520B8B"/>
    <w:rsid w:val="DDD366DA"/>
    <w:rsid w:val="DF6375AB"/>
    <w:rsid w:val="E6DA655C"/>
    <w:rsid w:val="FB566866"/>
    <w:rsid w:val="FBFE7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napToGrid w:val="0"/>
      <w:spacing w:line="360" w:lineRule="auto"/>
      <w:jc w:val="left"/>
      <w:outlineLvl w:val="0"/>
    </w:pPr>
    <w:rPr>
      <w:b/>
      <w:bCs/>
      <w:color w:val="1A1A1A"/>
      <w:sz w:val="32"/>
      <w:szCs w:val="36"/>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59"/>
    <w:pPr>
      <w:spacing w:after="160" w:line="259" w:lineRule="auto"/>
    </w:pPr>
    <w:rPr>
      <w:kern w:val="0"/>
      <w:sz w:val="20"/>
      <w:szCs w:val="20"/>
      <w:lang w:val="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Emphasis"/>
    <w:basedOn w:val="8"/>
    <w:qFormat/>
    <w:uiPriority w:val="0"/>
    <w:rPr>
      <w:i/>
    </w:rPr>
  </w:style>
  <w:style w:type="character" w:customStyle="1" w:styleId="11">
    <w:name w:val="fontstyle21"/>
    <w:basedOn w:val="8"/>
    <w:qFormat/>
    <w:uiPriority w:val="0"/>
    <w:rPr>
      <w:rFonts w:hint="default" w:ascii="TimesNewRomanPSMT" w:hAnsi="TimesNewRomanPSMT"/>
      <w:color w:val="000000"/>
      <w:sz w:val="32"/>
      <w:szCs w:val="32"/>
    </w:rPr>
  </w:style>
  <w:style w:type="character" w:customStyle="1" w:styleId="12">
    <w:name w:val="fontstyle11"/>
    <w:basedOn w:val="8"/>
    <w:qFormat/>
    <w:uiPriority w:val="0"/>
    <w:rPr>
      <w:rFonts w:hint="default" w:ascii="仿宋_GB2312" w:hAnsi="仿宋_GB2312"/>
      <w:color w:val="000000"/>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1687</Words>
  <Characters>1873</Characters>
  <Lines>0</Lines>
  <Paragraphs>0</Paragraphs>
  <TotalTime>2</TotalTime>
  <ScaleCrop>false</ScaleCrop>
  <LinksUpToDate>false</LinksUpToDate>
  <CharactersWithSpaces>1884</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2025-12-28T01:56:00Z</dcterms:created>
  <dc:creator>王凯(๑•ั็ω•็ั๑)</dc:creator>
  <cp:lastModifiedBy>wu</cp:lastModifiedBy>
  <dcterms:modified xsi:type="dcterms:W3CDTF">2026-04-09T14:58:08Z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96C4C5AF6B2A43D5830617E8135EEEA1_11</vt:lpwstr>
  </property>
  <property fmtid="{D5CDD505-2E9C-101B-9397-08002B2CF9AE}" pid="4" name="KSOTemplateDocerSaveRecord">
    <vt:lpwstr>eyJoZGlkIjoiM2E3NWEwZWM0MGJkYWQ1N2RhZDIzMTQ2ZTdhZWEzMjgiLCJ1c2VySWQiOiIzNDk5NzQ2NTcifQ==</vt:lpwstr>
  </property>
</Properties>
</file>