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依照《深圳经济特区政府采购条例》第二十、二十一条规定，深圳市规划和自然资源局</w:t>
            </w:r>
            <w:r>
              <w:rPr>
                <w:rFonts w:hint="eastAsia" w:ascii="宋体" w:hAnsi="宋体" w:eastAsia="宋体" w:cs="宋体"/>
                <w:color w:val="000000" w:themeColor="text1"/>
                <w:sz w:val="20"/>
                <w:szCs w:val="20"/>
                <w:highlight w:val="none"/>
                <w:lang w:val="en-US" w:eastAsia="zh-CN"/>
                <w14:textFill>
                  <w14:solidFill>
                    <w14:schemeClr w14:val="tx1"/>
                  </w14:solidFill>
                </w14:textFill>
              </w:rPr>
              <w:t>龙岗管理局</w:t>
            </w:r>
            <w:r>
              <w:rPr>
                <w:rFonts w:hint="eastAsia" w:ascii="宋体" w:hAnsi="宋体" w:eastAsia="宋体" w:cs="宋体"/>
                <w:color w:val="000000" w:themeColor="text1"/>
                <w:sz w:val="20"/>
                <w:szCs w:val="20"/>
                <w:highlight w:val="none"/>
                <w14:textFill>
                  <w14:solidFill>
                    <w14:schemeClr w14:val="tx1"/>
                  </w14:solidFill>
                </w14:textFill>
              </w:rPr>
              <w:t>就《</w:t>
            </w:r>
            <w:r>
              <w:rPr>
                <w:rFonts w:hint="eastAsia" w:ascii="宋体" w:hAnsi="宋体" w:eastAsia="宋体" w:cs="宋体"/>
                <w:color w:val="000000" w:themeColor="text1"/>
                <w:sz w:val="20"/>
                <w:szCs w:val="20"/>
                <w:highlight w:val="none"/>
                <w:lang w:eastAsia="zh-CN"/>
                <w14:textFill>
                  <w14:solidFill>
                    <w14:schemeClr w14:val="tx1"/>
                  </w14:solidFill>
                </w14:textFill>
              </w:rPr>
              <w:t>2026年龙岗区耕地占补平衡实施计划技术服务</w:t>
            </w:r>
            <w:r>
              <w:rPr>
                <w:rFonts w:hint="eastAsia" w:ascii="宋体" w:hAnsi="宋体" w:eastAsia="宋体" w:cs="宋体"/>
                <w:color w:val="000000" w:themeColor="text1"/>
                <w:sz w:val="20"/>
                <w:szCs w:val="20"/>
                <w:highlight w:val="none"/>
                <w14:textFill>
                  <w14:solidFill>
                    <w14:schemeClr w14:val="tx1"/>
                  </w14:solidFill>
                </w14:textFill>
              </w:rPr>
              <w:t>》项目采用</w:t>
            </w:r>
            <w:r>
              <w:rPr>
                <w:rFonts w:hint="eastAsia" w:ascii="宋体" w:hAnsi="宋体" w:eastAsia="宋体" w:cs="宋体"/>
                <w:color w:val="000000" w:themeColor="text1"/>
                <w:sz w:val="20"/>
                <w:szCs w:val="20"/>
                <w:highlight w:val="none"/>
                <w:lang w:val="en-US" w:eastAsia="zh-CN"/>
                <w14:textFill>
                  <w14:solidFill>
                    <w14:schemeClr w14:val="tx1"/>
                  </w14:solidFill>
                </w14:textFill>
              </w:rPr>
              <w:t>询价</w:t>
            </w:r>
            <w:r>
              <w:rPr>
                <w:rFonts w:hint="eastAsia" w:ascii="宋体" w:hAnsi="宋体" w:eastAsia="宋体" w:cs="宋体"/>
                <w:color w:val="000000" w:themeColor="text1"/>
                <w:sz w:val="20"/>
                <w:szCs w:val="20"/>
                <w:highlight w:val="none"/>
                <w14:textFill>
                  <w14:solidFill>
                    <w14:schemeClr w14:val="tx1"/>
                  </w14:solidFill>
                </w14:textFill>
              </w:rPr>
              <w:t>方式采购，现将有关情况向潜在政府采购供应商征求意见</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采购项目名称 ：</w:t>
            </w:r>
            <w:r>
              <w:rPr>
                <w:rFonts w:hint="eastAsia" w:ascii="宋体" w:hAnsi="宋体" w:eastAsia="宋体" w:cs="宋体"/>
                <w:color w:val="000000" w:themeColor="text1"/>
                <w:sz w:val="20"/>
                <w:szCs w:val="20"/>
                <w:highlight w:val="none"/>
                <w:lang w:eastAsia="zh-CN"/>
                <w14:textFill>
                  <w14:solidFill>
                    <w14:schemeClr w14:val="tx1"/>
                  </w14:solidFill>
                </w14:textFill>
              </w:rPr>
              <w:t>2026年龙岗区耕地占补平衡实施计划技术服务</w:t>
            </w:r>
          </w:p>
          <w:p>
            <w:pPr>
              <w:keepNext w:val="0"/>
              <w:keepLines w:val="0"/>
              <w:pageBreakBefore w:val="0"/>
              <w:widowControl w:val="0"/>
              <w:kinsoku/>
              <w:overflowPunct/>
              <w:topLinePunct w:val="0"/>
              <w:autoSpaceDE/>
              <w:autoSpaceDN/>
              <w:bidi w:val="0"/>
              <w:spacing w:line="440" w:lineRule="exact"/>
              <w:rPr>
                <w:rFonts w:hint="default" w:ascii="宋体" w:hAnsi="宋体" w:eastAsia="宋体" w:cs="宋体"/>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项目预算金额：</w:t>
            </w:r>
            <w:r>
              <w:rPr>
                <w:rFonts w:hint="eastAsia" w:ascii="宋体" w:hAnsi="宋体" w:eastAsia="宋体" w:cs="宋体"/>
                <w:bCs/>
                <w:color w:val="000000" w:themeColor="text1"/>
                <w:sz w:val="20"/>
                <w:szCs w:val="20"/>
                <w:highlight w:val="none"/>
                <w:lang w:val="en-US" w:eastAsia="zh-CN"/>
                <w14:textFill>
                  <w14:solidFill>
                    <w14:schemeClr w14:val="tx1"/>
                  </w14:solidFill>
                </w14:textFill>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采购项目描述：</w:t>
            </w:r>
            <w:r>
              <w:rPr>
                <w:rFonts w:hint="eastAsia" w:ascii="宋体" w:hAnsi="宋体" w:eastAsia="宋体" w:cs="宋体"/>
                <w:bCs/>
                <w:color w:val="000000" w:themeColor="text1"/>
                <w:sz w:val="20"/>
                <w:szCs w:val="20"/>
                <w:highlight w:val="none"/>
                <w:lang w:eastAsia="zh-CN"/>
                <w14:textFill>
                  <w14:solidFill>
                    <w14:schemeClr w14:val="tx1"/>
                  </w14:solidFill>
                </w14:textFill>
              </w:rPr>
              <w:t>（</w:t>
            </w:r>
            <w:r>
              <w:rPr>
                <w:rFonts w:hint="eastAsia" w:ascii="宋体" w:hAnsi="宋体" w:eastAsia="宋体" w:cs="宋体"/>
                <w:bCs/>
                <w:color w:val="000000" w:themeColor="text1"/>
                <w:sz w:val="20"/>
                <w:szCs w:val="20"/>
                <w:highlight w:val="none"/>
                <w14:textFill>
                  <w14:solidFill>
                    <w14:schemeClr w14:val="tx1"/>
                  </w14:solidFill>
                </w14:textFill>
              </w:rPr>
              <w:t>内容、用途、数量、简要技术需求等</w:t>
            </w:r>
            <w:r>
              <w:rPr>
                <w:rFonts w:hint="eastAsia" w:ascii="宋体" w:hAnsi="宋体" w:eastAsia="宋体" w:cs="宋体"/>
                <w:bCs/>
                <w:color w:val="000000" w:themeColor="text1"/>
                <w:sz w:val="20"/>
                <w:szCs w:val="20"/>
                <w:highlight w:val="none"/>
                <w:lang w:eastAsia="zh-CN"/>
                <w14:textFill>
                  <w14:solidFill>
                    <w14:schemeClr w14:val="tx1"/>
                  </w14:solidFill>
                </w14:textFill>
              </w:rPr>
              <w:t>）</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eastAsia="zh-CN"/>
                <w14:textFill>
                  <w14:solidFill>
                    <w14:schemeClr w14:val="tx1"/>
                  </w14:solidFill>
                </w14:textFill>
              </w:rPr>
              <w:t>一、</w:t>
            </w:r>
            <w:r>
              <w:rPr>
                <w:rFonts w:hint="eastAsia" w:ascii="宋体" w:hAnsi="宋体" w:eastAsia="宋体" w:cs="宋体"/>
                <w:color w:val="000000" w:themeColor="text1"/>
                <w:sz w:val="20"/>
                <w:szCs w:val="20"/>
                <w:highlight w:val="none"/>
                <w:lang w:val="en"/>
                <w14:textFill>
                  <w14:solidFill>
                    <w14:schemeClr w14:val="tx1"/>
                  </w14:solidFill>
                </w14:textFill>
              </w:rPr>
              <w:t>项目概况</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为落实国家耕地占补平衡改革要求，应对龙岗区耕地保护面临的三大挑战——空间冲突显著（约17%现状耕地位于规划建设区）、布局“小散弱”（小于3亩图斑占27%）、部门协同机制不健全，特设立本项目。旨在建立全区耕地占补平衡储备库年度台账，制定补充耕地选址及实施路径，确保政策精准落地。</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 w:eastAsia="zh-CN"/>
                <w14:textFill>
                  <w14:solidFill>
                    <w14:schemeClr w14:val="tx1"/>
                  </w14:solidFill>
                </w14:textFill>
              </w:rPr>
              <w:t>二、</w:t>
            </w:r>
            <w:r>
              <w:rPr>
                <w:rFonts w:hint="eastAsia" w:ascii="宋体" w:hAnsi="宋体" w:eastAsia="宋体" w:cs="宋体"/>
                <w:color w:val="000000" w:themeColor="text1"/>
                <w:sz w:val="20"/>
                <w:szCs w:val="20"/>
                <w:highlight w:val="none"/>
                <w:lang w:val="en"/>
                <w14:textFill>
                  <w14:solidFill>
                    <w14:schemeClr w14:val="tx1"/>
                  </w14:solidFill>
                </w14:textFill>
              </w:rPr>
              <w:t>工作内容</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工作内容包含落实龙岗区年度耕地占补平衡，建立区级耕地占补平衡储备库台账管理和动态监测机制建设。工作内容分为：年度建设项目占耕情况核查分析技术服务、年度补充耕地选址技术服务、年度占补平衡报告编制三个部分</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一是</w:t>
            </w:r>
            <w:r>
              <w:rPr>
                <w:rFonts w:hint="eastAsia" w:ascii="宋体" w:hAnsi="宋体" w:eastAsia="宋体" w:cs="宋体"/>
                <w:color w:val="000000" w:themeColor="text1"/>
                <w:sz w:val="20"/>
                <w:szCs w:val="20"/>
                <w:highlight w:val="none"/>
                <w:lang w:val="en"/>
                <w14:textFill>
                  <w14:solidFill>
                    <w14:schemeClr w14:val="tx1"/>
                  </w14:solidFill>
                </w14:textFill>
              </w:rPr>
              <w:t>年度建设项目占耕情况核查分析技术服务</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
                <w14:textFill>
                  <w14:solidFill>
                    <w14:schemeClr w14:val="tx1"/>
                  </w14:solidFill>
                </w14:textFill>
              </w:rPr>
              <w:t>本次工作内容主要包括持续更新2026年龙岗区拟建设项目占耕情况，逐一项目提供校核拟占耕用地情况分析，包括分析与现状耕地冲突情况，统筹把握全区建设发展诉求，结合耕地保护计划，提供项目占耕可行性结论，最终形成可视化的占耕需求分析台账，并提供矢量空间数据分析、耕地外业调查、现场数据信息服务（含照片和卫星影像等）等技术支持。该项工作需持续提供年度服务工作，以保证实时信息反馈服务。</w:t>
            </w:r>
            <w:r>
              <w:rPr>
                <w:rFonts w:hint="eastAsia" w:ascii="宋体" w:hAnsi="宋体" w:eastAsia="宋体" w:cs="宋体"/>
                <w:color w:val="000000" w:themeColor="text1"/>
                <w:sz w:val="20"/>
                <w:szCs w:val="20"/>
                <w:highlight w:val="none"/>
                <w:lang w:val="en-US" w:eastAsia="zh-CN"/>
                <w14:textFill>
                  <w14:solidFill>
                    <w14:schemeClr w14:val="tx1"/>
                  </w14:solidFill>
                </w14:textFill>
              </w:rPr>
              <w:t>二是</w:t>
            </w:r>
            <w:r>
              <w:rPr>
                <w:rFonts w:hint="eastAsia" w:ascii="宋体" w:hAnsi="宋体" w:eastAsia="宋体" w:cs="宋体"/>
                <w:color w:val="000000" w:themeColor="text1"/>
                <w:sz w:val="20"/>
                <w:szCs w:val="20"/>
                <w:highlight w:val="none"/>
                <w:lang w:val="en"/>
                <w14:textFill>
                  <w14:solidFill>
                    <w14:schemeClr w14:val="tx1"/>
                  </w14:solidFill>
                </w14:textFill>
              </w:rPr>
              <w:t>年度补充耕地选址技术服务</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
                <w14:textFill>
                  <w14:solidFill>
                    <w14:schemeClr w14:val="tx1"/>
                  </w14:solidFill>
                </w14:textFill>
              </w:rPr>
              <w:t>根据年度占耕情况，开展补充耕地选址，基于龙岗区耕地潜力资源分析，选取具备新增开垦实施可行性用地，制定实施计划。</w:t>
            </w:r>
            <w:r>
              <w:rPr>
                <w:rFonts w:hint="eastAsia" w:ascii="宋体" w:hAnsi="宋体" w:eastAsia="宋体" w:cs="宋体"/>
                <w:color w:val="000000" w:themeColor="text1"/>
                <w:sz w:val="20"/>
                <w:szCs w:val="20"/>
                <w:highlight w:val="none"/>
                <w:lang w:val="en-US" w:eastAsia="zh-CN"/>
                <w14:textFill>
                  <w14:solidFill>
                    <w14:schemeClr w14:val="tx1"/>
                  </w14:solidFill>
                </w14:textFill>
              </w:rPr>
              <w:t>三是</w:t>
            </w:r>
            <w:r>
              <w:rPr>
                <w:rFonts w:hint="eastAsia" w:ascii="宋体" w:hAnsi="宋体" w:eastAsia="宋体" w:cs="宋体"/>
                <w:color w:val="000000" w:themeColor="text1"/>
                <w:sz w:val="20"/>
                <w:szCs w:val="20"/>
                <w:highlight w:val="none"/>
                <w:lang w:val="en"/>
                <w14:textFill>
                  <w14:solidFill>
                    <w14:schemeClr w14:val="tx1"/>
                  </w14:solidFill>
                </w14:textFill>
              </w:rPr>
              <w:t>年度占补平衡报告编制</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
                <w14:textFill>
                  <w14:solidFill>
                    <w14:schemeClr w14:val="tx1"/>
                  </w14:solidFill>
                </w14:textFill>
              </w:rPr>
              <w:t>根据年度建设占耕情况，编制年度占补平衡工作报告，建立建设项目占耕和补充耕地情况数据库，同时结合年度违法占耕、耕地和永久基本农田管护等情况，综合分析龙岗区年度耕地保护和永久基本农田完成情况，总结成效和存在问题，确保年度耕地保护和永久基本农田保护任务圆满完成，为政府相关工作决策提供支撑。</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eastAsia="zh-CN"/>
                <w14:textFill>
                  <w14:solidFill>
                    <w14:schemeClr w14:val="tx1"/>
                  </w14:solidFill>
                </w14:textFill>
              </w:rPr>
              <w:t>三、</w:t>
            </w:r>
            <w:r>
              <w:rPr>
                <w:rFonts w:hint="eastAsia" w:ascii="宋体" w:hAnsi="宋体" w:eastAsia="宋体" w:cs="宋体"/>
                <w:color w:val="000000" w:themeColor="text1"/>
                <w:sz w:val="20"/>
                <w:szCs w:val="20"/>
                <w:highlight w:val="none"/>
                <w:lang w:val="en"/>
                <w14:textFill>
                  <w14:solidFill>
                    <w14:schemeClr w14:val="tx1"/>
                  </w14:solidFill>
                </w14:textFill>
              </w:rPr>
              <w:t>成果构成</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eastAsia="zh-CN"/>
                <w14:textFill>
                  <w14:solidFill>
                    <w14:schemeClr w14:val="tx1"/>
                  </w14:solidFill>
                </w14:textFill>
              </w:rPr>
              <w:t>（一）</w:t>
            </w:r>
            <w:r>
              <w:rPr>
                <w:rFonts w:hint="eastAsia" w:ascii="宋体" w:hAnsi="宋体" w:eastAsia="宋体" w:cs="宋体"/>
                <w:color w:val="000000" w:themeColor="text1"/>
                <w:sz w:val="20"/>
                <w:szCs w:val="20"/>
                <w:highlight w:val="none"/>
                <w:lang w:val="en"/>
                <w14:textFill>
                  <w14:solidFill>
                    <w14:schemeClr w14:val="tx1"/>
                  </w14:solidFill>
                </w14:textFill>
              </w:rPr>
              <w:t>《2026年耕地进出平衡分析报告》（PDF格式）</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 w:eastAsia="zh-CN"/>
                <w14:textFill>
                  <w14:solidFill>
                    <w14:schemeClr w14:val="tx1"/>
                  </w14:solidFill>
                </w14:textFill>
              </w:rPr>
              <w:t>（二）</w:t>
            </w:r>
            <w:r>
              <w:rPr>
                <w:rFonts w:hint="eastAsia" w:ascii="宋体" w:hAnsi="宋体" w:eastAsia="宋体" w:cs="宋体"/>
                <w:color w:val="000000" w:themeColor="text1"/>
                <w:sz w:val="20"/>
                <w:szCs w:val="20"/>
                <w:highlight w:val="none"/>
                <w:lang w:val="en"/>
                <w14:textFill>
                  <w14:solidFill>
                    <w14:schemeClr w14:val="tx1"/>
                  </w14:solidFill>
                </w14:textFill>
              </w:rPr>
              <w:t>《2026耕地进出平衡分析及相关数据库》（GIS格式）</w:t>
            </w:r>
          </w:p>
          <w:p>
            <w:pPr>
              <w:keepNext w:val="0"/>
              <w:keepLines w:val="0"/>
              <w:pageBreakBefore w:val="0"/>
              <w:widowControl w:val="0"/>
              <w:numPr>
                <w:ilvl w:val="0"/>
                <w:numId w:val="0"/>
              </w:numPr>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纸质材料并附电子数据的形式向甲方提供最终成果，纸质2份，电子文件1套。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拟定供应商名单：</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深圳市龙岗区规划国土发展研究中心、</w:t>
            </w:r>
            <w:r>
              <w:rPr>
                <w:rFonts w:hint="eastAsia" w:ascii="宋体" w:hAnsi="宋体" w:eastAsia="宋体" w:cs="宋体"/>
                <w:color w:val="000000" w:themeColor="text1"/>
                <w:sz w:val="20"/>
                <w:szCs w:val="20"/>
                <w:highlight w:val="none"/>
                <w:lang w:val="en"/>
                <w14:textFill>
                  <w14:solidFill>
                    <w14:schemeClr w14:val="tx1"/>
                  </w14:solidFill>
                </w14:textFill>
              </w:rPr>
              <w:t>深圳市龙房地土地信息咨询有限公司</w:t>
            </w:r>
            <w:r>
              <w:rPr>
                <w:rFonts w:hint="eastAsia" w:ascii="宋体" w:hAnsi="宋体" w:eastAsia="宋体" w:cs="宋体"/>
                <w:color w:val="000000" w:themeColor="text1"/>
                <w:sz w:val="20"/>
                <w:szCs w:val="20"/>
                <w:highlight w:val="none"/>
                <w14:textFill>
                  <w14:solidFill>
                    <w14:schemeClr w14:val="tx1"/>
                  </w14:solidFill>
                </w14:textFill>
              </w:rPr>
              <w:t>、上海城建（广东）科技创新与产业研究有限公司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申请理由及相关说明：</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lang w:val="en"/>
                <w14:textFill>
                  <w14:solidFill>
                    <w14:schemeClr w14:val="tx1"/>
                  </w14:solidFill>
                </w14:textFill>
              </w:rPr>
              <w:t>本项目工作内容属于</w:t>
            </w:r>
            <w:r>
              <w:rPr>
                <w:rFonts w:hint="eastAsia" w:ascii="宋体" w:hAnsi="宋体" w:eastAsia="宋体" w:cs="宋体"/>
                <w:color w:val="000000" w:themeColor="text1"/>
                <w:sz w:val="20"/>
                <w:szCs w:val="20"/>
                <w:highlight w:val="none"/>
                <w:lang w:val="en-US" w:eastAsia="zh-CN"/>
                <w14:textFill>
                  <w14:solidFill>
                    <w14:schemeClr w14:val="tx1"/>
                  </w14:solidFill>
                </w14:textFill>
              </w:rPr>
              <w:t>年度耕地占补平衡</w:t>
            </w:r>
            <w:r>
              <w:rPr>
                <w:rFonts w:hint="eastAsia" w:ascii="宋体" w:hAnsi="宋体" w:eastAsia="宋体" w:cs="宋体"/>
                <w:color w:val="000000" w:themeColor="text1"/>
                <w:sz w:val="20"/>
                <w:szCs w:val="20"/>
                <w:highlight w:val="none"/>
                <w:lang w:val="en"/>
                <w14:textFill>
                  <w14:solidFill>
                    <w14:schemeClr w14:val="tx1"/>
                  </w14:solidFill>
                </w14:textFill>
              </w:rPr>
              <w:t>研究类服务</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国家对耕地的优化调出和补充耕地的要求</w:t>
            </w:r>
            <w:r>
              <w:rPr>
                <w:rFonts w:hint="eastAsia" w:ascii="宋体" w:hAnsi="宋体" w:eastAsia="宋体" w:cs="宋体"/>
                <w:color w:val="000000" w:themeColor="text1"/>
                <w:sz w:val="20"/>
                <w:szCs w:val="20"/>
                <w:highlight w:val="none"/>
                <w:lang w:val="en"/>
                <w14:textFill>
                  <w14:solidFill>
                    <w14:schemeClr w14:val="tx1"/>
                  </w14:solidFill>
                </w14:textFill>
              </w:rPr>
              <w:t>，具有明确的</w:t>
            </w:r>
            <w:r>
              <w:rPr>
                <w:rFonts w:hint="eastAsia" w:ascii="宋体" w:hAnsi="宋体" w:eastAsia="宋体" w:cs="宋体"/>
                <w:color w:val="000000" w:themeColor="text1"/>
                <w:sz w:val="20"/>
                <w:szCs w:val="20"/>
                <w:highlight w:val="none"/>
                <w:lang w:val="en-US" w:eastAsia="zh-CN"/>
                <w14:textFill>
                  <w14:solidFill>
                    <w14:schemeClr w14:val="tx1"/>
                  </w14:solidFill>
                </w14:textFill>
              </w:rPr>
              <w:t>政策指引要求，</w:t>
            </w:r>
            <w:r>
              <w:rPr>
                <w:rFonts w:hint="eastAsia" w:ascii="宋体" w:hAnsi="宋体" w:eastAsia="宋体" w:cs="宋体"/>
                <w:color w:val="000000" w:themeColor="text1"/>
                <w:sz w:val="20"/>
                <w:szCs w:val="20"/>
                <w:highlight w:val="none"/>
                <w:lang w:val="en"/>
                <w14:textFill>
                  <w14:solidFill>
                    <w14:schemeClr w14:val="tx1"/>
                  </w14:solidFill>
                </w14:textFill>
              </w:rPr>
              <w:t>市场上多家咨询或研究机构均可提供类似服务，供应商资源充足且服务方案可比性强，符合“标准统一、现货货源充足”的标准。</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lang w:val="en"/>
                <w14:textFill>
                  <w14:solidFill>
                    <w14:schemeClr w14:val="tx1"/>
                  </w14:solidFill>
                </w14:textFill>
              </w:rPr>
              <w:t>此类专业服务的市场价格透明度高，成本主要由人工调研与报告编制构成，价格波动小，便于通过多家报价进行比价，有利于在预算内选择性价比较高的供应商，满足“价格变化幅度小”的条件。</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lang w:val="en"/>
                <w14:textFill>
                  <w14:solidFill>
                    <w14:schemeClr w14:val="tx1"/>
                  </w14:solidFill>
                </w14:textFill>
              </w:rPr>
              <w:t>项目为非紧急、非垄断的常规研究任务，采购流程适合采用三方询价，既能通过竞争保障质量与成本效益，又能简化程序、快速启动，与三方询价的适用范围和效率优势高度匹配。</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本次询价对象的选择</w:t>
            </w:r>
            <w:r>
              <w:rPr>
                <w:rFonts w:hint="eastAsia" w:ascii="宋体" w:hAnsi="宋体" w:eastAsia="宋体" w:cs="宋体"/>
                <w:color w:val="000000" w:themeColor="text1"/>
                <w:sz w:val="20"/>
                <w:szCs w:val="20"/>
                <w:highlight w:val="none"/>
                <w:lang w:val="en" w:eastAsia="zh-CN"/>
                <w14:textFill>
                  <w14:solidFill>
                    <w14:schemeClr w14:val="tx1"/>
                  </w14:solidFill>
                </w14:textFill>
              </w:rPr>
              <w:t>主要</w:t>
            </w:r>
            <w:r>
              <w:rPr>
                <w:rFonts w:hint="eastAsia" w:ascii="宋体" w:hAnsi="宋体" w:eastAsia="宋体" w:cs="宋体"/>
                <w:color w:val="000000" w:themeColor="text1"/>
                <w:sz w:val="20"/>
                <w:szCs w:val="20"/>
                <w:highlight w:val="none"/>
                <w:lang w:val="en"/>
                <w14:textFill>
                  <w14:solidFill>
                    <w14:schemeClr w14:val="tx1"/>
                  </w14:solidFill>
                </w14:textFill>
              </w:rPr>
              <w:t>考虑技术单位的业务经营范围、其对龙岗区规划国土情况的熟悉程度、过往业务经验等多方面因素确定。其中，深圳市龙岗区规划国土发展研究中心是龙岗区政府公益性二类事业单位，深耕龙岗区土地资源管理业务多年，且过往对类似项目已有丰富的工作基础；深圳市龙房地土地信息咨询有限公司土地管理相关业务经验丰富且熟悉龙岗区用地情况；上海城建（广东）科技创新与产业研究有限公司主要从事咨询策划</w:t>
            </w:r>
            <w:r>
              <w:rPr>
                <w:rFonts w:hint="eastAsia" w:ascii="宋体" w:hAnsi="宋体" w:eastAsia="宋体" w:cs="宋体"/>
                <w:color w:val="000000" w:themeColor="text1"/>
                <w:sz w:val="20"/>
                <w:szCs w:val="20"/>
                <w:highlight w:val="none"/>
                <w:lang w:val="en"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土地管理相关</w:t>
            </w:r>
            <w:r>
              <w:rPr>
                <w:rFonts w:hint="eastAsia" w:ascii="宋体" w:hAnsi="宋体" w:eastAsia="宋体" w:cs="宋体"/>
                <w:color w:val="000000" w:themeColor="text1"/>
                <w:sz w:val="20"/>
                <w:szCs w:val="20"/>
                <w:highlight w:val="none"/>
                <w:lang w:val="en"/>
                <w14:textFill>
                  <w14:solidFill>
                    <w14:schemeClr w14:val="tx1"/>
                  </w14:solidFill>
                </w14:textFill>
              </w:rPr>
              <w:t>服务，在</w:t>
            </w:r>
            <w:r>
              <w:rPr>
                <w:rFonts w:hint="eastAsia" w:ascii="宋体" w:hAnsi="宋体" w:eastAsia="宋体" w:cs="宋体"/>
                <w:color w:val="000000" w:themeColor="text1"/>
                <w:sz w:val="20"/>
                <w:szCs w:val="20"/>
                <w:highlight w:val="none"/>
                <w:lang w:val="en-US" w:eastAsia="zh-CN"/>
                <w14:textFill>
                  <w14:solidFill>
                    <w14:schemeClr w14:val="tx1"/>
                  </w14:solidFill>
                </w14:textFill>
              </w:rPr>
              <w:t>土地管理</w:t>
            </w:r>
            <w:r>
              <w:rPr>
                <w:rFonts w:hint="eastAsia" w:ascii="宋体" w:hAnsi="宋体" w:eastAsia="宋体" w:cs="宋体"/>
                <w:color w:val="000000" w:themeColor="text1"/>
                <w:sz w:val="20"/>
                <w:szCs w:val="20"/>
                <w:highlight w:val="none"/>
                <w:lang w:val="en"/>
                <w14:textFill>
                  <w14:solidFill>
                    <w14:schemeClr w14:val="tx1"/>
                  </w14:solidFill>
                </w14:textFill>
              </w:rPr>
              <w:t>方面</w:t>
            </w:r>
            <w:r>
              <w:rPr>
                <w:rFonts w:hint="eastAsia" w:ascii="宋体" w:hAnsi="宋体" w:eastAsia="宋体" w:cs="宋体"/>
                <w:color w:val="000000" w:themeColor="text1"/>
                <w:sz w:val="20"/>
                <w:szCs w:val="20"/>
                <w:highlight w:val="none"/>
                <w:lang w:val="en-US" w:eastAsia="zh-CN"/>
                <w14:textFill>
                  <w14:solidFill>
                    <w14:schemeClr w14:val="tx1"/>
                  </w14:solidFill>
                </w14:textFill>
              </w:rPr>
              <w:t>有相关经验</w:t>
            </w:r>
            <w:r>
              <w:rPr>
                <w:rFonts w:hint="eastAsia" w:ascii="宋体" w:hAnsi="宋体" w:eastAsia="宋体" w:cs="宋体"/>
                <w:color w:val="000000" w:themeColor="text1"/>
                <w:sz w:val="20"/>
                <w:szCs w:val="20"/>
                <w:highlight w:val="none"/>
                <w:lang w:val="en"/>
                <w14:textFill>
                  <w14:solidFill>
                    <w14:schemeClr w14:val="tx1"/>
                  </w14:solidFill>
                </w14:textFill>
              </w:rPr>
              <w:t>。</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因此，拟向上述三家单位（深圳市龙岗区规划国土发展研究中心、深圳市龙房地土地信息咨询有限公司、上海城建（广东）科技创新与产业研究有限公司）发出询价通知书，采用最低价法确定成交供应商。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从自2026年4月9日至2026年4月15日止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Cs/>
                <w:color w:val="000000" w:themeColor="text1"/>
                <w:kern w:val="0"/>
                <w:sz w:val="20"/>
                <w:szCs w:val="20"/>
                <w:highlight w:val="none"/>
                <w14:textFill>
                  <w14:solidFill>
                    <w14:schemeClr w14:val="tx1"/>
                  </w14:solidFill>
                </w14:textFill>
              </w:rPr>
              <w:t>联系方式：</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龙岗管理局</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联系人：</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杨</w:t>
            </w:r>
            <w:r>
              <w:rPr>
                <w:rFonts w:hint="eastAsia" w:ascii="宋体" w:hAnsi="宋体" w:eastAsia="宋体" w:cs="宋体"/>
                <w:color w:val="000000" w:themeColor="text1"/>
                <w:kern w:val="0"/>
                <w:sz w:val="20"/>
                <w:szCs w:val="20"/>
                <w:highlight w:val="none"/>
                <w:lang w:eastAsia="zh-CN"/>
                <w14:textFill>
                  <w14:solidFill>
                    <w14:schemeClr w14:val="tx1"/>
                  </w14:solidFill>
                </w14:textFill>
              </w:rPr>
              <w:t>工</w:t>
            </w:r>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地址：龙岗区中心城行政路2号建设大厦</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联系电话：</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28918129</w:t>
            </w:r>
            <w:r>
              <w:rPr>
                <w:rFonts w:hint="eastAsia" w:ascii="宋体" w:hAnsi="宋体" w:eastAsia="宋体" w:cs="宋体"/>
                <w:color w:val="000000" w:themeColor="text1"/>
                <w:kern w:val="0"/>
                <w:sz w:val="20"/>
                <w:szCs w:val="20"/>
                <w:highlight w:val="none"/>
                <w14:textFill>
                  <w14:solidFill>
                    <w14:schemeClr w14:val="tx1"/>
                  </w14:solidFill>
                </w14:textFill>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备注：</w:t>
            </w:r>
            <w:r>
              <w:rPr>
                <w:rFonts w:hint="eastAsia" w:ascii="宋体" w:hAnsi="宋体" w:eastAsia="宋体" w:cs="宋体"/>
                <w:color w:val="000000" w:themeColor="text1"/>
                <w:sz w:val="20"/>
                <w:szCs w:val="20"/>
                <w:highlight w:val="none"/>
                <w14:textFill>
                  <w14:solidFill>
                    <w14:schemeClr w14:val="tx1"/>
                  </w14:solidFill>
                </w14:textFill>
              </w:rPr>
              <w:t>潜在政府采购供应商对公示内容有异议的，请于</w:t>
            </w:r>
            <w:r>
              <w:rPr>
                <w:rFonts w:hint="eastAsia" w:ascii="宋体" w:hAnsi="宋体" w:eastAsia="宋体" w:cs="宋体"/>
                <w:bCs/>
                <w:color w:val="000000" w:themeColor="text1"/>
                <w:sz w:val="20"/>
                <w:szCs w:val="20"/>
                <w:highlight w:val="none"/>
                <w14:textFill>
                  <w14:solidFill>
                    <w14:schemeClr w14:val="tx1"/>
                  </w14:solidFill>
                </w14:textFill>
              </w:rPr>
              <w:t>公示之日起至期满后两个工作日内</w:t>
            </w:r>
            <w:r>
              <w:rPr>
                <w:rFonts w:hint="eastAsia" w:ascii="宋体" w:hAnsi="宋体" w:eastAsia="宋体" w:cs="宋体"/>
                <w:color w:val="000000" w:themeColor="text1"/>
                <w:sz w:val="20"/>
                <w:szCs w:val="20"/>
                <w:highlight w:val="none"/>
                <w14:textFill>
                  <w14:solidFill>
                    <w14:schemeClr w14:val="tx1"/>
                  </w14:solidFill>
                </w14:textFill>
              </w:rPr>
              <w:t>以实名书面（包括联系人、地址、联系电话）形式将意见反馈至</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龙岗管理局</w:t>
            </w:r>
            <w:r>
              <w:rPr>
                <w:rFonts w:hint="eastAsia" w:ascii="宋体" w:hAnsi="宋体" w:eastAsia="宋体" w:cs="宋体"/>
                <w:color w:val="000000" w:themeColor="text1"/>
                <w:kern w:val="0"/>
                <w:sz w:val="20"/>
                <w:szCs w:val="20"/>
                <w:highlight w:val="none"/>
                <w14:textFill>
                  <w14:solidFill>
                    <w14:schemeClr w14:val="tx1"/>
                  </w14:solidFill>
                </w14:textFill>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167DC"/>
    <w:rsid w:val="0CD57553"/>
    <w:rsid w:val="25762D04"/>
    <w:rsid w:val="4D6F59EB"/>
    <w:rsid w:val="50BC1430"/>
    <w:rsid w:val="5FA16A73"/>
    <w:rsid w:val="602F17FE"/>
    <w:rsid w:val="77FFEBE5"/>
    <w:rsid w:val="7AFEDA33"/>
    <w:rsid w:val="7BFE71DD"/>
    <w:rsid w:val="7EBFEA34"/>
    <w:rsid w:val="7EE167DC"/>
    <w:rsid w:val="7FFE4BEA"/>
    <w:rsid w:val="DF67BA3F"/>
    <w:rsid w:val="EFFD3F56"/>
    <w:rsid w:val="FCDE8FA9"/>
    <w:rsid w:val="FCFFFF51"/>
    <w:rsid w:val="FD7F90C7"/>
    <w:rsid w:val="FEF7EB22"/>
    <w:rsid w:val="FF3D8E1B"/>
    <w:rsid w:val="FF5F9F11"/>
    <w:rsid w:val="FFAF9740"/>
    <w:rsid w:val="FFF3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61"/>
      <w:ind w:left="102"/>
    </w:pPr>
    <w:rPr>
      <w:rFonts w:ascii="宋体" w:hAnsi="宋体" w:eastAsia="宋体"/>
      <w:kern w:val="0"/>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1955</Words>
  <Characters>1997</Characters>
  <Lines>0</Lines>
  <Paragraphs>0</Paragraphs>
  <TotalTime>1</TotalTime>
  <ScaleCrop>false</ScaleCrop>
  <LinksUpToDate>false</LinksUpToDate>
  <CharactersWithSpaces>2014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2026-03-06T00:53:00Z</dcterms:created>
  <dc:creator>杜双羽</dc:creator>
  <cp:lastModifiedBy>longgang</cp:lastModifiedBy>
  <cp:lastPrinted>2026-04-01T19:26:00Z</cp:lastPrinted>
  <dcterms:modified xsi:type="dcterms:W3CDTF">2026-04-08T10:21:30Z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F82A3E00FE924B918C85CA418C62A14E_13</vt:lpwstr>
  </property>
  <property fmtid="{D5CDD505-2E9C-101B-9397-08002B2CF9AE}" pid="4" name="KSOTemplateDocerSaveRecord">
    <vt:lpwstr>eyJoZGlkIjoiMzA4NDY4MzJhYmMzYmI2OWE1MzA3YTQ3MGZlZGExZGQiLCJ1c2VySWQiOiI1MzUzNzMyNDcifQ==</vt:lpwstr>
  </property>
</Properties>
</file>