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ind w:firstLine="0" w:firstLineChars="0"/>
        <w:jc w:val="center"/>
        <w:rPr>
          <w:rFonts w:hint="eastAsia" w:ascii="黑体" w:hAnsi="黑体" w:eastAsia="黑体" w:cs="黑体"/>
          <w:b/>
          <w:color w:val="000000"/>
          <w:sz w:val="22"/>
          <w:szCs w:val="22"/>
          <w:highlight w:val="none"/>
        </w:rPr>
      </w:pPr>
      <w:r>
        <w:rPr>
          <w:rFonts w:hint="eastAsia" w:ascii="黑体" w:hAnsi="黑体" w:eastAsia="黑体" w:cs="黑体"/>
          <w:b/>
          <w:color w:val="000000"/>
          <w:sz w:val="32"/>
          <w:szCs w:val="32"/>
          <w:highlight w:val="none"/>
        </w:rPr>
        <w:t>博物馆展品说明牌更新服务项目采购需求</w:t>
      </w:r>
    </w:p>
    <w:tbl>
      <w:tblPr>
        <w:tblStyle w:val="6"/>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864"/>
        <w:gridCol w:w="1282"/>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博物馆展品说明牌更新服务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8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深圳大鹏半岛国家地质自然公园管理处</w:t>
            </w: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自行采购（询价）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批文号</w:t>
            </w:r>
          </w:p>
        </w:tc>
        <w:tc>
          <w:tcPr>
            <w:tcW w:w="38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szCs w:val="21"/>
                <w:highlight w:val="none"/>
              </w:rPr>
            </w:pPr>
            <w:r>
              <w:rPr>
                <w:rFonts w:hint="eastAsia" w:ascii="仿宋" w:hAnsi="仿宋" w:eastAsia="仿宋" w:cs="仿宋"/>
                <w:sz w:val="24"/>
                <w:szCs w:val="24"/>
              </w:rPr>
              <w:t>部门预算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20000元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博物馆展品说明牌已使用13年，设计陈旧，并出现材质脆化、固件松动现象，依据国家文物局2019年发布实施的《博物馆展览内容设计规范》、《博物馆陈列形式设计与施工规范》，需更新博物馆展品说明牌，以达到“科学性、传播性、审美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1、投标人须是中华人民共和国境内注册的具有合法经营资格的独立法人，具备</w:t>
            </w:r>
            <w:r>
              <w:rPr>
                <w:rFonts w:hint="eastAsia" w:ascii="仿宋" w:hAnsi="仿宋" w:eastAsia="仿宋" w:cs="仿宋"/>
                <w:color w:val="000000"/>
                <w:kern w:val="0"/>
                <w:szCs w:val="21"/>
                <w:highlight w:val="none"/>
                <w:lang w:val="en-US" w:eastAsia="zh-CN"/>
              </w:rPr>
              <w:t>展览展示、设计</w:t>
            </w:r>
            <w:r>
              <w:rPr>
                <w:rFonts w:hint="eastAsia" w:ascii="仿宋" w:hAnsi="仿宋" w:eastAsia="仿宋" w:cs="仿宋"/>
                <w:color w:val="000000"/>
                <w:kern w:val="0"/>
                <w:szCs w:val="21"/>
                <w:highlight w:val="none"/>
              </w:rPr>
              <w:t xml:space="preserve">等相关经营范围（提供营业执照、经营范围等证明材料）。 </w:t>
            </w:r>
          </w:p>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w:t>
            </w:r>
            <w:r>
              <w:rPr>
                <w:rFonts w:hint="eastAsia" w:ascii="仿宋" w:hAnsi="仿宋" w:eastAsia="仿宋" w:cs="仿宋"/>
                <w:color w:val="000000"/>
                <w:kern w:val="0"/>
                <w:szCs w:val="21"/>
                <w:highlight w:val="none"/>
                <w:lang w:eastAsia="zh-CN"/>
              </w:rPr>
              <w:t>、</w:t>
            </w:r>
            <w:r>
              <w:rPr>
                <w:rFonts w:hint="eastAsia" w:ascii="仿宋" w:hAnsi="仿宋" w:eastAsia="仿宋" w:cs="仿宋"/>
                <w:color w:val="000000"/>
                <w:kern w:val="0"/>
                <w:szCs w:val="21"/>
                <w:highlight w:val="none"/>
              </w:rPr>
              <w:t>本项目不接受联合体投标，不允许分包。</w:t>
            </w:r>
          </w:p>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、近三年内（即从202</w:t>
            </w: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年</w:t>
            </w:r>
            <w:r>
              <w:rPr>
                <w:rFonts w:hint="eastAsia" w:ascii="仿宋" w:hAnsi="仿宋" w:eastAsia="仿宋" w:cs="仿宋"/>
                <w:color w:val="000000"/>
                <w:kern w:val="0"/>
                <w:szCs w:val="21"/>
                <w:highlight w:val="none"/>
                <w:lang w:val="en-US" w:eastAsia="zh-CN"/>
              </w:rPr>
              <w:t>3</w:t>
            </w:r>
            <w:r>
              <w:rPr>
                <w:rFonts w:hint="eastAsia" w:ascii="仿宋" w:hAnsi="仿宋" w:eastAsia="仿宋" w:cs="仿宋"/>
                <w:color w:val="000000"/>
                <w:kern w:val="0"/>
                <w:szCs w:val="21"/>
                <w:highlight w:val="none"/>
              </w:rPr>
              <w:t>月至本项目招标公告发布之日）无行贿犯罪记录，投标人须提供由</w:t>
            </w:r>
            <w:r>
              <w:rPr>
                <w:rFonts w:hint="eastAsia" w:ascii="仿宋" w:hAnsi="仿宋" w:eastAsia="仿宋" w:cs="仿宋"/>
                <w:color w:val="000000"/>
                <w:kern w:val="0"/>
                <w:szCs w:val="21"/>
                <w:highlight w:val="none"/>
                <w:lang w:val="en-US" w:eastAsia="zh-CN"/>
              </w:rPr>
              <w:t>本单位</w:t>
            </w:r>
            <w:r>
              <w:rPr>
                <w:rFonts w:hint="eastAsia" w:ascii="仿宋" w:hAnsi="仿宋" w:eastAsia="仿宋" w:cs="仿宋"/>
                <w:color w:val="000000"/>
                <w:kern w:val="0"/>
                <w:szCs w:val="21"/>
                <w:highlight w:val="none"/>
              </w:rPr>
              <w:t>营业执照住所地的检察机关出具的《行贿犯罪档案查询告知函》扫描件，原件备查。未被列入失信被执行人、重大税收违法案件当事人名单、政府采购严重违法失信行为记录名单。采购代理机构通过信用中国网站(www.creditchina.gov.cn)、深圳市政府采购监管网（http://zfcg.sz.gov.cn）等渠道查询相关主体信用记录，或提供相应承诺函，相关证据与招标文件一并保存；</w:t>
            </w:r>
          </w:p>
          <w:p>
            <w:pPr>
              <w:keepNext w:val="0"/>
              <w:keepLines w:val="0"/>
              <w:pageBreakBefore w:val="0"/>
              <w:widowControl w:val="0"/>
              <w:kinsoku/>
              <w:overflowPunct/>
              <w:topLinePunct w:val="0"/>
              <w:autoSpaceDE/>
              <w:autoSpaceDN/>
              <w:bidi w:val="0"/>
              <w:spacing w:line="220" w:lineRule="exact"/>
              <w:jc w:val="both"/>
              <w:rPr>
                <w:rFonts w:hint="eastAsia" w:ascii="仿宋" w:hAnsi="仿宋" w:eastAsia="仿宋" w:cs="仿宋"/>
                <w:b/>
                <w:color w:val="000000"/>
                <w:kern w:val="0"/>
                <w:szCs w:val="21"/>
                <w:highlight w:val="none"/>
              </w:rPr>
            </w:pPr>
            <w:r>
              <w:rPr>
                <w:rFonts w:hint="eastAsia" w:ascii="仿宋" w:hAnsi="仿宋" w:eastAsia="仿宋" w:cs="仿宋"/>
                <w:color w:val="000000"/>
                <w:kern w:val="0"/>
                <w:szCs w:val="21"/>
                <w:highlight w:val="none"/>
                <w:lang w:val="en-US" w:eastAsia="zh-CN"/>
              </w:rPr>
              <w:t>4</w:t>
            </w:r>
            <w:r>
              <w:rPr>
                <w:rFonts w:hint="eastAsia" w:ascii="仿宋" w:hAnsi="仿宋" w:eastAsia="仿宋" w:cs="仿宋"/>
                <w:color w:val="000000"/>
                <w:kern w:val="0"/>
                <w:szCs w:val="21"/>
                <w:highlight w:val="none"/>
              </w:rPr>
              <w:t>、投标人须签署《政府采购投标及履约承诺函》及《政府采购违法行为风险知悉确认书》，否则作废标处理。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*1、报价要求：需提供明确分项报价表；</w:t>
            </w:r>
          </w:p>
          <w:p>
            <w:pPr>
              <w:keepNext w:val="0"/>
              <w:keepLines w:val="0"/>
              <w:pageBreakBefore w:val="0"/>
              <w:widowControl w:val="0"/>
              <w:kinsoku/>
              <w:overflowPunct/>
              <w:topLinePunct w:val="0"/>
              <w:autoSpaceDE/>
              <w:autoSpaceDN/>
              <w:bidi w:val="0"/>
              <w:spacing w:line="220" w:lineRule="exact"/>
              <w:ind w:left="420" w:hanging="420" w:hanging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*2、付款方式：转账付款，</w:t>
            </w:r>
            <w:r>
              <w:rPr>
                <w:rFonts w:hint="eastAsia" w:ascii="仿宋" w:hAnsi="仿宋" w:eastAsia="仿宋" w:cs="仿宋"/>
                <w:color w:val="000000"/>
                <w:szCs w:val="21"/>
                <w:highlight w:val="none"/>
                <w:lang w:val="en-US" w:eastAsia="zh-CN"/>
              </w:rPr>
              <w:t>采购人</w:t>
            </w:r>
            <w:r>
              <w:rPr>
                <w:rFonts w:hint="eastAsia" w:ascii="仿宋" w:hAnsi="仿宋" w:eastAsia="仿宋" w:cs="仿宋"/>
                <w:color w:val="000000"/>
                <w:szCs w:val="21"/>
                <w:highlight w:val="none"/>
              </w:rPr>
              <w:t>验收合格后支付100%。</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*3、履约保证金：无</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*4、违约责任：以具体合同约定为准</w:t>
            </w: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*5、服务质量监督和项目验收要求：以国家相关行业技术规范和要求为准。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服务内容</w:t>
            </w:r>
          </w:p>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清单</w:t>
            </w:r>
          </w:p>
        </w:tc>
        <w:tc>
          <w:tcPr>
            <w:tcW w:w="7407" w:type="dxa"/>
            <w:gridSpan w:val="3"/>
            <w:noWrap w:val="0"/>
            <w:vAlign w:val="top"/>
          </w:tcPr>
          <w:tbl>
            <w:tblPr>
              <w:tblStyle w:val="6"/>
              <w:tblW w:w="71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173"/>
              <w:gridCol w:w="1042"/>
              <w:gridCol w:w="732"/>
              <w:gridCol w:w="2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69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序号</w:t>
                  </w:r>
                </w:p>
              </w:tc>
              <w:tc>
                <w:tcPr>
                  <w:tcW w:w="21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项目</w:t>
                  </w:r>
                </w:p>
              </w:tc>
              <w:tc>
                <w:tcPr>
                  <w:tcW w:w="104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2"/>
                      <w:sz w:val="24"/>
                      <w:szCs w:val="24"/>
                      <w:u w:val="none"/>
                      <w:lang w:val="en-US" w:eastAsia="zh-CN" w:bidi="ar-SA"/>
                    </w:rPr>
                  </w:pPr>
                  <w:r>
                    <w:rPr>
                      <w:rFonts w:hint="default" w:ascii="仿宋_GB2312" w:hAnsi="宋体" w:eastAsia="仿宋_GB2312" w:cs="仿宋_GB2312"/>
                      <w:b/>
                      <w:bCs/>
                      <w:i w:val="0"/>
                      <w:iCs w:val="0"/>
                      <w:color w:val="000000"/>
                      <w:kern w:val="0"/>
                      <w:sz w:val="24"/>
                      <w:szCs w:val="24"/>
                      <w:u w:val="none"/>
                      <w:lang w:val="en-US" w:eastAsia="zh-CN" w:bidi="ar"/>
                    </w:rPr>
                    <w:t>数量</w:t>
                  </w:r>
                </w:p>
              </w:tc>
              <w:tc>
                <w:tcPr>
                  <w:tcW w:w="73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单位</w:t>
                  </w:r>
                </w:p>
              </w:tc>
              <w:tc>
                <w:tcPr>
                  <w:tcW w:w="24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default"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立牌</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27</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个</w:t>
                  </w: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default" w:ascii="宋体" w:hAnsi="宋体" w:eastAsia="宋体" w:cs="宋体"/>
                      <w:i w:val="0"/>
                      <w:iCs w:val="0"/>
                      <w:color w:val="000000"/>
                      <w:sz w:val="16"/>
                      <w:szCs w:val="16"/>
                      <w:u w:val="none"/>
                      <w:lang w:val="en-US" w:eastAsia="zh-CN"/>
                    </w:rPr>
                    <w:t>总高不低于60cm</w:t>
                  </w:r>
                  <w:r>
                    <w:rPr>
                      <w:rFonts w:hint="eastAsia" w:ascii="宋体" w:hAnsi="宋体" w:cs="宋体"/>
                      <w:i w:val="0"/>
                      <w:iCs w:val="0"/>
                      <w:color w:val="000000"/>
                      <w:sz w:val="16"/>
                      <w:szCs w:val="16"/>
                      <w:u w:val="none"/>
                      <w:lang w:val="en-US" w:eastAsia="zh-CN"/>
                    </w:rPr>
                    <w:t>，版面尺寸</w:t>
                  </w:r>
                  <w:r>
                    <w:rPr>
                      <w:rFonts w:hint="default" w:ascii="宋体" w:hAnsi="宋体" w:eastAsia="宋体" w:cs="宋体"/>
                      <w:i w:val="0"/>
                      <w:iCs w:val="0"/>
                      <w:color w:val="000000"/>
                      <w:sz w:val="16"/>
                      <w:szCs w:val="16"/>
                      <w:u w:val="none"/>
                      <w:lang w:val="en-US" w:eastAsia="zh-CN"/>
                    </w:rPr>
                    <w:t>以最终设计方案为准(定制）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大说明牌</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125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个</w:t>
                  </w:r>
                </w:p>
              </w:tc>
              <w:tc>
                <w:tcPr>
                  <w:tcW w:w="2459"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版面尺寸不低于16*10cm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jc w:val="center"/>
              </w:trPr>
              <w:tc>
                <w:tcPr>
                  <w:tcW w:w="698"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小说明牌</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63</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个</w:t>
                  </w:r>
                </w:p>
              </w:tc>
              <w:tc>
                <w:tcPr>
                  <w:tcW w:w="2459"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版面尺寸不低于10*7cm</w:t>
                  </w:r>
                </w:p>
              </w:tc>
            </w:tr>
          </w:tbl>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1560" w:type="dxa"/>
            <w:noWrap w:val="0"/>
            <w:vAlign w:val="center"/>
          </w:tcPr>
          <w:p>
            <w:pPr>
              <w:keepNext w:val="0"/>
              <w:keepLines w:val="0"/>
              <w:pageBreakBefore w:val="0"/>
              <w:widowControl w:val="0"/>
              <w:kinsoku/>
              <w:overflowPunct/>
              <w:topLinePunct w:val="0"/>
              <w:autoSpaceDE/>
              <w:autoSpaceDN/>
              <w:bidi w:val="0"/>
              <w:spacing w:line="220" w:lineRule="exact"/>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具体技术要求</w:t>
            </w:r>
          </w:p>
        </w:tc>
        <w:tc>
          <w:tcPr>
            <w:tcW w:w="7407" w:type="dxa"/>
            <w:gridSpan w:val="3"/>
            <w:noWrap w:val="0"/>
            <w:vAlign w:val="top"/>
          </w:tcPr>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为深圳大鹏半岛国家地质自然公园管理处</w:t>
            </w:r>
            <w:r>
              <w:rPr>
                <w:rFonts w:hint="eastAsia" w:ascii="仿宋" w:hAnsi="仿宋" w:eastAsia="仿宋" w:cs="仿宋"/>
                <w:color w:val="000000"/>
                <w:szCs w:val="21"/>
                <w:highlight w:val="none"/>
                <w:lang w:val="en-US" w:eastAsia="zh-CN"/>
              </w:rPr>
              <w:t>提供</w:t>
            </w:r>
            <w:r>
              <w:rPr>
                <w:rFonts w:hint="eastAsia" w:ascii="仿宋" w:hAnsi="仿宋" w:eastAsia="仿宋" w:cs="仿宋"/>
                <w:color w:val="000000"/>
                <w:szCs w:val="21"/>
                <w:highlight w:val="none"/>
              </w:rPr>
              <w:t>博物馆展品说明牌更新服务。</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说明牌的材质及版面设计需贴合</w:t>
            </w:r>
            <w:r>
              <w:rPr>
                <w:rFonts w:hint="eastAsia" w:ascii="仿宋" w:hAnsi="仿宋" w:eastAsia="仿宋" w:cs="仿宋"/>
                <w:color w:val="000000"/>
                <w:szCs w:val="21"/>
                <w:highlight w:val="none"/>
                <w:lang w:val="en-US" w:eastAsia="zh-CN"/>
              </w:rPr>
              <w:t>采购人</w:t>
            </w:r>
            <w:r>
              <w:rPr>
                <w:rFonts w:hint="eastAsia" w:ascii="仿宋" w:hAnsi="仿宋" w:eastAsia="仿宋" w:cs="仿宋"/>
                <w:color w:val="000000"/>
                <w:szCs w:val="21"/>
                <w:highlight w:val="none"/>
              </w:rPr>
              <w:t>展馆设计风格，设计方案</w:t>
            </w:r>
            <w:r>
              <w:rPr>
                <w:rFonts w:hint="eastAsia" w:ascii="仿宋" w:hAnsi="仿宋" w:eastAsia="仿宋" w:cs="仿宋"/>
                <w:color w:val="000000"/>
                <w:szCs w:val="21"/>
                <w:highlight w:val="none"/>
                <w:lang w:val="en-US" w:eastAsia="zh-CN"/>
              </w:rPr>
              <w:t>需经采购人确认</w:t>
            </w:r>
            <w:r>
              <w:rPr>
                <w:rFonts w:hint="eastAsia" w:ascii="仿宋" w:hAnsi="仿宋" w:eastAsia="仿宋" w:cs="仿宋"/>
                <w:color w:val="000000"/>
                <w:szCs w:val="21"/>
                <w:highlight w:val="none"/>
              </w:rPr>
              <w:t>后方可制作。</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lang w:eastAsia="zh-CN"/>
              </w:rPr>
              <w:t>、说明牌的设计、制作、安装需</w:t>
            </w:r>
            <w:r>
              <w:rPr>
                <w:rFonts w:hint="eastAsia" w:ascii="仿宋" w:hAnsi="仿宋" w:eastAsia="仿宋" w:cs="仿宋"/>
                <w:color w:val="000000"/>
                <w:szCs w:val="21"/>
                <w:highlight w:val="none"/>
                <w:lang w:val="en-US" w:eastAsia="zh-CN"/>
              </w:rPr>
              <w:t>符合</w:t>
            </w:r>
            <w:r>
              <w:rPr>
                <w:rFonts w:hint="eastAsia" w:ascii="仿宋" w:hAnsi="仿宋" w:eastAsia="仿宋" w:cs="仿宋"/>
                <w:color w:val="000000"/>
                <w:szCs w:val="21"/>
                <w:highlight w:val="none"/>
                <w:lang w:eastAsia="zh-CN"/>
              </w:rPr>
              <w:t>《博物馆展览内容设计规范》、《博物馆陈列形式设计与施工规范》。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6" w:hRule="atLeast"/>
          <w:jc w:val="center"/>
        </w:trPr>
        <w:tc>
          <w:tcPr>
            <w:tcW w:w="1560" w:type="dxa"/>
            <w:noWrap w:val="0"/>
            <w:vAlign w:val="top"/>
          </w:tcPr>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p>
          <w:p>
            <w:pPr>
              <w:keepNext w:val="0"/>
              <w:keepLines w:val="0"/>
              <w:pageBreakBefore w:val="0"/>
              <w:widowControl w:val="0"/>
              <w:kinsoku/>
              <w:overflowPunct/>
              <w:topLinePunct w:val="0"/>
              <w:autoSpaceDE/>
              <w:autoSpaceDN/>
              <w:bidi w:val="0"/>
              <w:spacing w:line="220" w:lineRule="exact"/>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rPr>
              <w:t>1</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项目概况</w:t>
            </w:r>
            <w:r>
              <w:rPr>
                <w:rFonts w:hint="eastAsia" w:ascii="仿宋" w:hAnsi="仿宋" w:eastAsia="仿宋" w:cs="仿宋"/>
                <w:color w:val="000000"/>
                <w:szCs w:val="21"/>
                <w:highlight w:val="none"/>
                <w:lang w:eastAsia="zh-CN"/>
              </w:rPr>
              <w:t>：博物馆展品说明牌已使用13年，设计陈旧，并出现材质脆化、固件松动现象，依据国家文物局2019年发布实施的《博物馆展览内容设计规范》、《博物馆陈列形式设计与施工规范》，需更新博物馆展品说明牌，以达到“科学性、传播性、审美性”的要求。</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2、</w:t>
            </w:r>
            <w:r>
              <w:rPr>
                <w:rFonts w:hint="eastAsia" w:ascii="仿宋" w:hAnsi="仿宋" w:eastAsia="仿宋" w:cs="仿宋"/>
                <w:color w:val="000000"/>
                <w:szCs w:val="21"/>
                <w:highlight w:val="none"/>
              </w:rPr>
              <w:t>服务期</w:t>
            </w:r>
            <w:r>
              <w:rPr>
                <w:rFonts w:hint="eastAsia" w:ascii="仿宋" w:hAnsi="仿宋" w:eastAsia="仿宋" w:cs="仿宋"/>
                <w:color w:val="000000"/>
                <w:szCs w:val="21"/>
                <w:highlight w:val="none"/>
                <w:lang w:val="en-US" w:eastAsia="zh-CN"/>
              </w:rPr>
              <w:t>限</w:t>
            </w:r>
            <w:r>
              <w:rPr>
                <w:rFonts w:hint="eastAsia" w:ascii="仿宋" w:hAnsi="仿宋" w:eastAsia="仿宋" w:cs="仿宋"/>
                <w:color w:val="000000"/>
                <w:szCs w:val="21"/>
                <w:highlight w:val="none"/>
              </w:rPr>
              <w:t>：签订合同后 1</w:t>
            </w: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个工作日内完成。</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3、</w:t>
            </w:r>
            <w:r>
              <w:rPr>
                <w:rFonts w:hint="eastAsia" w:ascii="仿宋" w:hAnsi="仿宋" w:eastAsia="仿宋" w:cs="仿宋"/>
                <w:color w:val="000000"/>
                <w:szCs w:val="21"/>
                <w:highlight w:val="none"/>
              </w:rPr>
              <w:t>服务地点：深圳大鹏半岛国家地质自然公园博物馆。</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4、</w:t>
            </w:r>
            <w:r>
              <w:rPr>
                <w:rFonts w:hint="eastAsia" w:ascii="仿宋" w:hAnsi="仿宋" w:eastAsia="仿宋" w:cs="仿宋"/>
                <w:color w:val="000000"/>
                <w:szCs w:val="21"/>
                <w:highlight w:val="none"/>
              </w:rPr>
              <w:t>售后服务的要求：</w:t>
            </w:r>
            <w:r>
              <w:rPr>
                <w:rFonts w:hint="eastAsia" w:ascii="仿宋" w:hAnsi="仿宋" w:eastAsia="仿宋" w:cs="仿宋"/>
                <w:color w:val="000000"/>
                <w:szCs w:val="21"/>
                <w:highlight w:val="none"/>
                <w:lang w:val="en-US" w:eastAsia="zh-CN"/>
              </w:rPr>
              <w:t>质保期内，投标人承诺在任何非人为损坏的质量、故障或使用问题等，投标人保证在接到故障通知后24小时内响应，48小时解决。乙方未及时履行维修义务的，采购人有权委托第三方进行维修，因此发生的所有费用由投标人承担。</w:t>
            </w:r>
            <w:r>
              <w:rPr>
                <w:rFonts w:hint="eastAsia" w:ascii="仿宋" w:hAnsi="仿宋" w:eastAsia="仿宋" w:cs="仿宋"/>
                <w:color w:val="000000"/>
                <w:szCs w:val="21"/>
                <w:highlight w:val="none"/>
              </w:rPr>
              <w:t>）</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5、</w:t>
            </w:r>
            <w:r>
              <w:rPr>
                <w:rFonts w:hint="eastAsia" w:ascii="仿宋" w:hAnsi="仿宋" w:eastAsia="仿宋" w:cs="仿宋"/>
                <w:color w:val="000000"/>
                <w:szCs w:val="21"/>
                <w:highlight w:val="none"/>
              </w:rPr>
              <w:t>关于验收：</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lang w:val="en-US" w:eastAsia="zh-CN"/>
              </w:rPr>
              <w:t>中标人完成项目设计、制作、安装后，需按模板提供《服务类承担单位自验报告》。</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采购人现场检验认可后，产品保修期自验收合格之日起算。</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6、</w:t>
            </w:r>
            <w:r>
              <w:rPr>
                <w:rFonts w:hint="eastAsia" w:ascii="仿宋" w:hAnsi="仿宋" w:eastAsia="仿宋" w:cs="仿宋"/>
                <w:color w:val="000000"/>
                <w:szCs w:val="21"/>
                <w:highlight w:val="none"/>
              </w:rPr>
              <w:t xml:space="preserve">安装调试要求: </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rPr>
              <w:t>实施人员须提供相应操作证（复印件供采购人存档）；</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严格按照国家及行业标准进行安装施工；</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③</w:t>
            </w:r>
            <w:r>
              <w:rPr>
                <w:rFonts w:hint="eastAsia" w:ascii="仿宋" w:hAnsi="仿宋" w:eastAsia="仿宋" w:cs="仿宋"/>
                <w:color w:val="000000"/>
                <w:szCs w:val="21"/>
                <w:highlight w:val="none"/>
              </w:rPr>
              <w:t>投标人应对安装施工期间可能存在的危险进行警示和采取预防措施，进行设备拆除时，必须有安全防护，避免造成人员伤害，确保安全。</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④</w:t>
            </w:r>
            <w:r>
              <w:rPr>
                <w:rFonts w:hint="eastAsia" w:ascii="仿宋" w:hAnsi="仿宋" w:eastAsia="仿宋" w:cs="仿宋"/>
                <w:color w:val="000000"/>
                <w:szCs w:val="21"/>
                <w:highlight w:val="none"/>
              </w:rPr>
              <w:t>安装施工现场施工必须做好原有设备、设施、墙面地面等财产的保护，由于中标人措施不当造成采购人设备设施损坏、财产损失或人身伤害，中标人应承担全部责任。</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val="en-US" w:eastAsia="zh-CN"/>
              </w:rPr>
              <w:t>7、</w:t>
            </w:r>
            <w:r>
              <w:rPr>
                <w:rFonts w:hint="eastAsia" w:ascii="仿宋" w:hAnsi="仿宋" w:eastAsia="仿宋" w:cs="仿宋"/>
                <w:color w:val="000000"/>
                <w:szCs w:val="21"/>
                <w:highlight w:val="none"/>
              </w:rPr>
              <w:t>报价要求：</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①</w:t>
            </w:r>
            <w:r>
              <w:rPr>
                <w:rFonts w:hint="eastAsia" w:ascii="仿宋" w:hAnsi="仿宋" w:eastAsia="仿宋" w:cs="仿宋"/>
                <w:color w:val="000000"/>
                <w:szCs w:val="21"/>
                <w:highlight w:val="none"/>
              </w:rPr>
              <w:t>本项目服务费采用包干制，应包括设计费、制作费、人工费、材料费及损耗、运输费用、税金等完成本项目的全部费用。由投标供应商根据采购文件所提供的资料自行测算投标报价；一经中标，报价总价作为中标人与采购人</w:t>
            </w:r>
            <w:r>
              <w:rPr>
                <w:rFonts w:hint="eastAsia" w:ascii="仿宋" w:hAnsi="仿宋" w:eastAsia="仿宋" w:cs="仿宋"/>
                <w:color w:val="000000"/>
                <w:szCs w:val="21"/>
                <w:highlight w:val="none"/>
                <w:lang w:eastAsia="zh-CN"/>
              </w:rPr>
              <w:t>签订</w:t>
            </w:r>
            <w:r>
              <w:rPr>
                <w:rFonts w:hint="eastAsia" w:ascii="仿宋" w:hAnsi="仿宋" w:eastAsia="仿宋" w:cs="仿宋"/>
                <w:color w:val="000000"/>
                <w:szCs w:val="21"/>
                <w:highlight w:val="none"/>
              </w:rPr>
              <w:t>的合同金额，合同期限内不</w:t>
            </w:r>
            <w:r>
              <w:rPr>
                <w:rFonts w:hint="eastAsia" w:ascii="仿宋" w:hAnsi="仿宋" w:eastAsia="仿宋" w:cs="仿宋"/>
                <w:color w:val="000000"/>
                <w:szCs w:val="21"/>
                <w:highlight w:val="none"/>
                <w:lang w:eastAsia="zh-CN"/>
              </w:rPr>
              <w:t>作</w:t>
            </w:r>
            <w:r>
              <w:rPr>
                <w:rFonts w:hint="eastAsia" w:ascii="仿宋" w:hAnsi="仿宋" w:eastAsia="仿宋" w:cs="仿宋"/>
                <w:color w:val="000000"/>
                <w:szCs w:val="21"/>
                <w:highlight w:val="none"/>
              </w:rPr>
              <w:t>调整。</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②</w:t>
            </w:r>
            <w:r>
              <w:rPr>
                <w:rFonts w:hint="eastAsia" w:ascii="仿宋" w:hAnsi="仿宋" w:eastAsia="仿宋" w:cs="仿宋"/>
                <w:color w:val="000000"/>
                <w:szCs w:val="21"/>
                <w:highlight w:val="none"/>
              </w:rPr>
              <w:t>投标人应当根据本企业的成本自行决定报价，但不得以低于其企业成本的报价投标。</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③</w:t>
            </w:r>
            <w:r>
              <w:rPr>
                <w:rFonts w:hint="eastAsia" w:ascii="仿宋" w:hAnsi="仿宋" w:eastAsia="仿宋" w:cs="仿宋"/>
                <w:color w:val="000000"/>
                <w:szCs w:val="21"/>
                <w:highlight w:val="none"/>
              </w:rPr>
              <w:t>投标人的报价，应当是本项目采购范围和采购文件及合同条款上所列的各项内容中所述的全部，不得以任何理由予以重复。</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④</w:t>
            </w:r>
            <w:r>
              <w:rPr>
                <w:rFonts w:hint="eastAsia" w:ascii="仿宋" w:hAnsi="仿宋" w:eastAsia="仿宋" w:cs="仿宋"/>
                <w:color w:val="000000"/>
                <w:szCs w:val="21"/>
                <w:highlight w:val="none"/>
              </w:rPr>
              <w:t>除非采购人通过修改采购文件予以更正，否则，投标人应毫无例外地按响应文件所列的清单中项目和数量填报综合单价和合价。投标人未填综合单价或合价的项目，在实施后，将不做支付，并视作该项费用已包括在其它有价款的综合单价或合价内。</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⑤</w:t>
            </w:r>
            <w:r>
              <w:rPr>
                <w:rFonts w:hint="eastAsia" w:ascii="仿宋" w:hAnsi="仿宋" w:eastAsia="仿宋" w:cs="仿宋"/>
                <w:color w:val="000000"/>
                <w:szCs w:val="21"/>
                <w:highlight w:val="none"/>
              </w:rPr>
              <w:t>投标人应先到项目地点踏勘以充分了解项目的位置、情况、道路及任何其它足以影响投标报价的情况，任何因忽视或误解项目情况而导致的索赔或服务期限延长申请将不获批准。</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⑥</w:t>
            </w:r>
            <w:r>
              <w:rPr>
                <w:rFonts w:hint="eastAsia" w:ascii="仿宋" w:hAnsi="仿宋" w:eastAsia="仿宋" w:cs="仿宋"/>
                <w:color w:val="000000"/>
                <w:szCs w:val="21"/>
                <w:highlight w:val="none"/>
              </w:rPr>
              <w:t xml:space="preserve"> 投标人不得期望通过索赔等方式获取补偿，否则，除可能遭到拒绝外，还可能将被作为不良行为记录在案，并可能影响其以后参加政府采购的项目投标。各投标人在报价时，应充分考虑报价的风险。</w:t>
            </w:r>
          </w:p>
          <w:p>
            <w:pPr>
              <w:keepNext w:val="0"/>
              <w:keepLines w:val="0"/>
              <w:pageBreakBefore w:val="0"/>
              <w:widowControl w:val="0"/>
              <w:numPr>
                <w:ilvl w:val="0"/>
                <w:numId w:val="0"/>
              </w:numPr>
              <w:kinsoku/>
              <w:overflowPunct/>
              <w:topLinePunct w:val="0"/>
              <w:autoSpaceDE/>
              <w:autoSpaceDN/>
              <w:bidi w:val="0"/>
              <w:spacing w:line="220" w:lineRule="exact"/>
              <w:ind w:firstLine="420" w:firstLineChars="200"/>
              <w:jc w:val="left"/>
              <w:rPr>
                <w:rFonts w:hint="eastAsia" w:ascii="仿宋" w:hAnsi="仿宋" w:eastAsia="仿宋" w:cs="仿宋"/>
                <w:color w:val="000000"/>
                <w:kern w:val="0"/>
                <w:szCs w:val="21"/>
                <w:highlight w:val="none"/>
              </w:rPr>
            </w:pPr>
            <w:r>
              <w:rPr>
                <w:rFonts w:hint="eastAsia" w:ascii="仿宋" w:hAnsi="仿宋" w:eastAsia="仿宋" w:cs="仿宋"/>
                <w:color w:val="000000"/>
                <w:szCs w:val="21"/>
                <w:highlight w:val="none"/>
                <w:lang w:val="en-US" w:eastAsia="zh-CN"/>
              </w:rPr>
              <w:t>8、</w:t>
            </w:r>
            <w:r>
              <w:rPr>
                <w:rFonts w:hint="eastAsia" w:ascii="仿宋" w:hAnsi="仿宋" w:eastAsia="仿宋" w:cs="仿宋"/>
                <w:color w:val="000000"/>
                <w:szCs w:val="21"/>
                <w:highlight w:val="none"/>
              </w:rPr>
              <w:t>付款方式：转账付款，</w:t>
            </w:r>
            <w:r>
              <w:rPr>
                <w:rFonts w:hint="eastAsia" w:ascii="仿宋" w:hAnsi="仿宋" w:eastAsia="仿宋" w:cs="仿宋"/>
                <w:color w:val="000000"/>
                <w:szCs w:val="21"/>
                <w:highlight w:val="none"/>
                <w:lang w:val="en-US" w:eastAsia="zh-CN"/>
              </w:rPr>
              <w:t>采购人</w:t>
            </w:r>
            <w:r>
              <w:rPr>
                <w:rFonts w:hint="eastAsia" w:ascii="仿宋" w:hAnsi="仿宋" w:eastAsia="仿宋" w:cs="仿宋"/>
                <w:color w:val="000000"/>
                <w:szCs w:val="21"/>
                <w:highlight w:val="none"/>
              </w:rPr>
              <w:t>验收合格后支付100%。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956C0"/>
    <w:rsid w:val="01457718"/>
    <w:rsid w:val="065956C0"/>
    <w:rsid w:val="09E659DF"/>
    <w:rsid w:val="0B5439F4"/>
    <w:rsid w:val="2BE24D0B"/>
    <w:rsid w:val="340970FD"/>
    <w:rsid w:val="35592D85"/>
    <w:rsid w:val="381F62A0"/>
    <w:rsid w:val="3B615A3F"/>
    <w:rsid w:val="3EE30504"/>
    <w:rsid w:val="3F3D5448"/>
    <w:rsid w:val="477F2FD7"/>
    <w:rsid w:val="49DC27D7"/>
    <w:rsid w:val="53176A6E"/>
    <w:rsid w:val="57B317F1"/>
    <w:rsid w:val="5A0716E2"/>
    <w:rsid w:val="5C981E9F"/>
    <w:rsid w:val="6568516C"/>
    <w:rsid w:val="65E41F49"/>
    <w:rsid w:val="679B219E"/>
    <w:rsid w:val="67DB559B"/>
    <w:rsid w:val="682556FC"/>
    <w:rsid w:val="71D6711B"/>
    <w:rsid w:val="75D80A64"/>
    <w:rsid w:val="7E7F1C99"/>
    <w:rsid w:val="7FFF05ED"/>
    <w:rsid w:val="BFFE7EE7"/>
    <w:rsid w:val="EAFFA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760"/>
      </w:tabs>
    </w:pPr>
    <w:rPr>
      <w:rFonts w:ascii="宋体" w:hAnsi="宋体"/>
      <w:sz w:val="28"/>
      <w:szCs w:val="20"/>
    </w:rPr>
  </w:style>
  <w:style w:type="paragraph" w:styleId="3">
    <w:name w:val="annotation text"/>
    <w:basedOn w:val="1"/>
    <w:qFormat/>
    <w:uiPriority w:val="0"/>
    <w:pPr>
      <w:jc w:val="left"/>
    </w:pPr>
    <w:rPr>
      <w:rFonts w:ascii="Calibri" w:hAnsi="Calibri" w:cs="宋体"/>
      <w:szCs w:val="24"/>
    </w:rPr>
  </w:style>
  <w:style w:type="paragraph" w:styleId="4">
    <w:name w:val="footnote text"/>
    <w:basedOn w:val="1"/>
    <w:qFormat/>
    <w:uiPriority w:val="0"/>
    <w:pPr>
      <w:snapToGrid w:val="0"/>
      <w:jc w:val="left"/>
    </w:pPr>
    <w:rPr>
      <w:sz w:val="18"/>
    </w:rPr>
  </w:style>
  <w:style w:type="paragraph" w:styleId="5">
    <w:name w:val="Title"/>
    <w:basedOn w:val="1"/>
    <w:next w:val="1"/>
    <w:qFormat/>
    <w:uiPriority w:val="0"/>
    <w:pPr>
      <w:spacing w:before="240" w:after="60" w:line="276" w:lineRule="auto"/>
      <w:jc w:val="center"/>
      <w:outlineLvl w:val="0"/>
    </w:pPr>
    <w:rPr>
      <w:rFonts w:ascii="Cambria" w:hAnsi="Cambria"/>
      <w:b/>
      <w:bCs/>
      <w:sz w:val="32"/>
      <w:szCs w:val="32"/>
    </w:rPr>
  </w:style>
  <w:style w:type="character" w:customStyle="1" w:styleId="8">
    <w:name w:val="font21"/>
    <w:basedOn w:val="7"/>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2312</Words>
  <Characters>2445</Characters>
  <Lines>0</Lines>
  <Paragraphs>0</Paragraphs>
  <TotalTime>4</TotalTime>
  <ScaleCrop>false</ScaleCrop>
  <LinksUpToDate>false</LinksUpToDate>
  <CharactersWithSpaces>2453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2026-03-03T11:22:00Z</dcterms:created>
  <dc:creator>吴娟娟</dc:creator>
  <cp:lastModifiedBy>吴娟娟</cp:lastModifiedBy>
  <dcterms:modified xsi:type="dcterms:W3CDTF">2026-04-07T07:03:42Z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96302BE4CFB7434580DA6D1295173BF0</vt:lpwstr>
  </property>
  <property fmtid="{D5CDD505-2E9C-101B-9397-08002B2CF9AE}" pid="4" name="KSOTemplateDocerSaveRecord">
    <vt:lpwstr>eyJoZGlkIjoiMDdiZjBmYzY3MmM2Nzk4M2IzODBjYzM0NzlkYzZiNTMiLCJ1c2VySWQiOiI3Mjc4MTY3ODQifQ==</vt:lpwstr>
  </property>
</Properties>
</file>