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center"/>
        <w:rPr>
          <w:rFonts w:hint="eastAsia" w:ascii="黑体" w:hAnsi="黑体" w:eastAsia="黑体" w:cs="黑体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/>
          <w:color w:val="auto"/>
          <w:sz w:val="44"/>
          <w:szCs w:val="44"/>
          <w:highlight w:val="none"/>
        </w:rPr>
        <w:t>服务类项目采购需求</w:t>
      </w:r>
      <w:r>
        <w:rPr>
          <w:rFonts w:hint="eastAsia" w:ascii="黑体" w:hAnsi="黑体" w:eastAsia="黑体" w:cs="黑体"/>
          <w:b/>
          <w:color w:val="auto"/>
          <w:sz w:val="44"/>
          <w:szCs w:val="44"/>
          <w:highlight w:val="none"/>
          <w:lang w:eastAsia="zh-CN"/>
        </w:rPr>
        <w:t>文件</w:t>
      </w:r>
    </w:p>
    <w:tbl>
      <w:tblPr>
        <w:tblStyle w:val="6"/>
        <w:tblW w:w="896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780"/>
        <w:gridCol w:w="1366"/>
        <w:gridCol w:w="2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  <w:highlight w:val="none"/>
              </w:rPr>
              <w:t>*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项目名称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局总值班室音视频会议设备和线材2026年</w:t>
            </w:r>
            <w:r>
              <w:rPr>
                <w:rFonts w:ascii="仿宋" w:hAnsi="仿宋" w:eastAsia="仿宋"/>
                <w:szCs w:val="21"/>
              </w:rPr>
              <w:t>维修服务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  <w:highlight w:val="none"/>
              </w:rPr>
              <w:t>*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采购人名称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Cs w:val="21"/>
              </w:rPr>
              <w:t>深圳市规划和自然资源局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  <w:highlight w:val="none"/>
              </w:rPr>
              <w:t>*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采购方式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计划立项批文号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  <w:highlight w:val="none"/>
              </w:rPr>
              <w:t>*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资金来源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部门预算（维修维护费）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  <w:highlight w:val="none"/>
              </w:rPr>
              <w:t>*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财政预算限额（元）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7万元人民币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项目背景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420" w:firstLineChars="200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我局购置的值班室视频设备免费保修期已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过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。该会议室设备专业性强、品牌型号繁杂，故障排查对时限及技术要求颇高。一旦设备故障，视频会议、监测预警展示系统的正常运行将受影响，严重时或致图像与声音信号中断，阻碍全市突发预警事件的应急指挥与调度工作。</w:t>
            </w:r>
          </w:p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基于上述情况，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我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局拟续采该套设备一年期维保服务，服务内容包括设备免费维修、巡检及现场备件供应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项目地点位于规划大厦，设备主要包括：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显示设备（电视机）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音频采集及处理设备（含调音台、功放、麦克风、音箱）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视频采集及处理设备（含会议终端、摄像机、视频矩阵）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控制设备（电源时序器、触摸屏）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办公设备（传真服务器）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项目前期设计、规划论证单位</w:t>
            </w:r>
          </w:p>
        </w:tc>
        <w:tc>
          <w:tcPr>
            <w:tcW w:w="74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投标人资质要求</w:t>
            </w:r>
          </w:p>
        </w:tc>
        <w:tc>
          <w:tcPr>
            <w:tcW w:w="740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" w:hAnsi="仿宋" w:eastAsia="仿宋" w:cs="仿宋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Cs w:val="21"/>
                <w:highlight w:val="none"/>
              </w:rPr>
              <w:t>注意：采购人根据项目所需提供明确、具体的资质要求，资质要求的内容必须与项目等级相匹配且符合相关法律规定。（设置的投标人资格要求必须提交有法律法规依据的证明文件，且不具备倾向性）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/>
                <w:szCs w:val="21"/>
              </w:rPr>
              <w:t>投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标人必须是在中华人民共和国境内注册的、具有合法经营资格的独立法人单位，提供营业执照复印件（加盖公章）。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.投标人为政府采购注册供应商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投标人近三年内无违法犯罪记录。投标人必须承诺参与本项目投标前三年内，在经营活动中没有重大违法记录。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投标人需具备维修文印设备资质或经营范围。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投标人须提供《政府采购投标及履约承诺函》，否则作废标处理。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本次采购不接受联合体报名，不接受分包转包。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  <w:highlight w:val="none"/>
              </w:rPr>
              <w:t>需求内容</w:t>
            </w:r>
          </w:p>
        </w:tc>
        <w:tc>
          <w:tcPr>
            <w:tcW w:w="7407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tabs>
                <w:tab w:val="left" w:pos="1276"/>
              </w:tabs>
              <w:spacing w:line="360" w:lineRule="auto"/>
              <w:rPr>
                <w:rFonts w:hint="eastAsia" w:ascii="仿宋" w:hAnsi="仿宋" w:eastAsia="仿宋" w:cs="仿宋"/>
                <w:b/>
                <w:bCs w:val="0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Cs w:val="21"/>
                <w:highlight w:val="none"/>
              </w:rPr>
              <w:t>1、报价要求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Cs w:val="21"/>
                <w:highlight w:val="none"/>
                <w:lang w:eastAsia="zh-CN"/>
              </w:rPr>
              <w:t>：</w:t>
            </w:r>
          </w:p>
          <w:p>
            <w:pPr>
              <w:pStyle w:val="10"/>
              <w:adjustRightInd w:val="0"/>
              <w:ind w:left="0" w:leftChars="0" w:firstLine="0" w:firstLineChars="0"/>
              <w:rPr>
                <w:rFonts w:hint="eastAsia" w:ascii="仿宋" w:hAnsi="仿宋" w:eastAsia="仿宋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auto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本项目服务费采用包干制，应包括服务成本，法定税费和企业的利润。由投标供应商根据采购文件所提供的资料自行测算投标报价；一经中标，报价总价作为中标供应商与采购人签定的合同金额，合同期内不做调整</w:t>
            </w:r>
            <w:r>
              <w:rPr>
                <w:rFonts w:hint="eastAsia" w:ascii="仿宋" w:hAnsi="仿宋" w:eastAsia="仿宋"/>
                <w:color w:val="auto"/>
                <w:szCs w:val="21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（2）投标人应根据本企业的成本自行决定报价，但不得以低于其企业成本的投标报价。且投标总价不得超过预算金额7W，一旦超出，将按废标处理。</w:t>
            </w:r>
          </w:p>
          <w:p>
            <w:pPr>
              <w:pStyle w:val="10"/>
              <w:adjustRightInd w:val="0"/>
              <w:ind w:left="0" w:leftChars="0" w:firstLine="0" w:firstLineChars="0"/>
              <w:rPr>
                <w:rFonts w:hint="eastAsia" w:ascii="仿宋" w:hAnsi="仿宋" w:eastAsia="仿宋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auto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/>
                <w:color w:val="auto"/>
                <w:szCs w:val="21"/>
                <w:highlight w:val="none"/>
              </w:rPr>
              <w:t>投标人不得期望通过索赔等方式获取补偿，否则，除可能遭到拒绝外，还可能将被作为不良行为记录在案，并可能影响其以后参加政府采购的项目投标。各投标人在投标报价时，应充分考虑投标报价的风险。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ascii="仿宋" w:hAnsi="仿宋" w:eastAsia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</w:rPr>
              <w:t>2、付款方式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lang w:eastAsia="zh-CN"/>
              </w:rPr>
              <w:t>：</w:t>
            </w:r>
          </w:p>
          <w:p>
            <w:pPr>
              <w:pStyle w:val="10"/>
              <w:adjustRightInd w:val="0"/>
              <w:ind w:left="0" w:leftChars="0" w:firstLine="0" w:firstLineChars="0"/>
              <w:rPr>
                <w:rFonts w:hint="eastAsia" w:ascii="仿宋" w:hAnsi="仿宋" w:eastAsia="仿宋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（1）合同签订后，中标人提交《维护服务承诺函》，以及所有备品备件到齐，提交等额发票后二十个工作日内，采购人向中标人支付合同总金额的</w:t>
            </w:r>
            <w:r>
              <w:rPr>
                <w:rFonts w:hint="default" w:ascii="仿宋" w:hAnsi="仿宋" w:eastAsia="仿宋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7</w:t>
            </w:r>
            <w:r>
              <w:rPr>
                <w:rFonts w:hint="eastAsia" w:ascii="仿宋" w:hAnsi="仿宋" w:eastAsia="仿宋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0%；</w:t>
            </w:r>
          </w:p>
          <w:p>
            <w:pPr>
              <w:adjustRightInd w:val="0"/>
              <w:ind w:firstLine="0" w:firstLineChars="0"/>
              <w:rPr>
                <w:rFonts w:hint="eastAsia" w:ascii="仿宋" w:hAnsi="仿宋" w:eastAsia="仿宋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（2）服务期满，中标人提供合同约定的所有项目成果，并通过采购人组织的验收后，采购人向中标人支付合同款的30%。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</w:rPr>
              <w:t>3、履约保证金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本项目不需要提供履约保证金。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</w:rPr>
              <w:t>4、违约责任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按合同相关约定执行。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before="156" w:beforeLines="50" w:after="156" w:afterLines="50" w:line="360" w:lineRule="auto"/>
              <w:ind w:leftChars="0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</w:rPr>
              <w:t>5、服务质量监督和项目验收要求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由专人负责服务质量监督，保障机器正常运行。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1" w:hRule="atLeast"/>
        </w:trPr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具体技术要求</w:t>
            </w:r>
          </w:p>
        </w:tc>
        <w:tc>
          <w:tcPr>
            <w:tcW w:w="7407" w:type="dxa"/>
            <w:gridSpan w:val="3"/>
            <w:noWrap w:val="0"/>
            <w:vAlign w:val="top"/>
          </w:tcPr>
          <w:p>
            <w:pPr>
              <w:numPr>
                <w:ilvl w:val="0"/>
                <w:numId w:val="3"/>
              </w:numPr>
              <w:spacing w:line="360" w:lineRule="exact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有专业的售后技术团队对接服务</w:t>
            </w:r>
            <w:r>
              <w:rPr>
                <w:rFonts w:hint="default" w:ascii="仿宋" w:hAnsi="仿宋" w:eastAsia="仿宋"/>
                <w:lang w:eastAsia="zh-CN"/>
              </w:rPr>
              <w:t>。</w:t>
            </w:r>
          </w:p>
          <w:p>
            <w:pPr>
              <w:numPr>
                <w:ilvl w:val="0"/>
                <w:numId w:val="3"/>
              </w:numPr>
              <w:spacing w:line="360" w:lineRule="exact"/>
              <w:rPr>
                <w:rFonts w:hint="eastAsia"/>
                <w:lang w:eastAsia="zh-CN"/>
              </w:rPr>
            </w:pPr>
            <w:r>
              <w:rPr>
                <w:rFonts w:hint="default" w:ascii="仿宋" w:hAnsi="仿宋" w:eastAsia="仿宋"/>
                <w:lang w:val="en-US" w:eastAsia="zh-CN"/>
              </w:rPr>
              <w:t>维修保养人员需要专业技术人员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numPr>
                <w:ilvl w:val="0"/>
                <w:numId w:val="3"/>
              </w:numPr>
              <w:spacing w:line="360" w:lineRule="exact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 xml:space="preserve">所采用的零部件、配件等材料符合国家或部颁标准，不得使用假冒伪劣产品，不得以次充好，不得以旧顶新。 </w:t>
            </w:r>
          </w:p>
          <w:p>
            <w:pPr>
              <w:numPr>
                <w:ilvl w:val="0"/>
                <w:numId w:val="3"/>
              </w:numPr>
              <w:spacing w:line="360" w:lineRule="exact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优先</w:t>
            </w:r>
            <w:r>
              <w:rPr>
                <w:rFonts w:hint="default" w:ascii="仿宋" w:hAnsi="仿宋" w:eastAsia="仿宋"/>
                <w:lang w:val="en-US" w:eastAsia="zh-CN"/>
              </w:rPr>
              <w:t>为</w:t>
            </w:r>
            <w:r>
              <w:rPr>
                <w:rFonts w:hint="eastAsia" w:ascii="仿宋" w:hAnsi="仿宋" w:eastAsia="仿宋"/>
                <w:lang w:val="en-US" w:eastAsia="zh-CN"/>
              </w:rPr>
              <w:t>我方</w:t>
            </w:r>
            <w:r>
              <w:rPr>
                <w:rFonts w:hint="default" w:ascii="仿宋" w:hAnsi="仿宋" w:eastAsia="仿宋"/>
                <w:lang w:val="en-US" w:eastAsia="zh-CN"/>
              </w:rPr>
              <w:t>设备</w:t>
            </w:r>
            <w:r>
              <w:rPr>
                <w:rFonts w:hint="eastAsia" w:ascii="仿宋" w:hAnsi="仿宋" w:eastAsia="仿宋"/>
                <w:lang w:val="en-US" w:eastAsia="zh-CN"/>
              </w:rPr>
              <w:t>服务并在规定的时限内完成维修服务。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left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为维护设备清单的设备提供7*24小时技术支持维护服务，包含设备维修、设备配置调试、BUG问题处理等。发生故障时,中标方30分钟内响应，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小时之内派技术专家到故障现场，协助招标方定位故障，直至故障排除，系统恢复正常运行。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left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提供备件服务支持，按招标方要求提供核心设备备件服务，如有硬件问题，需要30分钟内更换备机备件快速排除故障，涉及设备维修的需要在5个工作日内完成维修，在设备维修期间需要临时提供备机进行替换。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left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提供设备巡检服务，中标方负责提供设备巡检服务，周期性对维保范围设备进行巡检并做好巡检记录，评估设备的运行健康状况、安全性、稳定性和性能现状，提前排除故障隐患，巡检记录需招标方签字确认。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left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维护设备清单</w:t>
            </w:r>
          </w:p>
          <w:tbl>
            <w:tblPr>
              <w:tblStyle w:val="6"/>
              <w:tblW w:w="5942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6"/>
              <w:gridCol w:w="1567"/>
              <w:gridCol w:w="1696"/>
              <w:gridCol w:w="887"/>
              <w:gridCol w:w="105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1" w:hRule="atLeast"/>
                <w:jc w:val="center"/>
              </w:trPr>
              <w:tc>
                <w:tcPr>
                  <w:tcW w:w="736" w:type="dxa"/>
                  <w:noWrap w:val="0"/>
                  <w:vAlign w:val="center"/>
                </w:tcPr>
                <w:p>
                  <w:pPr>
                    <w:pStyle w:val="10"/>
                    <w:adjustRightInd w:val="0"/>
                    <w:ind w:left="0" w:leftChars="0" w:firstLine="0" w:firstLineChars="0"/>
                    <w:jc w:val="center"/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序号</w:t>
                  </w:r>
                </w:p>
              </w:tc>
              <w:tc>
                <w:tcPr>
                  <w:tcW w:w="1567" w:type="dxa"/>
                  <w:noWrap w:val="0"/>
                  <w:vAlign w:val="center"/>
                </w:tcPr>
                <w:p>
                  <w:pPr>
                    <w:pStyle w:val="10"/>
                    <w:adjustRightInd w:val="0"/>
                    <w:ind w:left="0" w:leftChars="0" w:firstLine="0" w:firstLineChars="0"/>
                    <w:jc w:val="center"/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设备名称</w:t>
                  </w:r>
                </w:p>
              </w:tc>
              <w:tc>
                <w:tcPr>
                  <w:tcW w:w="1696" w:type="dxa"/>
                  <w:noWrap w:val="0"/>
                  <w:vAlign w:val="center"/>
                </w:tcPr>
                <w:p>
                  <w:pPr>
                    <w:pStyle w:val="10"/>
                    <w:adjustRightInd w:val="0"/>
                    <w:ind w:left="0" w:leftChars="0" w:firstLine="0" w:firstLineChars="0"/>
                    <w:jc w:val="center"/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品牌规格型号</w:t>
                  </w:r>
                </w:p>
              </w:tc>
              <w:tc>
                <w:tcPr>
                  <w:tcW w:w="887" w:type="dxa"/>
                  <w:noWrap w:val="0"/>
                  <w:vAlign w:val="center"/>
                </w:tcPr>
                <w:p>
                  <w:pPr>
                    <w:pStyle w:val="10"/>
                    <w:adjustRightInd w:val="0"/>
                    <w:ind w:left="0" w:leftChars="0" w:firstLine="0" w:firstLineChars="0"/>
                    <w:jc w:val="center"/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单位</w:t>
                  </w:r>
                </w:p>
              </w:tc>
              <w:tc>
                <w:tcPr>
                  <w:tcW w:w="1056" w:type="dxa"/>
                  <w:noWrap w:val="0"/>
                  <w:vAlign w:val="center"/>
                </w:tcPr>
                <w:p>
                  <w:pPr>
                    <w:pStyle w:val="10"/>
                    <w:adjustRightInd w:val="0"/>
                    <w:ind w:left="0" w:leftChars="0" w:firstLine="0" w:firstLineChars="0"/>
                    <w:jc w:val="center"/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数量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  <w:jc w:val="center"/>
              </w:trPr>
              <w:tc>
                <w:tcPr>
                  <w:tcW w:w="73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67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PS-500无线一拖四无线麦克风</w:t>
                  </w:r>
                </w:p>
              </w:tc>
              <w:tc>
                <w:tcPr>
                  <w:tcW w:w="169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北极声</w:t>
                  </w:r>
                </w:p>
              </w:tc>
              <w:tc>
                <w:tcPr>
                  <w:tcW w:w="887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  <w:t>套</w:t>
                  </w:r>
                </w:p>
              </w:tc>
              <w:tc>
                <w:tcPr>
                  <w:tcW w:w="105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  <w:jc w:val="center"/>
              </w:trPr>
              <w:tc>
                <w:tcPr>
                  <w:tcW w:w="73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567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VS-801电源时序器</w:t>
                  </w:r>
                </w:p>
              </w:tc>
              <w:tc>
                <w:tcPr>
                  <w:tcW w:w="169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PROBASSCO</w:t>
                  </w:r>
                </w:p>
              </w:tc>
              <w:tc>
                <w:tcPr>
                  <w:tcW w:w="887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105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  <w:jc w:val="center"/>
              </w:trPr>
              <w:tc>
                <w:tcPr>
                  <w:tcW w:w="73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567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HD0808矩阵切换器</w:t>
                  </w:r>
                </w:p>
              </w:tc>
              <w:tc>
                <w:tcPr>
                  <w:tcW w:w="169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迈拓维</w:t>
                  </w:r>
                </w:p>
              </w:tc>
              <w:tc>
                <w:tcPr>
                  <w:tcW w:w="887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105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  <w:jc w:val="center"/>
              </w:trPr>
              <w:tc>
                <w:tcPr>
                  <w:tcW w:w="73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567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MG16XU调音台</w:t>
                  </w:r>
                </w:p>
              </w:tc>
              <w:tc>
                <w:tcPr>
                  <w:tcW w:w="169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YAMAHA</w:t>
                  </w:r>
                </w:p>
              </w:tc>
              <w:tc>
                <w:tcPr>
                  <w:tcW w:w="887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105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  <w:jc w:val="center"/>
              </w:trPr>
              <w:tc>
                <w:tcPr>
                  <w:tcW w:w="73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567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D882电源时序器</w:t>
                  </w:r>
                </w:p>
              </w:tc>
              <w:tc>
                <w:tcPr>
                  <w:tcW w:w="169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得普生（depusheng)</w:t>
                  </w:r>
                </w:p>
              </w:tc>
              <w:tc>
                <w:tcPr>
                  <w:tcW w:w="887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105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  <w:jc w:val="center"/>
              </w:trPr>
              <w:tc>
                <w:tcPr>
                  <w:tcW w:w="73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宋体" w:hAnsi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567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GH6500功放</w:t>
                  </w:r>
                </w:p>
              </w:tc>
              <w:tc>
                <w:tcPr>
                  <w:tcW w:w="169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PAL</w:t>
                  </w:r>
                </w:p>
              </w:tc>
              <w:tc>
                <w:tcPr>
                  <w:tcW w:w="887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105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  <w:jc w:val="center"/>
              </w:trPr>
              <w:tc>
                <w:tcPr>
                  <w:tcW w:w="73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宋体" w:hAnsi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567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TE60视频会议终端</w:t>
                  </w:r>
                </w:p>
              </w:tc>
              <w:tc>
                <w:tcPr>
                  <w:tcW w:w="169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华为</w:t>
                  </w:r>
                </w:p>
              </w:tc>
              <w:tc>
                <w:tcPr>
                  <w:tcW w:w="887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105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  <w:jc w:val="center"/>
              </w:trPr>
              <w:tc>
                <w:tcPr>
                  <w:tcW w:w="73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宋体" w:hAnsi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567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BOX-310-1080p视频会议终端</w:t>
                  </w:r>
                </w:p>
              </w:tc>
              <w:tc>
                <w:tcPr>
                  <w:tcW w:w="169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华为</w:t>
                  </w:r>
                </w:p>
              </w:tc>
              <w:tc>
                <w:tcPr>
                  <w:tcW w:w="887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105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  <w:jc w:val="center"/>
              </w:trPr>
              <w:tc>
                <w:tcPr>
                  <w:tcW w:w="73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宋体" w:hAnsi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567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VC800摄像头</w:t>
                  </w:r>
                </w:p>
              </w:tc>
              <w:tc>
                <w:tcPr>
                  <w:tcW w:w="169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Yealink</w:t>
                  </w:r>
                </w:p>
              </w:tc>
              <w:tc>
                <w:tcPr>
                  <w:tcW w:w="887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105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  <w:jc w:val="center"/>
              </w:trPr>
              <w:tc>
                <w:tcPr>
                  <w:tcW w:w="73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宋体" w:hAnsi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567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CP965视频会议终端</w:t>
                  </w:r>
                </w:p>
              </w:tc>
              <w:tc>
                <w:tcPr>
                  <w:tcW w:w="169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Yealink</w:t>
                  </w:r>
                </w:p>
              </w:tc>
              <w:tc>
                <w:tcPr>
                  <w:tcW w:w="887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105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  <w:jc w:val="center"/>
              </w:trPr>
              <w:tc>
                <w:tcPr>
                  <w:tcW w:w="73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宋体" w:hAnsi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567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Camera200高清摄像头</w:t>
                  </w:r>
                </w:p>
              </w:tc>
              <w:tc>
                <w:tcPr>
                  <w:tcW w:w="169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华为</w:t>
                  </w:r>
                </w:p>
              </w:tc>
              <w:tc>
                <w:tcPr>
                  <w:tcW w:w="887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105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  <w:jc w:val="center"/>
              </w:trPr>
              <w:tc>
                <w:tcPr>
                  <w:tcW w:w="73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  <w:r>
                    <w:rPr>
                      <w:rFonts w:hint="default" w:ascii="宋体" w:hAnsi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567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mic500阵列麦克风</w:t>
                  </w:r>
                </w:p>
              </w:tc>
              <w:tc>
                <w:tcPr>
                  <w:tcW w:w="169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华为</w:t>
                  </w:r>
                </w:p>
              </w:tc>
              <w:tc>
                <w:tcPr>
                  <w:tcW w:w="887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05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  <w:jc w:val="center"/>
              </w:trPr>
              <w:tc>
                <w:tcPr>
                  <w:tcW w:w="73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  <w:r>
                    <w:rPr>
                      <w:rFonts w:hint="default" w:ascii="宋体" w:hAnsi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567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CF-T68K1无纸化传真机</w:t>
                  </w:r>
                </w:p>
              </w:tc>
              <w:tc>
                <w:tcPr>
                  <w:tcW w:w="169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先尚</w:t>
                  </w:r>
                </w:p>
              </w:tc>
              <w:tc>
                <w:tcPr>
                  <w:tcW w:w="887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105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  <w:jc w:val="center"/>
              </w:trPr>
              <w:tc>
                <w:tcPr>
                  <w:tcW w:w="73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  <w:r>
                    <w:rPr>
                      <w:rFonts w:hint="default" w:ascii="宋体" w:hAnsi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567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S1700-16G交换机</w:t>
                  </w:r>
                </w:p>
              </w:tc>
              <w:tc>
                <w:tcPr>
                  <w:tcW w:w="169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华为</w:t>
                  </w:r>
                </w:p>
              </w:tc>
              <w:tc>
                <w:tcPr>
                  <w:tcW w:w="887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105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  <w:jc w:val="center"/>
              </w:trPr>
              <w:tc>
                <w:tcPr>
                  <w:tcW w:w="73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  <w:r>
                    <w:rPr>
                      <w:rFonts w:hint="default" w:ascii="宋体" w:hAnsi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567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W98PNB98寸显示屏</w:t>
                  </w:r>
                </w:p>
              </w:tc>
              <w:tc>
                <w:tcPr>
                  <w:tcW w:w="169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MAXHUB领效</w:t>
                  </w:r>
                </w:p>
              </w:tc>
              <w:tc>
                <w:tcPr>
                  <w:tcW w:w="887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105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  <w:jc w:val="center"/>
              </w:trPr>
              <w:tc>
                <w:tcPr>
                  <w:tcW w:w="73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  <w:r>
                    <w:rPr>
                      <w:rFonts w:hint="default" w:ascii="宋体" w:hAnsi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567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夏普SHARP60寸显示屏</w:t>
                  </w:r>
                </w:p>
              </w:tc>
              <w:tc>
                <w:tcPr>
                  <w:tcW w:w="169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SHARP</w:t>
                  </w:r>
                </w:p>
              </w:tc>
              <w:tc>
                <w:tcPr>
                  <w:tcW w:w="887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台</w:t>
                  </w:r>
                </w:p>
              </w:tc>
              <w:tc>
                <w:tcPr>
                  <w:tcW w:w="105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7" w:hRule="atLeast"/>
                <w:jc w:val="center"/>
              </w:trPr>
              <w:tc>
                <w:tcPr>
                  <w:tcW w:w="73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  <w:r>
                    <w:rPr>
                      <w:rFonts w:hint="default" w:ascii="宋体" w:hAnsi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567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Control26CT-LS吸顶音响</w:t>
                  </w:r>
                </w:p>
              </w:tc>
              <w:tc>
                <w:tcPr>
                  <w:tcW w:w="169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JBL</w:t>
                  </w:r>
                </w:p>
              </w:tc>
              <w:tc>
                <w:tcPr>
                  <w:tcW w:w="887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105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</w:tr>
          </w:tbl>
          <w:p>
            <w:pPr>
              <w:pStyle w:val="10"/>
              <w:adjustRightInd w:val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提供备品备件服务</w:t>
            </w:r>
          </w:p>
          <w:tbl>
            <w:tblPr>
              <w:tblStyle w:val="7"/>
              <w:tblpPr w:leftFromText="180" w:rightFromText="180" w:vertAnchor="text" w:horzAnchor="page" w:tblpX="274" w:tblpY="216"/>
              <w:tblOverlap w:val="never"/>
              <w:tblW w:w="696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96"/>
              <w:gridCol w:w="2358"/>
              <w:gridCol w:w="2423"/>
              <w:gridCol w:w="129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6" w:type="dxa"/>
                  <w:noWrap w:val="0"/>
                  <w:vAlign w:val="top"/>
                </w:tcPr>
                <w:p>
                  <w:pPr>
                    <w:pStyle w:val="1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line="288" w:lineRule="auto"/>
                    <w:ind w:left="0" w:lef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序号</w:t>
                  </w:r>
                </w:p>
              </w:tc>
              <w:tc>
                <w:tcPr>
                  <w:tcW w:w="2358" w:type="dxa"/>
                  <w:noWrap w:val="0"/>
                  <w:vAlign w:val="top"/>
                </w:tcPr>
                <w:p>
                  <w:pPr>
                    <w:pStyle w:val="1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line="288" w:lineRule="auto"/>
                    <w:ind w:left="0" w:lef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设备名称</w:t>
                  </w:r>
                </w:p>
              </w:tc>
              <w:tc>
                <w:tcPr>
                  <w:tcW w:w="2423" w:type="dxa"/>
                  <w:noWrap w:val="0"/>
                  <w:vAlign w:val="top"/>
                </w:tcPr>
                <w:p>
                  <w:pPr>
                    <w:pStyle w:val="1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line="288" w:lineRule="auto"/>
                    <w:ind w:left="0" w:lef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品牌型号</w:t>
                  </w:r>
                </w:p>
              </w:tc>
              <w:tc>
                <w:tcPr>
                  <w:tcW w:w="1292" w:type="dxa"/>
                  <w:noWrap w:val="0"/>
                  <w:vAlign w:val="top"/>
                </w:tcPr>
                <w:p>
                  <w:pPr>
                    <w:pStyle w:val="1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line="288" w:lineRule="auto"/>
                    <w:ind w:left="0" w:lef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数量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3" w:hRule="atLeast"/>
              </w:trPr>
              <w:tc>
                <w:tcPr>
                  <w:tcW w:w="89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88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358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88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专业音箱</w:t>
                  </w:r>
                </w:p>
              </w:tc>
              <w:tc>
                <w:tcPr>
                  <w:tcW w:w="2423" w:type="dxa"/>
                  <w:noWrap w:val="0"/>
                  <w:vAlign w:val="center"/>
                </w:tcPr>
                <w:p>
                  <w:pPr>
                    <w:pStyle w:val="1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line="288" w:lineRule="auto"/>
                    <w:ind w:left="0" w:lef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通用</w:t>
                  </w:r>
                </w:p>
              </w:tc>
              <w:tc>
                <w:tcPr>
                  <w:tcW w:w="1292" w:type="dxa"/>
                  <w:noWrap w:val="0"/>
                  <w:vAlign w:val="top"/>
                </w:tcPr>
                <w:p>
                  <w:pPr>
                    <w:pStyle w:val="1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line="288" w:lineRule="auto"/>
                    <w:ind w:left="0" w:lef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1对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1" w:hRule="atLeast"/>
              </w:trPr>
              <w:tc>
                <w:tcPr>
                  <w:tcW w:w="89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88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358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88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高清视频会议摄像头</w:t>
                  </w:r>
                </w:p>
              </w:tc>
              <w:tc>
                <w:tcPr>
                  <w:tcW w:w="2423" w:type="dxa"/>
                  <w:noWrap w:val="0"/>
                  <w:vAlign w:val="center"/>
                </w:tcPr>
                <w:p>
                  <w:pPr>
                    <w:pStyle w:val="1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line="288" w:lineRule="auto"/>
                    <w:ind w:left="0" w:lef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通用</w:t>
                  </w:r>
                </w:p>
              </w:tc>
              <w:tc>
                <w:tcPr>
                  <w:tcW w:w="1292" w:type="dxa"/>
                  <w:noWrap w:val="0"/>
                  <w:vAlign w:val="top"/>
                </w:tcPr>
                <w:p>
                  <w:pPr>
                    <w:pStyle w:val="1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line="288" w:lineRule="auto"/>
                    <w:ind w:left="0" w:lef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1台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" w:hRule="atLeast"/>
              </w:trPr>
              <w:tc>
                <w:tcPr>
                  <w:tcW w:w="89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88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2358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88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高清视频会议终端</w:t>
                  </w:r>
                </w:p>
              </w:tc>
              <w:tc>
                <w:tcPr>
                  <w:tcW w:w="2423" w:type="dxa"/>
                  <w:noWrap w:val="0"/>
                  <w:vAlign w:val="center"/>
                </w:tcPr>
                <w:p>
                  <w:pPr>
                    <w:pStyle w:val="1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line="288" w:lineRule="auto"/>
                    <w:ind w:left="0" w:lef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华为</w:t>
                  </w:r>
                </w:p>
              </w:tc>
              <w:tc>
                <w:tcPr>
                  <w:tcW w:w="1292" w:type="dxa"/>
                  <w:noWrap w:val="0"/>
                  <w:vAlign w:val="top"/>
                </w:tcPr>
                <w:p>
                  <w:pPr>
                    <w:pStyle w:val="1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line="288" w:lineRule="auto"/>
                    <w:ind w:left="0" w:lef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1台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4" w:hRule="atLeast"/>
              </w:trPr>
              <w:tc>
                <w:tcPr>
                  <w:tcW w:w="89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88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2358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88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专用会议麦克风</w:t>
                  </w:r>
                </w:p>
              </w:tc>
              <w:tc>
                <w:tcPr>
                  <w:tcW w:w="2423" w:type="dxa"/>
                  <w:noWrap w:val="0"/>
                  <w:vAlign w:val="center"/>
                </w:tcPr>
                <w:p>
                  <w:pPr>
                    <w:pStyle w:val="1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line="288" w:lineRule="auto"/>
                    <w:ind w:left="0" w:lef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通用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>
                  <w:pPr>
                    <w:pStyle w:val="1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line="288" w:lineRule="auto"/>
                    <w:ind w:left="0" w:lef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1对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89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88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2358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88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无线麦克风</w:t>
                  </w:r>
                </w:p>
              </w:tc>
              <w:tc>
                <w:tcPr>
                  <w:tcW w:w="2423" w:type="dxa"/>
                  <w:noWrap w:val="0"/>
                  <w:vAlign w:val="center"/>
                </w:tcPr>
                <w:p>
                  <w:pPr>
                    <w:pStyle w:val="1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line="288" w:lineRule="auto"/>
                    <w:ind w:left="0" w:lef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通用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>
                  <w:pPr>
                    <w:pStyle w:val="1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line="288" w:lineRule="auto"/>
                    <w:ind w:left="0" w:lef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1套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5" w:hRule="atLeast"/>
              </w:trPr>
              <w:tc>
                <w:tcPr>
                  <w:tcW w:w="89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88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2358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88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调音台</w:t>
                  </w:r>
                </w:p>
              </w:tc>
              <w:tc>
                <w:tcPr>
                  <w:tcW w:w="2423" w:type="dxa"/>
                  <w:noWrap w:val="0"/>
                  <w:vAlign w:val="center"/>
                </w:tcPr>
                <w:p>
                  <w:pPr>
                    <w:pStyle w:val="1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line="288" w:lineRule="auto"/>
                    <w:ind w:left="0" w:lef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通用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>
                  <w:pPr>
                    <w:pStyle w:val="1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line="288" w:lineRule="auto"/>
                    <w:ind w:left="0" w:lef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1台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5" w:hRule="atLeast"/>
              </w:trPr>
              <w:tc>
                <w:tcPr>
                  <w:tcW w:w="89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88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2358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88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功放</w:t>
                  </w:r>
                </w:p>
              </w:tc>
              <w:tc>
                <w:tcPr>
                  <w:tcW w:w="2423" w:type="dxa"/>
                  <w:noWrap w:val="0"/>
                  <w:vAlign w:val="center"/>
                </w:tcPr>
                <w:p>
                  <w:pPr>
                    <w:pStyle w:val="1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line="288" w:lineRule="auto"/>
                    <w:ind w:left="0" w:lef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通用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>
                  <w:pPr>
                    <w:pStyle w:val="1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line="288" w:lineRule="auto"/>
                    <w:ind w:left="0" w:lef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1台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5" w:hRule="atLeast"/>
              </w:trPr>
              <w:tc>
                <w:tcPr>
                  <w:tcW w:w="89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88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2358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88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显示屏</w:t>
                  </w:r>
                </w:p>
              </w:tc>
              <w:tc>
                <w:tcPr>
                  <w:tcW w:w="2423" w:type="dxa"/>
                  <w:noWrap w:val="0"/>
                  <w:vAlign w:val="center"/>
                </w:tcPr>
                <w:p>
                  <w:pPr>
                    <w:pStyle w:val="1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line="288" w:lineRule="auto"/>
                    <w:ind w:left="0" w:lef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通用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>
                  <w:pPr>
                    <w:pStyle w:val="1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line="288" w:lineRule="auto"/>
                    <w:ind w:left="0" w:lef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1台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9" w:hRule="atLeast"/>
              </w:trPr>
              <w:tc>
                <w:tcPr>
                  <w:tcW w:w="89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88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2358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88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传真服务器</w:t>
                  </w:r>
                </w:p>
              </w:tc>
              <w:tc>
                <w:tcPr>
                  <w:tcW w:w="2423" w:type="dxa"/>
                  <w:noWrap w:val="0"/>
                  <w:vAlign w:val="center"/>
                </w:tcPr>
                <w:p>
                  <w:pPr>
                    <w:pStyle w:val="1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line="288" w:lineRule="auto"/>
                    <w:ind w:left="0" w:lef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通用</w:t>
                  </w:r>
                </w:p>
              </w:tc>
              <w:tc>
                <w:tcPr>
                  <w:tcW w:w="1292" w:type="dxa"/>
                  <w:noWrap w:val="0"/>
                  <w:vAlign w:val="center"/>
                </w:tcPr>
                <w:p>
                  <w:pPr>
                    <w:pStyle w:val="1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line="288" w:lineRule="auto"/>
                    <w:ind w:left="0" w:lef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1台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" w:hRule="atLeast"/>
              </w:trPr>
              <w:tc>
                <w:tcPr>
                  <w:tcW w:w="89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88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2358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napToGrid/>
                    <w:spacing w:line="288" w:lineRule="auto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snapToGrid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音视频连接线、电源线</w:t>
                  </w:r>
                </w:p>
              </w:tc>
              <w:tc>
                <w:tcPr>
                  <w:tcW w:w="2423" w:type="dxa"/>
                  <w:noWrap w:val="0"/>
                  <w:vAlign w:val="top"/>
                </w:tcPr>
                <w:p>
                  <w:pPr>
                    <w:pStyle w:val="1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line="288" w:lineRule="auto"/>
                    <w:ind w:left="0" w:lef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通用</w:t>
                  </w:r>
                </w:p>
              </w:tc>
              <w:tc>
                <w:tcPr>
                  <w:tcW w:w="1292" w:type="dxa"/>
                  <w:noWrap w:val="0"/>
                  <w:vAlign w:val="top"/>
                </w:tcPr>
                <w:p>
                  <w:pPr>
                    <w:pStyle w:val="10"/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line="288" w:lineRule="auto"/>
                    <w:ind w:left="0" w:leftChars="0"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1批</w:t>
                  </w:r>
                </w:p>
              </w:tc>
            </w:tr>
          </w:tbl>
          <w:p>
            <w:pPr>
              <w:pStyle w:val="4"/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</w:trPr>
        <w:tc>
          <w:tcPr>
            <w:tcW w:w="15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</w:rPr>
              <w:t>商务需求</w:t>
            </w:r>
          </w:p>
        </w:tc>
        <w:tc>
          <w:tcPr>
            <w:tcW w:w="7407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</w:rPr>
              <w:t>项目服务期限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宋体"/>
                <w:szCs w:val="21"/>
              </w:rPr>
              <w:t>本项目服务期限为自合同签订之日起</w:t>
            </w: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一</w:t>
            </w:r>
            <w:r>
              <w:rPr>
                <w:rFonts w:hint="eastAsia" w:ascii="仿宋" w:hAnsi="仿宋" w:eastAsia="仿宋" w:cs="宋体"/>
                <w:szCs w:val="21"/>
              </w:rPr>
              <w:t>年。</w:t>
            </w:r>
            <w:r>
              <w:rPr>
                <w:rFonts w:hint="eastAsia" w:ascii="仿宋" w:hAnsi="仿宋" w:eastAsia="仿宋"/>
              </w:rPr>
              <w:t>根据《深圳经济特区政府采购条例实施细则》第59条的规定，合同期满前，采购方综合考虑中标单位的履约情况以及项目开展的具体要求，可以续期服务合同。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</w:rPr>
              <w:t>、维护要求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eastAsia="zh-CN"/>
              </w:rPr>
              <w:t>乙方应提供符合质量要求的材料。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420" w:firstLineChars="200"/>
              <w:jc w:val="left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3、中标要求：</w:t>
            </w:r>
            <w:r>
              <w:rPr>
                <w:rFonts w:hint="eastAsia" w:ascii="仿宋" w:hAnsi="仿宋" w:eastAsia="仿宋" w:cs="宋体"/>
                <w:szCs w:val="21"/>
              </w:rPr>
              <w:t>中标方不得将项目非法分包或转包给任何单位和个人，否则采购方有权即刻终止合同，并要求中标人赔偿相应损失。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60" w:lineRule="exact"/>
        <w:jc w:val="left"/>
        <w:rPr>
          <w:rFonts w:ascii="仿宋" w:hAnsi="仿宋" w:eastAsia="仿宋"/>
          <w:bCs/>
          <w:color w:val="auto"/>
          <w:szCs w:val="21"/>
          <w:highlight w:val="none"/>
        </w:rPr>
      </w:pPr>
      <w:r>
        <w:rPr>
          <w:rFonts w:hint="eastAsia" w:ascii="仿宋" w:hAnsi="仿宋" w:eastAsia="仿宋"/>
          <w:bCs/>
          <w:color w:val="auto"/>
          <w:szCs w:val="21"/>
          <w:highlight w:val="none"/>
        </w:rPr>
        <w:t>注：1、带“*”号的为必填表内容，其他内容可根据项目作适当增减。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60" w:lineRule="exact"/>
        <w:ind w:firstLine="420" w:firstLineChars="200"/>
        <w:jc w:val="left"/>
        <w:rPr>
          <w:rFonts w:ascii="仿宋" w:hAnsi="仿宋" w:eastAsia="仿宋"/>
          <w:bCs/>
          <w:color w:val="auto"/>
          <w:szCs w:val="21"/>
          <w:highlight w:val="none"/>
        </w:rPr>
      </w:pPr>
      <w:r>
        <w:rPr>
          <w:rFonts w:hint="eastAsia" w:ascii="仿宋" w:hAnsi="仿宋" w:eastAsia="仿宋"/>
          <w:bCs/>
          <w:color w:val="auto"/>
          <w:szCs w:val="21"/>
          <w:highlight w:val="none"/>
        </w:rPr>
        <w:t>2、其他要求栏目仅适用非公开招标采购方式项目，采购推荐供应商名单必须经过主管部门报批，并将主管部门批复材料提交至采购中心。根据采购条例第十九条规定适用非公开招标方式需要公示的，应同时向采购中心提交公示的证明材料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60" w:lineRule="exact"/>
        <w:rPr>
          <w:rFonts w:hint="eastAsia" w:eastAsia="宋体"/>
          <w:lang w:val="en-US" w:eastAsia="zh-CN"/>
        </w:rPr>
      </w:pPr>
      <w:r>
        <w:rPr>
          <w:rFonts w:hint="eastAsia" w:ascii="仿宋" w:hAnsi="仿宋" w:eastAsia="仿宋"/>
          <w:bCs/>
          <w:color w:val="auto"/>
          <w:szCs w:val="21"/>
          <w:highlight w:val="none"/>
        </w:rPr>
        <w:t>3、采购单位以上填报的商务条款、技术条款若存在倾向性或不公正性条款，由此引起的不良后果将由采购单位自行承担。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长城仿宋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E48031"/>
    <w:multiLevelType w:val="singleLevel"/>
    <w:tmpl w:val="DAE480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FFF9FED"/>
    <w:multiLevelType w:val="multilevel"/>
    <w:tmpl w:val="DFFF9FED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01AD7AD1"/>
    <w:multiLevelType w:val="singleLevel"/>
    <w:tmpl w:val="01AD7AD1"/>
    <w:lvl w:ilvl="0" w:tentative="0">
      <w:start w:val="1"/>
      <w:numFmt w:val="decimal"/>
      <w:suff w:val="nothing"/>
      <w:lvlText w:val="（%1）"/>
      <w:lvlJc w:val="left"/>
      <w:rPr>
        <w:rFonts w:hint="default" w:ascii="宋体" w:hAnsi="宋体" w:eastAsia="宋体" w:cs="宋体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BEA45"/>
    <w:rsid w:val="11FB8749"/>
    <w:rsid w:val="1FFF7643"/>
    <w:rsid w:val="30F6D957"/>
    <w:rsid w:val="36FC313C"/>
    <w:rsid w:val="37BFD650"/>
    <w:rsid w:val="3AEE4956"/>
    <w:rsid w:val="3DBF87B4"/>
    <w:rsid w:val="3FFDBA40"/>
    <w:rsid w:val="42BD63F0"/>
    <w:rsid w:val="457FC76A"/>
    <w:rsid w:val="5C7543D9"/>
    <w:rsid w:val="5F6635B2"/>
    <w:rsid w:val="5FCFD957"/>
    <w:rsid w:val="66F36FFF"/>
    <w:rsid w:val="74FDCE0B"/>
    <w:rsid w:val="79BBEA45"/>
    <w:rsid w:val="79D45C17"/>
    <w:rsid w:val="7B97D59A"/>
    <w:rsid w:val="7BB40E3B"/>
    <w:rsid w:val="7BFFB484"/>
    <w:rsid w:val="7DFFA9C9"/>
    <w:rsid w:val="7DFFAEF6"/>
    <w:rsid w:val="7EE73922"/>
    <w:rsid w:val="7EED0301"/>
    <w:rsid w:val="7F7FB0C9"/>
    <w:rsid w:val="8FFEB223"/>
    <w:rsid w:val="9FFFF04B"/>
    <w:rsid w:val="A7FF686D"/>
    <w:rsid w:val="BD73F8D2"/>
    <w:rsid w:val="BFFE54E3"/>
    <w:rsid w:val="BFFF4ED0"/>
    <w:rsid w:val="CCD9B750"/>
    <w:rsid w:val="D2EDAE41"/>
    <w:rsid w:val="D89F3C0E"/>
    <w:rsid w:val="DD9A24F6"/>
    <w:rsid w:val="DF77AE55"/>
    <w:rsid w:val="E5F91184"/>
    <w:rsid w:val="E6DB392E"/>
    <w:rsid w:val="E77FB754"/>
    <w:rsid w:val="E9FC4E24"/>
    <w:rsid w:val="EDDDBDF5"/>
    <w:rsid w:val="F3FF0EF2"/>
    <w:rsid w:val="FB121960"/>
    <w:rsid w:val="FBFFB168"/>
    <w:rsid w:val="FDDB3342"/>
    <w:rsid w:val="FDE47A1B"/>
    <w:rsid w:val="FDEEA66A"/>
    <w:rsid w:val="FEC76344"/>
    <w:rsid w:val="FFC68B96"/>
    <w:rsid w:val="FFE73B29"/>
    <w:rsid w:val="FFEA4F4B"/>
    <w:rsid w:val="FFFB81EE"/>
    <w:rsid w:val="FFFC7D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widowControl/>
      <w:numPr>
        <w:ilvl w:val="1"/>
        <w:numId w:val="1"/>
      </w:numPr>
      <w:spacing w:before="120" w:after="120" w:line="415" w:lineRule="auto"/>
      <w:jc w:val="left"/>
      <w:outlineLvl w:val="1"/>
    </w:pPr>
    <w:rPr>
      <w:rFonts w:ascii="等线 Light" w:hAnsi="等线 Light" w:eastAsia="宋体" w:cs="Times New Roman"/>
      <w:b/>
      <w:bCs/>
      <w:kern w:val="0"/>
      <w:sz w:val="28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spacing w:after="160" w:line="259" w:lineRule="auto"/>
    </w:pPr>
    <w:rPr>
      <w:rFonts w:ascii="等线" w:hAnsi="等线" w:eastAsia="等线" w:cs="Times New Roman"/>
      <w:kern w:val="0"/>
      <w:sz w:val="22"/>
    </w:rPr>
  </w:style>
  <w:style w:type="paragraph" w:styleId="4">
    <w:name w:val="Body Text"/>
    <w:basedOn w:val="1"/>
    <w:next w:val="1"/>
    <w:qFormat/>
    <w:uiPriority w:val="0"/>
    <w:pPr>
      <w:widowControl w:val="0"/>
      <w:spacing w:before="61"/>
      <w:ind w:left="102"/>
    </w:pPr>
    <w:rPr>
      <w:rFonts w:ascii="宋体" w:hAnsi="宋体" w:eastAsia="宋体"/>
      <w:kern w:val="0"/>
      <w:sz w:val="28"/>
      <w:szCs w:val="28"/>
      <w:lang w:eastAsia="en-US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文档正文"/>
    <w:basedOn w:val="1"/>
    <w:qFormat/>
    <w:uiPriority w:val="99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paragraph" w:styleId="10">
    <w:name w:val="List Paragraph"/>
    <w:basedOn w:val="1"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2483</Words>
  <Characters>2682</Characters>
  <Lines>0</Lines>
  <Paragraphs>0</Paragraphs>
  <TotalTime>5</TotalTime>
  <ScaleCrop>false</ScaleCrop>
  <LinksUpToDate>false</LinksUpToDate>
  <CharactersWithSpaces>2686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2024-11-18T01:25:00Z</dcterms:created>
  <dc:creator>77947</dc:creator>
  <cp:lastModifiedBy>qilin</cp:lastModifiedBy>
  <cp:lastPrinted>2026-03-11T15:53:00Z</cp:lastPrinted>
  <dcterms:modified xsi:type="dcterms:W3CDTF">2026-03-30T10:32:48Z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DC59781D9C924152B49D2CB10D83BB16</vt:lpwstr>
  </property>
  <property fmtid="{D5CDD505-2E9C-101B-9397-08002B2CF9AE}" pid="4" name="KSOTemplateDocerSaveRecord">
    <vt:lpwstr>eyJoZGlkIjoiMjM2NTBhYmJlNmE5NGZkYjg1NjQzMTAzNjExMWIwMmMiLCJ1c2VySWQiOiIyNjIyODE0MzIifQ==</vt:lpwstr>
  </property>
</Properties>
</file>