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kinsoku/>
        <w:wordWrap/>
        <w:overflowPunct/>
        <w:topLinePunct w:val="0"/>
        <w:autoSpaceDE/>
        <w:autoSpaceDN/>
        <w:bidi w:val="0"/>
        <w:snapToGrid/>
        <w:spacing w:line="360" w:lineRule="auto"/>
        <w:ind w:left="0" w:leftChars="0" w:firstLine="0" w:firstLineChars="0"/>
        <w:jc w:val="center"/>
        <w:textAlignment w:val="auto"/>
        <w:rPr>
          <w:rFonts w:hint="eastAsia" w:ascii="黑体" w:hAnsi="黑体" w:eastAsia="黑体" w:cs="黑体"/>
          <w:b/>
          <w:bCs/>
          <w:color w:val="auto"/>
          <w:sz w:val="44"/>
          <w:szCs w:val="44"/>
          <w:lang w:val="en-US" w:eastAsia="zh-CN"/>
        </w:rPr>
      </w:pPr>
      <w:bookmarkStart w:id="0" w:name="_GoBack"/>
      <w:bookmarkEnd w:id="0"/>
      <w:r>
        <w:rPr>
          <w:rFonts w:hint="eastAsia" w:ascii="黑体" w:hAnsi="黑体" w:eastAsia="黑体" w:cs="黑体"/>
          <w:b/>
          <w:bCs/>
          <w:color w:val="auto"/>
          <w:sz w:val="44"/>
          <w:szCs w:val="44"/>
          <w:lang w:eastAsia="zh-CN"/>
        </w:rPr>
        <w:t>《</w:t>
      </w:r>
      <w:r>
        <w:rPr>
          <w:rFonts w:hint="eastAsia" w:ascii="黑体" w:hAnsi="黑体" w:eastAsia="黑体" w:cs="黑体"/>
          <w:b/>
          <w:bCs/>
          <w:color w:val="auto"/>
          <w:sz w:val="44"/>
          <w:szCs w:val="44"/>
        </w:rPr>
        <w:t>龙岗区</w:t>
      </w:r>
      <w:r>
        <w:rPr>
          <w:rFonts w:hint="eastAsia" w:ascii="黑体" w:hAnsi="黑体" w:eastAsia="黑体" w:cs="黑体"/>
          <w:b/>
          <w:bCs/>
          <w:color w:val="auto"/>
          <w:sz w:val="44"/>
          <w:szCs w:val="44"/>
          <w:lang w:eastAsia="zh-CN"/>
        </w:rPr>
        <w:t>2026</w:t>
      </w:r>
      <w:r>
        <w:rPr>
          <w:rFonts w:hint="eastAsia" w:ascii="黑体" w:hAnsi="黑体" w:eastAsia="黑体" w:cs="黑体"/>
          <w:b/>
          <w:bCs/>
          <w:color w:val="auto"/>
          <w:sz w:val="44"/>
          <w:szCs w:val="44"/>
        </w:rPr>
        <w:t>年在建工程岩溶地质环境影响动态评估</w:t>
      </w:r>
      <w:r>
        <w:rPr>
          <w:rFonts w:hint="eastAsia" w:ascii="黑体" w:hAnsi="黑体" w:eastAsia="黑体" w:cs="黑体"/>
          <w:b/>
          <w:bCs/>
          <w:color w:val="auto"/>
          <w:sz w:val="44"/>
          <w:szCs w:val="44"/>
          <w:lang w:eastAsia="zh-CN"/>
        </w:rPr>
        <w:t>》</w:t>
      </w:r>
      <w:r>
        <w:rPr>
          <w:rFonts w:hint="eastAsia" w:ascii="黑体" w:hAnsi="黑体" w:eastAsia="黑体" w:cs="黑体"/>
          <w:b/>
          <w:bCs/>
          <w:color w:val="auto"/>
          <w:sz w:val="44"/>
          <w:szCs w:val="44"/>
        </w:rPr>
        <w:t>项目采购需求</w:t>
      </w:r>
      <w:r>
        <w:rPr>
          <w:rFonts w:hint="eastAsia" w:ascii="黑体" w:hAnsi="黑体" w:eastAsia="黑体" w:cs="黑体"/>
          <w:b/>
          <w:bCs/>
          <w:color w:val="auto"/>
          <w:sz w:val="44"/>
          <w:szCs w:val="44"/>
          <w:lang w:val="en-US" w:eastAsia="zh-CN"/>
        </w:rPr>
        <w:t>文件</w:t>
      </w:r>
    </w:p>
    <w:p>
      <w:pPr>
        <w:pStyle w:val="21"/>
        <w:keepNext w:val="0"/>
        <w:keepLines w:val="0"/>
        <w:pageBreakBefore w:val="0"/>
        <w:kinsoku/>
        <w:wordWrap/>
        <w:overflowPunct/>
        <w:topLinePunct w:val="0"/>
        <w:autoSpaceDE/>
        <w:autoSpaceDN/>
        <w:bidi w:val="0"/>
        <w:snapToGrid/>
        <w:spacing w:line="360" w:lineRule="auto"/>
        <w:ind w:left="0" w:leftChars="0" w:firstLine="883" w:firstLineChars="200"/>
        <w:jc w:val="center"/>
        <w:textAlignment w:val="auto"/>
        <w:rPr>
          <w:rFonts w:hint="eastAsia" w:ascii="黑体" w:hAnsi="黑体" w:eastAsia="黑体" w:cs="黑体"/>
          <w:b/>
          <w:bCs/>
          <w:color w:val="auto"/>
          <w:sz w:val="44"/>
          <w:szCs w:val="44"/>
        </w:rPr>
      </w:pPr>
      <w:r>
        <w:rPr>
          <w:rFonts w:hint="eastAsia" w:ascii="黑体" w:hAnsi="黑体" w:eastAsia="黑体" w:cs="黑体"/>
          <w:b/>
          <w:bCs/>
          <w:color w:val="auto"/>
          <w:sz w:val="44"/>
          <w:szCs w:val="44"/>
        </w:rPr>
        <w:t>（自行采购）</w:t>
      </w:r>
    </w:p>
    <w:p>
      <w:pPr>
        <w:pStyle w:val="21"/>
        <w:keepNext w:val="0"/>
        <w:keepLines w:val="0"/>
        <w:pageBreakBefore w:val="0"/>
        <w:kinsoku/>
        <w:wordWrap/>
        <w:overflowPunct/>
        <w:topLinePunct w:val="0"/>
        <w:autoSpaceDE/>
        <w:autoSpaceDN/>
        <w:bidi w:val="0"/>
        <w:snapToGrid/>
        <w:spacing w:line="360" w:lineRule="auto"/>
        <w:ind w:left="0" w:leftChars="0" w:firstLine="883" w:firstLineChars="200"/>
        <w:jc w:val="center"/>
        <w:textAlignment w:val="auto"/>
        <w:rPr>
          <w:rFonts w:hint="eastAsia" w:ascii="黑体" w:hAnsi="黑体" w:eastAsia="黑体" w:cs="黑体"/>
          <w:b/>
          <w:bCs/>
          <w:color w:val="auto"/>
          <w:sz w:val="44"/>
          <w:szCs w:val="44"/>
        </w:rPr>
      </w:pPr>
    </w:p>
    <w:p>
      <w:pPr>
        <w:pStyle w:val="21"/>
        <w:keepNext w:val="0"/>
        <w:keepLines w:val="0"/>
        <w:pageBreakBefore w:val="0"/>
        <w:kinsoku/>
        <w:wordWrap/>
        <w:overflowPunct/>
        <w:topLinePunct w:val="0"/>
        <w:autoSpaceDE/>
        <w:autoSpaceDN/>
        <w:bidi w:val="0"/>
        <w:snapToGrid/>
        <w:spacing w:line="480" w:lineRule="exact"/>
        <w:ind w:firstLine="602" w:firstLineChars="200"/>
        <w:textAlignment w:val="auto"/>
        <w:rPr>
          <w:rFonts w:ascii="仿宋" w:hAnsi="仿宋" w:eastAsia="仿宋"/>
          <w:b/>
          <w:bCs/>
          <w:color w:val="auto"/>
          <w:sz w:val="30"/>
          <w:szCs w:val="30"/>
        </w:rPr>
      </w:pPr>
      <w:r>
        <w:rPr>
          <w:rFonts w:hint="eastAsia" w:ascii="仿宋" w:hAnsi="仿宋" w:eastAsia="仿宋"/>
          <w:b/>
          <w:bCs/>
          <w:color w:val="auto"/>
          <w:sz w:val="30"/>
          <w:szCs w:val="30"/>
        </w:rPr>
        <w:t>一、采购项目概况</w:t>
      </w:r>
    </w:p>
    <w:p>
      <w:pPr>
        <w:pStyle w:val="21"/>
        <w:keepNext w:val="0"/>
        <w:keepLines w:val="0"/>
        <w:pageBreakBefore w:val="0"/>
        <w:kinsoku/>
        <w:wordWrap/>
        <w:overflowPunct/>
        <w:topLinePunct w:val="0"/>
        <w:autoSpaceDE/>
        <w:autoSpaceDN/>
        <w:bidi w:val="0"/>
        <w:adjustRightInd w:val="0"/>
        <w:snapToGrid/>
        <w:spacing w:line="48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（一）项目名称：龙岗区</w:t>
      </w:r>
      <w:r>
        <w:rPr>
          <w:rFonts w:hint="eastAsia" w:ascii="仿宋_GB2312" w:hAnsi="仿宋_GB2312" w:eastAsia="仿宋_GB2312" w:cs="仿宋_GB2312"/>
          <w:color w:val="auto"/>
          <w:sz w:val="30"/>
          <w:szCs w:val="30"/>
          <w:lang w:eastAsia="zh-CN"/>
        </w:rPr>
        <w:t>2026</w:t>
      </w:r>
      <w:r>
        <w:rPr>
          <w:rFonts w:hint="eastAsia" w:ascii="仿宋_GB2312" w:hAnsi="仿宋_GB2312" w:eastAsia="仿宋_GB2312" w:cs="仿宋_GB2312"/>
          <w:color w:val="auto"/>
          <w:sz w:val="30"/>
          <w:szCs w:val="30"/>
        </w:rPr>
        <w:t>年在建工程岩溶地质环境影响动态评估。</w:t>
      </w:r>
    </w:p>
    <w:p>
      <w:pPr>
        <w:pStyle w:val="21"/>
        <w:keepNext w:val="0"/>
        <w:keepLines w:val="0"/>
        <w:pageBreakBefore w:val="0"/>
        <w:kinsoku/>
        <w:wordWrap/>
        <w:overflowPunct/>
        <w:topLinePunct w:val="0"/>
        <w:autoSpaceDE/>
        <w:autoSpaceDN/>
        <w:bidi w:val="0"/>
        <w:snapToGrid/>
        <w:spacing w:line="48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（二）项目背景：</w:t>
      </w:r>
      <w:r>
        <w:rPr>
          <w:rFonts w:hint="eastAsia" w:ascii="仿宋_GB2312" w:hAnsi="仿宋_GB2312" w:eastAsia="仿宋_GB2312" w:cs="仿宋_GB2312"/>
          <w:color w:val="auto"/>
          <w:sz w:val="30"/>
          <w:szCs w:val="30"/>
          <w:lang w:val="en-US" w:eastAsia="zh-CN"/>
        </w:rPr>
        <w:t>龙岗区在建工程规模大，工程建设密集，地铁沿线周边发生多起龙园路、龙岗中专等地面塌陷险情，岩溶地面塌陷灾害多由人为工程活动导致地下水位剧烈波动引起，岩溶地面塌陷灾害频发与人类工程活动密切相关，龙岗区在建工程岩溶地质环境影响动态评估十分必要。</w:t>
      </w:r>
      <w:r>
        <w:rPr>
          <w:rFonts w:hint="eastAsia" w:ascii="仿宋_GB2312" w:hAnsi="仿宋_GB2312" w:eastAsia="仿宋_GB2312" w:cs="仿宋_GB2312"/>
          <w:color w:val="auto"/>
          <w:sz w:val="30"/>
          <w:szCs w:val="30"/>
        </w:rPr>
        <w:t>通过调查及结合收集的勘察、已有的岩溶塌陷易发性分区等资料，进一步综合分析评估在建工程岩溶地质环境影响动态评估，对龙岗区岩溶的进一步风险管控及防治工作提出建议</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保障城市空间、地质、公共安全。</w:t>
      </w:r>
    </w:p>
    <w:p>
      <w:pPr>
        <w:pStyle w:val="21"/>
        <w:keepNext w:val="0"/>
        <w:keepLines w:val="0"/>
        <w:pageBreakBefore w:val="0"/>
        <w:kinsoku/>
        <w:wordWrap/>
        <w:overflowPunct/>
        <w:topLinePunct w:val="0"/>
        <w:autoSpaceDE/>
        <w:autoSpaceDN/>
        <w:bidi w:val="0"/>
        <w:snapToGrid/>
        <w:spacing w:line="480" w:lineRule="exact"/>
        <w:ind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（三）立项依据：</w:t>
      </w:r>
      <w:r>
        <w:rPr>
          <w:rFonts w:hint="eastAsia" w:ascii="仿宋_GB2312" w:hAnsi="仿宋_GB2312" w:eastAsia="仿宋_GB2312" w:cs="仿宋_GB2312"/>
          <w:color w:val="auto"/>
          <w:sz w:val="30"/>
          <w:szCs w:val="30"/>
          <w:lang w:val="en-US" w:eastAsia="zh-CN"/>
        </w:rPr>
        <w:t>《地质灾害防治条例》第十条、《国务院办公厅印发贯彻落实国务院关于加强地质灾害防治工作决定重点工作分工方案的通知》第一条。</w:t>
      </w:r>
    </w:p>
    <w:p>
      <w:pPr>
        <w:pStyle w:val="21"/>
        <w:keepNext w:val="0"/>
        <w:keepLines w:val="0"/>
        <w:pageBreakBefore w:val="0"/>
        <w:kinsoku/>
        <w:wordWrap/>
        <w:overflowPunct/>
        <w:topLinePunct w:val="0"/>
        <w:autoSpaceDE/>
        <w:autoSpaceDN/>
        <w:bidi w:val="0"/>
        <w:snapToGrid/>
        <w:spacing w:line="480" w:lineRule="exact"/>
        <w:ind w:firstLine="600" w:firstLineChars="20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（四）测算依据：依据《国土资源预算调查标准（地质调查部分）》（财政部 国土资源部2007年52</w:t>
      </w:r>
      <w:r>
        <w:rPr>
          <w:rFonts w:hint="eastAsia" w:ascii="仿宋_GB2312" w:hAnsi="仿宋_GB2312" w:eastAsia="仿宋_GB2312" w:cs="仿宋_GB2312"/>
          <w:color w:val="auto"/>
          <w:sz w:val="30"/>
          <w:szCs w:val="30"/>
          <w:lang w:val="en-US" w:eastAsia="zh-CN"/>
        </w:rPr>
        <w:t>号</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eastAsia="zh-CN"/>
        </w:rPr>
        <w:t>。</w:t>
      </w:r>
    </w:p>
    <w:p>
      <w:pPr>
        <w:pStyle w:val="21"/>
        <w:keepNext w:val="0"/>
        <w:keepLines w:val="0"/>
        <w:pageBreakBefore w:val="0"/>
        <w:kinsoku/>
        <w:wordWrap/>
        <w:overflowPunct/>
        <w:topLinePunct w:val="0"/>
        <w:autoSpaceDE/>
        <w:autoSpaceDN/>
        <w:bidi w:val="0"/>
        <w:adjustRightInd w:val="0"/>
        <w:snapToGrid/>
        <w:spacing w:line="48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（五）主要工作内容</w:t>
      </w:r>
    </w:p>
    <w:p>
      <w:pPr>
        <w:pStyle w:val="21"/>
        <w:keepNext w:val="0"/>
        <w:keepLines w:val="0"/>
        <w:pageBreakBefore w:val="0"/>
        <w:kinsoku/>
        <w:wordWrap/>
        <w:overflowPunct/>
        <w:topLinePunct w:val="0"/>
        <w:autoSpaceDE/>
        <w:autoSpaceDN/>
        <w:bidi w:val="0"/>
        <w:adjustRightInd w:val="0"/>
        <w:snapToGrid/>
        <w:spacing w:line="480" w:lineRule="exact"/>
        <w:ind w:firstLine="600" w:firstLineChars="200"/>
        <w:textAlignment w:val="auto"/>
        <w:rPr>
          <w:rFonts w:hint="eastAsia" w:ascii="Times New Roman" w:hAnsi="仿宋_GB2312" w:eastAsia="仿宋_GB2312"/>
          <w:color w:val="auto"/>
          <w:sz w:val="30"/>
          <w:szCs w:val="30"/>
        </w:rPr>
      </w:pPr>
      <w:r>
        <w:rPr>
          <w:rFonts w:hint="eastAsia" w:ascii="Times New Roman" w:hAnsi="仿宋_GB2312" w:eastAsia="仿宋_GB2312"/>
          <w:color w:val="auto"/>
          <w:sz w:val="30"/>
          <w:szCs w:val="30"/>
        </w:rPr>
        <w:t>1</w:t>
      </w:r>
      <w:r>
        <w:rPr>
          <w:rFonts w:hint="eastAsia" w:ascii="Times New Roman" w:hAnsi="仿宋_GB2312" w:eastAsia="仿宋_GB2312"/>
          <w:color w:val="auto"/>
          <w:sz w:val="30"/>
          <w:szCs w:val="30"/>
          <w:lang w:val="en-US" w:eastAsia="zh-CN"/>
        </w:rPr>
        <w:t>.</w:t>
      </w:r>
      <w:r>
        <w:rPr>
          <w:rFonts w:hint="eastAsia" w:ascii="Times New Roman" w:hAnsi="仿宋_GB2312" w:eastAsia="仿宋_GB2312"/>
          <w:color w:val="auto"/>
          <w:sz w:val="30"/>
          <w:szCs w:val="30"/>
        </w:rPr>
        <w:t>收集相关资料</w:t>
      </w:r>
    </w:p>
    <w:p>
      <w:pPr>
        <w:pStyle w:val="21"/>
        <w:keepNext w:val="0"/>
        <w:keepLines w:val="0"/>
        <w:pageBreakBefore w:val="0"/>
        <w:kinsoku/>
        <w:wordWrap/>
        <w:overflowPunct/>
        <w:topLinePunct w:val="0"/>
        <w:autoSpaceDE/>
        <w:autoSpaceDN/>
        <w:bidi w:val="0"/>
        <w:adjustRightInd w:val="0"/>
        <w:snapToGrid/>
        <w:spacing w:line="480" w:lineRule="exact"/>
        <w:ind w:firstLine="600" w:firstLineChars="200"/>
        <w:textAlignment w:val="auto"/>
        <w:rPr>
          <w:rFonts w:hint="eastAsia" w:ascii="Times New Roman" w:hAnsi="仿宋_GB2312" w:eastAsia="仿宋_GB2312"/>
          <w:color w:val="auto"/>
          <w:sz w:val="30"/>
          <w:szCs w:val="30"/>
        </w:rPr>
      </w:pPr>
      <w:r>
        <w:rPr>
          <w:rFonts w:hint="eastAsia" w:ascii="Times New Roman" w:hAnsi="仿宋_GB2312" w:eastAsia="仿宋_GB2312"/>
          <w:color w:val="auto"/>
          <w:sz w:val="30"/>
          <w:szCs w:val="30"/>
        </w:rPr>
        <w:t>评估工作首先收集龙岗区岩溶环境工作区</w:t>
      </w:r>
      <w:r>
        <w:rPr>
          <w:rFonts w:hint="eastAsia" w:ascii="Times New Roman" w:hAnsi="仿宋_GB2312" w:eastAsia="仿宋_GB2312"/>
          <w:color w:val="auto"/>
          <w:sz w:val="30"/>
          <w:szCs w:val="30"/>
          <w:lang w:eastAsia="zh-CN"/>
        </w:rPr>
        <w:t>（</w:t>
      </w:r>
      <w:r>
        <w:rPr>
          <w:rFonts w:hint="eastAsia" w:ascii="Times New Roman" w:hAnsi="仿宋_GB2312" w:eastAsia="仿宋_GB2312"/>
          <w:color w:val="auto"/>
          <w:sz w:val="30"/>
          <w:szCs w:val="30"/>
          <w:lang w:val="en-US" w:eastAsia="zh-CN"/>
        </w:rPr>
        <w:t>预计40个</w:t>
      </w:r>
      <w:r>
        <w:rPr>
          <w:rFonts w:hint="eastAsia" w:ascii="Times New Roman" w:hAnsi="仿宋_GB2312" w:eastAsia="仿宋_GB2312"/>
          <w:color w:val="auto"/>
          <w:sz w:val="30"/>
          <w:szCs w:val="30"/>
          <w:lang w:eastAsia="zh-CN"/>
        </w:rPr>
        <w:t>）</w:t>
      </w:r>
      <w:r>
        <w:rPr>
          <w:rFonts w:hint="eastAsia" w:ascii="Times New Roman" w:hAnsi="仿宋_GB2312" w:eastAsia="仿宋_GB2312"/>
          <w:color w:val="auto"/>
          <w:sz w:val="30"/>
          <w:szCs w:val="30"/>
        </w:rPr>
        <w:t>已有的区域地质、区域地貌、区域稳定性、区域地震和建筑区地形、勘察报告、设计资料、水文监测等资料。</w:t>
      </w:r>
    </w:p>
    <w:p>
      <w:pPr>
        <w:pStyle w:val="21"/>
        <w:keepNext w:val="0"/>
        <w:keepLines w:val="0"/>
        <w:pageBreakBefore w:val="0"/>
        <w:kinsoku/>
        <w:wordWrap/>
        <w:overflowPunct/>
        <w:topLinePunct w:val="0"/>
        <w:autoSpaceDE/>
        <w:autoSpaceDN/>
        <w:bidi w:val="0"/>
        <w:adjustRightInd w:val="0"/>
        <w:snapToGrid/>
        <w:spacing w:line="480" w:lineRule="exact"/>
        <w:ind w:firstLine="600" w:firstLineChars="200"/>
        <w:textAlignment w:val="auto"/>
        <w:rPr>
          <w:rFonts w:hint="eastAsia" w:ascii="Times New Roman" w:hAnsi="仿宋_GB2312" w:eastAsia="仿宋_GB2312"/>
          <w:color w:val="auto"/>
          <w:sz w:val="30"/>
          <w:szCs w:val="30"/>
        </w:rPr>
      </w:pPr>
      <w:r>
        <w:rPr>
          <w:rFonts w:hint="eastAsia" w:ascii="Times New Roman" w:hAnsi="仿宋_GB2312" w:eastAsia="仿宋_GB2312"/>
          <w:color w:val="auto"/>
          <w:sz w:val="30"/>
          <w:szCs w:val="30"/>
        </w:rPr>
        <w:t>2</w:t>
      </w:r>
      <w:r>
        <w:rPr>
          <w:rFonts w:hint="eastAsia" w:ascii="Times New Roman" w:hAnsi="仿宋_GB2312" w:eastAsia="仿宋_GB2312"/>
          <w:color w:val="auto"/>
          <w:sz w:val="30"/>
          <w:szCs w:val="30"/>
          <w:lang w:val="en-US" w:eastAsia="zh-CN"/>
        </w:rPr>
        <w:t>.</w:t>
      </w:r>
      <w:r>
        <w:rPr>
          <w:rFonts w:hint="eastAsia" w:ascii="Times New Roman" w:hAnsi="仿宋_GB2312" w:eastAsia="仿宋_GB2312"/>
          <w:color w:val="auto"/>
          <w:sz w:val="30"/>
          <w:szCs w:val="30"/>
        </w:rPr>
        <w:t>现场调查</w:t>
      </w:r>
    </w:p>
    <w:p>
      <w:pPr>
        <w:pStyle w:val="21"/>
        <w:keepNext w:val="0"/>
        <w:keepLines w:val="0"/>
        <w:pageBreakBefore w:val="0"/>
        <w:kinsoku/>
        <w:wordWrap/>
        <w:overflowPunct/>
        <w:topLinePunct w:val="0"/>
        <w:autoSpaceDE/>
        <w:autoSpaceDN/>
        <w:bidi w:val="0"/>
        <w:adjustRightInd w:val="0"/>
        <w:snapToGrid/>
        <w:spacing w:line="480" w:lineRule="exact"/>
        <w:ind w:firstLine="600" w:firstLineChars="200"/>
        <w:textAlignment w:val="auto"/>
        <w:rPr>
          <w:rFonts w:hint="eastAsia" w:ascii="Times New Roman" w:hAnsi="仿宋_GB2312" w:eastAsia="仿宋_GB2312"/>
          <w:color w:val="auto"/>
          <w:sz w:val="30"/>
          <w:szCs w:val="30"/>
        </w:rPr>
      </w:pPr>
      <w:r>
        <w:rPr>
          <w:rFonts w:hint="eastAsia" w:ascii="Times New Roman" w:hAnsi="仿宋_GB2312" w:eastAsia="仿宋_GB2312"/>
          <w:color w:val="auto"/>
          <w:sz w:val="30"/>
          <w:szCs w:val="30"/>
        </w:rPr>
        <w:t>以1:</w:t>
      </w:r>
      <w:r>
        <w:rPr>
          <w:rFonts w:hint="eastAsia" w:ascii="Times New Roman" w:hAnsi="仿宋_GB2312" w:eastAsia="仿宋_GB2312"/>
          <w:color w:val="auto"/>
          <w:sz w:val="30"/>
          <w:szCs w:val="30"/>
          <w:lang w:val="en-US" w:eastAsia="zh-CN"/>
        </w:rPr>
        <w:t>2</w:t>
      </w:r>
      <w:r>
        <w:rPr>
          <w:rFonts w:hint="eastAsia" w:ascii="Times New Roman" w:hAnsi="仿宋_GB2312" w:eastAsia="仿宋_GB2312"/>
          <w:color w:val="auto"/>
          <w:sz w:val="30"/>
          <w:szCs w:val="30"/>
        </w:rPr>
        <w:t>000地形图为底图，调查区内地质环境条件、岩溶地质环境。</w:t>
      </w:r>
    </w:p>
    <w:p>
      <w:pPr>
        <w:pStyle w:val="21"/>
        <w:keepNext w:val="0"/>
        <w:keepLines w:val="0"/>
        <w:pageBreakBefore w:val="0"/>
        <w:kinsoku/>
        <w:wordWrap/>
        <w:overflowPunct/>
        <w:topLinePunct w:val="0"/>
        <w:autoSpaceDE/>
        <w:autoSpaceDN/>
        <w:bidi w:val="0"/>
        <w:adjustRightInd w:val="0"/>
        <w:snapToGrid/>
        <w:spacing w:line="480" w:lineRule="exact"/>
        <w:ind w:firstLine="600" w:firstLineChars="200"/>
        <w:textAlignment w:val="auto"/>
        <w:rPr>
          <w:rFonts w:hint="eastAsia" w:ascii="Times New Roman" w:hAnsi="仿宋_GB2312" w:eastAsia="仿宋_GB2312"/>
          <w:color w:val="auto"/>
          <w:sz w:val="30"/>
          <w:szCs w:val="30"/>
        </w:rPr>
      </w:pPr>
      <w:r>
        <w:rPr>
          <w:rFonts w:hint="eastAsia" w:ascii="Times New Roman" w:hAnsi="仿宋_GB2312" w:eastAsia="仿宋_GB2312"/>
          <w:color w:val="auto"/>
          <w:sz w:val="30"/>
          <w:szCs w:val="30"/>
        </w:rPr>
        <w:t>3</w:t>
      </w:r>
      <w:r>
        <w:rPr>
          <w:rFonts w:hint="eastAsia" w:ascii="Times New Roman" w:hAnsi="仿宋_GB2312" w:eastAsia="仿宋_GB2312"/>
          <w:color w:val="auto"/>
          <w:sz w:val="30"/>
          <w:szCs w:val="30"/>
          <w:lang w:val="en-US" w:eastAsia="zh-CN"/>
        </w:rPr>
        <w:t>.</w:t>
      </w:r>
      <w:r>
        <w:rPr>
          <w:rFonts w:hint="eastAsia" w:ascii="Times New Roman" w:hAnsi="仿宋_GB2312" w:eastAsia="仿宋_GB2312"/>
          <w:color w:val="auto"/>
          <w:sz w:val="30"/>
          <w:szCs w:val="30"/>
        </w:rPr>
        <w:t>室内综合分析与研究</w:t>
      </w:r>
    </w:p>
    <w:p>
      <w:pPr>
        <w:pStyle w:val="21"/>
        <w:keepNext w:val="0"/>
        <w:keepLines w:val="0"/>
        <w:pageBreakBefore w:val="0"/>
        <w:kinsoku/>
        <w:wordWrap/>
        <w:overflowPunct/>
        <w:topLinePunct w:val="0"/>
        <w:autoSpaceDE/>
        <w:autoSpaceDN/>
        <w:bidi w:val="0"/>
        <w:adjustRightInd w:val="0"/>
        <w:snapToGrid/>
        <w:spacing w:line="480" w:lineRule="exact"/>
        <w:ind w:firstLine="600" w:firstLineChars="200"/>
        <w:textAlignment w:val="auto"/>
        <w:rPr>
          <w:rFonts w:hint="eastAsia" w:ascii="Times New Roman" w:hAnsi="仿宋_GB2312" w:eastAsia="仿宋_GB2312"/>
          <w:color w:val="auto"/>
          <w:sz w:val="30"/>
          <w:szCs w:val="30"/>
        </w:rPr>
      </w:pPr>
      <w:r>
        <w:rPr>
          <w:rFonts w:hint="eastAsia" w:ascii="Times New Roman" w:hAnsi="仿宋_GB2312" w:eastAsia="仿宋_GB2312"/>
          <w:color w:val="auto"/>
          <w:sz w:val="30"/>
          <w:szCs w:val="30"/>
        </w:rPr>
        <w:t>在充分收集资料及调查的基础上，通过数据分析论证在建工程岩溶地质环境影响动态评估，并绘制相关图件。</w:t>
      </w:r>
    </w:p>
    <w:p>
      <w:pPr>
        <w:pStyle w:val="21"/>
        <w:keepNext w:val="0"/>
        <w:keepLines w:val="0"/>
        <w:pageBreakBefore w:val="0"/>
        <w:kinsoku/>
        <w:wordWrap/>
        <w:overflowPunct/>
        <w:topLinePunct w:val="0"/>
        <w:autoSpaceDE/>
        <w:autoSpaceDN/>
        <w:bidi w:val="0"/>
        <w:adjustRightInd w:val="0"/>
        <w:snapToGrid/>
        <w:spacing w:line="480" w:lineRule="exact"/>
        <w:ind w:firstLine="600" w:firstLineChars="200"/>
        <w:textAlignment w:val="auto"/>
        <w:rPr>
          <w:rFonts w:hint="eastAsia" w:ascii="Times New Roman" w:hAnsi="仿宋_GB2312" w:eastAsia="仿宋_GB2312"/>
          <w:color w:val="auto"/>
          <w:sz w:val="30"/>
          <w:szCs w:val="30"/>
        </w:rPr>
      </w:pPr>
      <w:r>
        <w:rPr>
          <w:rFonts w:hint="default" w:ascii="Times New Roman" w:hAnsi="仿宋_GB2312" w:eastAsia="仿宋_GB2312"/>
          <w:color w:val="auto"/>
          <w:sz w:val="30"/>
          <w:szCs w:val="30"/>
          <w:lang w:val="en"/>
        </w:rPr>
        <w:t>4</w:t>
      </w:r>
      <w:r>
        <w:rPr>
          <w:rFonts w:hint="eastAsia" w:ascii="Times New Roman" w:hAnsi="仿宋_GB2312" w:eastAsia="仿宋_GB2312"/>
          <w:color w:val="auto"/>
          <w:sz w:val="30"/>
          <w:szCs w:val="30"/>
          <w:lang w:val="en-US" w:eastAsia="zh-CN"/>
        </w:rPr>
        <w:t>.</w:t>
      </w:r>
      <w:r>
        <w:rPr>
          <w:rFonts w:hint="eastAsia" w:ascii="Times New Roman" w:hAnsi="仿宋_GB2312" w:eastAsia="仿宋_GB2312"/>
          <w:color w:val="auto"/>
          <w:sz w:val="30"/>
          <w:szCs w:val="30"/>
        </w:rPr>
        <w:t>提出相关的防治措施建议</w:t>
      </w:r>
    </w:p>
    <w:p>
      <w:pPr>
        <w:pStyle w:val="21"/>
        <w:keepNext w:val="0"/>
        <w:keepLines w:val="0"/>
        <w:pageBreakBefore w:val="0"/>
        <w:kinsoku/>
        <w:wordWrap/>
        <w:overflowPunct/>
        <w:topLinePunct w:val="0"/>
        <w:autoSpaceDE/>
        <w:autoSpaceDN/>
        <w:bidi w:val="0"/>
        <w:adjustRightInd w:val="0"/>
        <w:snapToGrid/>
        <w:spacing w:line="480" w:lineRule="exact"/>
        <w:ind w:firstLine="600" w:firstLineChars="200"/>
        <w:textAlignment w:val="auto"/>
        <w:rPr>
          <w:rFonts w:hint="eastAsia" w:ascii="Times New Roman" w:hAnsi="仿宋_GB2312" w:eastAsia="仿宋_GB2312"/>
          <w:color w:val="auto"/>
          <w:sz w:val="30"/>
          <w:szCs w:val="30"/>
        </w:rPr>
      </w:pPr>
      <w:r>
        <w:rPr>
          <w:rFonts w:hint="eastAsia" w:ascii="Times New Roman" w:hAnsi="仿宋_GB2312" w:eastAsia="仿宋_GB2312"/>
          <w:color w:val="auto"/>
          <w:sz w:val="30"/>
          <w:szCs w:val="30"/>
        </w:rPr>
        <w:t>根据论证结构，提供合理有效的防治措施建议，供业主和施工单位进行参考。</w:t>
      </w:r>
    </w:p>
    <w:p>
      <w:pPr>
        <w:pStyle w:val="21"/>
        <w:keepNext w:val="0"/>
        <w:keepLines w:val="0"/>
        <w:pageBreakBefore w:val="0"/>
        <w:kinsoku/>
        <w:wordWrap/>
        <w:overflowPunct/>
        <w:topLinePunct w:val="0"/>
        <w:autoSpaceDE/>
        <w:autoSpaceDN/>
        <w:bidi w:val="0"/>
        <w:adjustRightInd w:val="0"/>
        <w:snapToGrid/>
        <w:spacing w:line="480" w:lineRule="exact"/>
        <w:ind w:firstLine="600" w:firstLineChars="200"/>
        <w:textAlignment w:val="auto"/>
        <w:rPr>
          <w:rFonts w:ascii="Times New Roman" w:hAnsi="Times New Roman" w:eastAsia="仿宋_GB2312"/>
          <w:color w:val="auto"/>
          <w:sz w:val="30"/>
          <w:szCs w:val="30"/>
        </w:rPr>
      </w:pPr>
      <w:r>
        <w:rPr>
          <w:rFonts w:ascii="Times New Roman" w:hAnsi="仿宋_GB2312" w:eastAsia="仿宋_GB2312"/>
          <w:color w:val="auto"/>
          <w:sz w:val="30"/>
          <w:szCs w:val="30"/>
        </w:rPr>
        <w:t>（</w:t>
      </w:r>
      <w:r>
        <w:rPr>
          <w:rFonts w:hint="eastAsia" w:ascii="Times New Roman" w:hAnsi="仿宋_GB2312" w:eastAsia="仿宋_GB2312"/>
          <w:color w:val="auto"/>
          <w:sz w:val="30"/>
          <w:szCs w:val="30"/>
        </w:rPr>
        <w:t>六</w:t>
      </w:r>
      <w:r>
        <w:rPr>
          <w:rFonts w:ascii="Times New Roman" w:hAnsi="仿宋_GB2312" w:eastAsia="仿宋_GB2312"/>
          <w:color w:val="auto"/>
          <w:sz w:val="30"/>
          <w:szCs w:val="30"/>
        </w:rPr>
        <w:t>）费用预算</w:t>
      </w:r>
      <w:r>
        <w:rPr>
          <w:rFonts w:hint="eastAsia" w:ascii="Times New Roman" w:hAnsi="仿宋_GB2312" w:eastAsia="仿宋_GB2312"/>
          <w:color w:val="auto"/>
          <w:sz w:val="30"/>
          <w:szCs w:val="30"/>
        </w:rPr>
        <w:t>：</w:t>
      </w:r>
      <w:r>
        <w:rPr>
          <w:rFonts w:ascii="Times New Roman" w:hAnsi="仿宋_GB2312" w:eastAsia="仿宋_GB2312"/>
          <w:color w:val="auto"/>
          <w:sz w:val="30"/>
          <w:szCs w:val="30"/>
        </w:rPr>
        <w:t>本项目费用预算</w:t>
      </w:r>
      <w:r>
        <w:rPr>
          <w:rFonts w:hint="eastAsia" w:ascii="Times New Roman" w:hAnsi="仿宋_GB2312" w:eastAsia="仿宋_GB2312"/>
          <w:color w:val="auto"/>
          <w:sz w:val="30"/>
          <w:szCs w:val="30"/>
          <w:lang w:val="en-US" w:eastAsia="zh-CN"/>
        </w:rPr>
        <w:t>11.19</w:t>
      </w:r>
      <w:r>
        <w:rPr>
          <w:rFonts w:ascii="Times New Roman" w:hAnsi="仿宋_GB2312" w:eastAsia="仿宋_GB2312"/>
          <w:color w:val="auto"/>
          <w:sz w:val="30"/>
          <w:szCs w:val="30"/>
        </w:rPr>
        <w:t>万元，投标方报价不应高于此预算。</w:t>
      </w:r>
    </w:p>
    <w:p>
      <w:pPr>
        <w:pStyle w:val="21"/>
        <w:keepNext w:val="0"/>
        <w:keepLines w:val="0"/>
        <w:pageBreakBefore w:val="0"/>
        <w:kinsoku/>
        <w:wordWrap/>
        <w:overflowPunct/>
        <w:topLinePunct w:val="0"/>
        <w:autoSpaceDE/>
        <w:autoSpaceDN/>
        <w:bidi w:val="0"/>
        <w:adjustRightInd w:val="0"/>
        <w:snapToGrid/>
        <w:spacing w:line="480" w:lineRule="exact"/>
        <w:ind w:firstLine="600" w:firstLineChars="200"/>
        <w:textAlignment w:val="auto"/>
        <w:rPr>
          <w:rFonts w:hint="default" w:ascii="Times New Roman" w:hAnsi="Times New Roman" w:eastAsia="仿宋_GB2312"/>
          <w:color w:val="auto"/>
          <w:sz w:val="30"/>
          <w:szCs w:val="30"/>
          <w:lang w:val="en-US" w:eastAsia="zh-CN"/>
        </w:rPr>
      </w:pPr>
      <w:r>
        <w:rPr>
          <w:rFonts w:ascii="Times New Roman" w:hAnsi="仿宋_GB2312" w:eastAsia="仿宋_GB2312"/>
          <w:color w:val="auto"/>
          <w:sz w:val="30"/>
          <w:szCs w:val="30"/>
        </w:rPr>
        <w:t>（</w:t>
      </w:r>
      <w:r>
        <w:rPr>
          <w:rFonts w:hint="eastAsia" w:ascii="Times New Roman" w:hAnsi="仿宋_GB2312" w:eastAsia="仿宋_GB2312"/>
          <w:color w:val="auto"/>
          <w:sz w:val="30"/>
          <w:szCs w:val="30"/>
        </w:rPr>
        <w:t>七</w:t>
      </w:r>
      <w:r>
        <w:rPr>
          <w:rFonts w:ascii="Times New Roman" w:hAnsi="仿宋_GB2312" w:eastAsia="仿宋_GB2312"/>
          <w:color w:val="auto"/>
          <w:sz w:val="30"/>
          <w:szCs w:val="30"/>
        </w:rPr>
        <w:t>）采购方式</w:t>
      </w:r>
      <w:r>
        <w:rPr>
          <w:rFonts w:hint="eastAsia" w:ascii="Times New Roman" w:hAnsi="仿宋_GB2312" w:eastAsia="仿宋_GB2312"/>
          <w:color w:val="auto"/>
          <w:sz w:val="30"/>
          <w:szCs w:val="30"/>
        </w:rPr>
        <w:t>：</w:t>
      </w:r>
      <w:r>
        <w:rPr>
          <w:rFonts w:ascii="Times New Roman" w:hAnsi="仿宋_GB2312" w:eastAsia="仿宋_GB2312"/>
          <w:color w:val="auto"/>
          <w:sz w:val="30"/>
          <w:szCs w:val="30"/>
        </w:rPr>
        <w:t>采用</w:t>
      </w:r>
      <w:r>
        <w:rPr>
          <w:rFonts w:hint="eastAsia" w:ascii="Times New Roman" w:hAnsi="仿宋_GB2312" w:eastAsia="仿宋_GB2312"/>
          <w:color w:val="auto"/>
          <w:sz w:val="30"/>
          <w:szCs w:val="30"/>
          <w:lang w:eastAsia="zh-CN"/>
        </w:rPr>
        <w:t>询价</w:t>
      </w:r>
      <w:r>
        <w:rPr>
          <w:rFonts w:hint="eastAsia" w:ascii="Times New Roman" w:hAnsi="仿宋_GB2312" w:eastAsia="仿宋_GB2312"/>
          <w:color w:val="auto"/>
          <w:sz w:val="30"/>
          <w:szCs w:val="30"/>
          <w:lang w:val="en-US" w:eastAsia="zh-CN"/>
        </w:rPr>
        <w:t>方式采购。</w:t>
      </w:r>
    </w:p>
    <w:p>
      <w:pPr>
        <w:pStyle w:val="21"/>
        <w:keepNext w:val="0"/>
        <w:keepLines w:val="0"/>
        <w:pageBreakBefore w:val="0"/>
        <w:numPr>
          <w:ilvl w:val="0"/>
          <w:numId w:val="1"/>
        </w:numPr>
        <w:kinsoku/>
        <w:wordWrap/>
        <w:overflowPunct/>
        <w:topLinePunct w:val="0"/>
        <w:autoSpaceDE/>
        <w:autoSpaceDN/>
        <w:bidi w:val="0"/>
        <w:snapToGrid/>
        <w:spacing w:line="480" w:lineRule="exact"/>
        <w:ind w:firstLine="602" w:firstLineChars="200"/>
        <w:textAlignment w:val="auto"/>
        <w:rPr>
          <w:rFonts w:ascii="仿宋" w:hAnsi="仿宋" w:eastAsia="仿宋"/>
          <w:b/>
          <w:bCs/>
          <w:color w:val="auto"/>
          <w:sz w:val="30"/>
          <w:szCs w:val="30"/>
        </w:rPr>
      </w:pPr>
      <w:r>
        <w:rPr>
          <w:rFonts w:hint="eastAsia" w:ascii="仿宋" w:hAnsi="仿宋" w:eastAsia="仿宋"/>
          <w:b/>
          <w:bCs/>
          <w:color w:val="auto"/>
          <w:sz w:val="30"/>
          <w:szCs w:val="30"/>
        </w:rPr>
        <w:t>项目管理和服务要求</w:t>
      </w:r>
    </w:p>
    <w:p>
      <w:pPr>
        <w:pStyle w:val="21"/>
        <w:keepNext w:val="0"/>
        <w:keepLines w:val="0"/>
        <w:pageBreakBefore w:val="0"/>
        <w:numPr>
          <w:ilvl w:val="0"/>
          <w:numId w:val="2"/>
        </w:numPr>
        <w:kinsoku/>
        <w:wordWrap/>
        <w:overflowPunct/>
        <w:topLinePunct w:val="0"/>
        <w:autoSpaceDE/>
        <w:autoSpaceDN/>
        <w:bidi w:val="0"/>
        <w:adjustRightInd w:val="0"/>
        <w:snapToGrid/>
        <w:spacing w:line="480" w:lineRule="exact"/>
        <w:ind w:firstLine="600" w:firstLineChars="200"/>
        <w:textAlignment w:val="auto"/>
        <w:rPr>
          <w:rFonts w:ascii="Times New Roman" w:hAnsi="仿宋_GB2312" w:eastAsia="仿宋_GB2312"/>
          <w:color w:val="auto"/>
          <w:sz w:val="30"/>
          <w:szCs w:val="30"/>
        </w:rPr>
      </w:pPr>
      <w:r>
        <w:rPr>
          <w:rFonts w:hint="eastAsia" w:ascii="Times New Roman" w:hAnsi="仿宋_GB2312" w:eastAsia="仿宋_GB2312"/>
          <w:color w:val="auto"/>
          <w:sz w:val="30"/>
          <w:szCs w:val="30"/>
        </w:rPr>
        <w:t>项目管理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ascii="Times New Roman" w:hAnsi="仿宋_GB2312" w:eastAsia="仿宋_GB2312"/>
          <w:color w:val="auto"/>
          <w:sz w:val="30"/>
          <w:szCs w:val="30"/>
        </w:rPr>
      </w:pPr>
      <w:r>
        <w:rPr>
          <w:rFonts w:hint="eastAsia" w:ascii="Times New Roman" w:hAnsi="仿宋_GB2312" w:eastAsia="仿宋_GB2312"/>
          <w:color w:val="auto"/>
          <w:sz w:val="30"/>
          <w:szCs w:val="30"/>
          <w:lang w:val="en-US" w:eastAsia="zh-CN"/>
        </w:rPr>
        <w:t>1.</w:t>
      </w:r>
      <w:r>
        <w:rPr>
          <w:rFonts w:hint="eastAsia" w:ascii="Times New Roman" w:hAnsi="仿宋_GB2312" w:eastAsia="仿宋_GB2312"/>
          <w:color w:val="auto"/>
          <w:sz w:val="30"/>
          <w:szCs w:val="30"/>
        </w:rPr>
        <w:t>参加本项目的项目组成员应熟悉我市</w:t>
      </w:r>
      <w:r>
        <w:rPr>
          <w:rFonts w:hint="eastAsia" w:ascii="Times New Roman" w:hAnsi="仿宋_GB2312" w:eastAsia="仿宋_GB2312"/>
          <w:color w:val="auto"/>
          <w:sz w:val="30"/>
          <w:szCs w:val="30"/>
          <w:lang w:eastAsia="zh-CN"/>
        </w:rPr>
        <w:t>龙岗区</w:t>
      </w:r>
      <w:r>
        <w:rPr>
          <w:rFonts w:hint="eastAsia" w:ascii="Times New Roman" w:hAnsi="仿宋_GB2312" w:eastAsia="仿宋_GB2312"/>
          <w:color w:val="auto"/>
          <w:sz w:val="30"/>
          <w:szCs w:val="30"/>
        </w:rPr>
        <w:t>地质环境、地质灾害防治相关政策等相关情况，项目团队成员不少于5人（包含项目负责人），项目负责人应具有高级工程师或以上职称。</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ascii="Times New Roman" w:hAnsi="仿宋_GB2312" w:eastAsia="仿宋_GB2312"/>
          <w:color w:val="auto"/>
          <w:sz w:val="30"/>
          <w:szCs w:val="30"/>
        </w:rPr>
      </w:pPr>
      <w:r>
        <w:rPr>
          <w:rFonts w:hint="eastAsia" w:ascii="Times New Roman" w:hAnsi="仿宋_GB2312" w:eastAsia="仿宋_GB2312"/>
          <w:color w:val="auto"/>
          <w:sz w:val="30"/>
          <w:szCs w:val="30"/>
          <w:lang w:val="en-US" w:eastAsia="zh-CN"/>
        </w:rPr>
        <w:t>2.</w:t>
      </w:r>
      <w:r>
        <w:rPr>
          <w:rFonts w:hint="eastAsia" w:ascii="Times New Roman" w:hAnsi="仿宋_GB2312" w:eastAsia="仿宋_GB2312"/>
          <w:color w:val="auto"/>
          <w:sz w:val="30"/>
          <w:szCs w:val="30"/>
        </w:rPr>
        <w:t>在投标文件中列出的参与人员名单、项目参与时间，在项目实施过程中不能随意更换，如确需更换，必须得到采购方的同意。</w:t>
      </w:r>
    </w:p>
    <w:p>
      <w:pPr>
        <w:pStyle w:val="21"/>
        <w:keepNext w:val="0"/>
        <w:keepLines w:val="0"/>
        <w:pageBreakBefore w:val="0"/>
        <w:numPr>
          <w:ilvl w:val="0"/>
          <w:numId w:val="2"/>
        </w:numPr>
        <w:kinsoku/>
        <w:wordWrap/>
        <w:overflowPunct/>
        <w:topLinePunct w:val="0"/>
        <w:autoSpaceDE/>
        <w:autoSpaceDN/>
        <w:bidi w:val="0"/>
        <w:snapToGrid/>
        <w:spacing w:line="480" w:lineRule="exact"/>
        <w:ind w:firstLine="600" w:firstLineChars="200"/>
        <w:textAlignment w:val="auto"/>
        <w:rPr>
          <w:rFonts w:hint="eastAsia" w:ascii="Times New Roman" w:hAnsi="仿宋_GB2312" w:eastAsia="仿宋_GB2312" w:cstheme="minorBidi"/>
          <w:color w:val="auto"/>
          <w:kern w:val="2"/>
          <w:sz w:val="30"/>
          <w:szCs w:val="30"/>
          <w:lang w:val="en-US" w:eastAsia="zh-CN" w:bidi="ar-SA"/>
        </w:rPr>
      </w:pPr>
      <w:r>
        <w:rPr>
          <w:rFonts w:hint="eastAsia" w:ascii="Times New Roman" w:hAnsi="仿宋_GB2312" w:eastAsia="仿宋_GB2312" w:cstheme="minorBidi"/>
          <w:color w:val="auto"/>
          <w:kern w:val="2"/>
          <w:sz w:val="30"/>
          <w:szCs w:val="30"/>
          <w:lang w:val="en-US" w:eastAsia="zh-CN" w:bidi="ar-SA"/>
        </w:rPr>
        <w:t>服务要求</w:t>
      </w:r>
    </w:p>
    <w:p>
      <w:pPr>
        <w:pStyle w:val="21"/>
        <w:keepNext w:val="0"/>
        <w:keepLines w:val="0"/>
        <w:pageBreakBefore w:val="0"/>
        <w:kinsoku/>
        <w:wordWrap/>
        <w:overflowPunct/>
        <w:topLinePunct w:val="0"/>
        <w:autoSpaceDE/>
        <w:autoSpaceDN/>
        <w:bidi w:val="0"/>
        <w:snapToGrid/>
        <w:spacing w:line="480" w:lineRule="exact"/>
        <w:ind w:firstLine="600" w:firstLineChars="200"/>
        <w:textAlignment w:val="auto"/>
        <w:rPr>
          <w:rFonts w:hint="eastAsia" w:ascii="Times New Roman" w:hAnsi="仿宋_GB2312" w:eastAsia="仿宋_GB2312" w:cstheme="minorBidi"/>
          <w:color w:val="auto"/>
          <w:kern w:val="2"/>
          <w:sz w:val="30"/>
          <w:szCs w:val="30"/>
          <w:lang w:val="en-US" w:eastAsia="zh-CN" w:bidi="ar-SA"/>
        </w:rPr>
      </w:pPr>
      <w:r>
        <w:rPr>
          <w:rFonts w:hint="eastAsia" w:ascii="Times New Roman" w:hAnsi="仿宋_GB2312" w:eastAsia="仿宋_GB2312" w:cstheme="minorBidi"/>
          <w:color w:val="auto"/>
          <w:kern w:val="2"/>
          <w:sz w:val="30"/>
          <w:szCs w:val="30"/>
          <w:lang w:val="en-US" w:eastAsia="zh-CN" w:bidi="ar-SA"/>
        </w:rPr>
        <w:t>1.中标方需按采购方的招标技术及时间要求完成相应工作；成果全部提交后，采购方将对中标方进行项目成果验收。</w:t>
      </w:r>
    </w:p>
    <w:p>
      <w:pPr>
        <w:pStyle w:val="21"/>
        <w:keepNext w:val="0"/>
        <w:keepLines w:val="0"/>
        <w:pageBreakBefore w:val="0"/>
        <w:kinsoku/>
        <w:wordWrap/>
        <w:overflowPunct/>
        <w:topLinePunct w:val="0"/>
        <w:autoSpaceDE/>
        <w:autoSpaceDN/>
        <w:bidi w:val="0"/>
        <w:snapToGrid/>
        <w:spacing w:line="480" w:lineRule="exact"/>
        <w:ind w:firstLine="600" w:firstLineChars="200"/>
        <w:textAlignment w:val="auto"/>
        <w:rPr>
          <w:rFonts w:hint="eastAsia" w:ascii="Times New Roman" w:hAnsi="仿宋_GB2312" w:eastAsia="仿宋_GB2312" w:cstheme="minorBidi"/>
          <w:color w:val="auto"/>
          <w:kern w:val="2"/>
          <w:sz w:val="30"/>
          <w:szCs w:val="30"/>
          <w:lang w:val="en-US" w:eastAsia="zh-CN" w:bidi="ar-SA"/>
        </w:rPr>
      </w:pPr>
      <w:r>
        <w:rPr>
          <w:rFonts w:hint="eastAsia" w:ascii="Times New Roman" w:hAnsi="仿宋_GB2312" w:eastAsia="仿宋_GB2312" w:cstheme="minorBidi"/>
          <w:color w:val="auto"/>
          <w:kern w:val="2"/>
          <w:sz w:val="30"/>
          <w:szCs w:val="30"/>
          <w:lang w:val="en-US" w:eastAsia="zh-CN" w:bidi="ar-SA"/>
        </w:rPr>
        <w:t>2.成果内容</w:t>
      </w:r>
    </w:p>
    <w:p>
      <w:pPr>
        <w:pStyle w:val="21"/>
        <w:keepNext w:val="0"/>
        <w:keepLines w:val="0"/>
        <w:pageBreakBefore w:val="0"/>
        <w:kinsoku/>
        <w:wordWrap/>
        <w:overflowPunct/>
        <w:topLinePunct w:val="0"/>
        <w:autoSpaceDE/>
        <w:autoSpaceDN/>
        <w:bidi w:val="0"/>
        <w:snapToGrid/>
        <w:spacing w:line="480" w:lineRule="exact"/>
        <w:ind w:firstLine="600" w:firstLineChars="200"/>
        <w:textAlignment w:val="auto"/>
        <w:rPr>
          <w:rFonts w:hint="eastAsia" w:ascii="Times New Roman" w:hAnsi="仿宋_GB2312" w:eastAsia="仿宋_GB2312" w:cstheme="minorBidi"/>
          <w:color w:val="auto"/>
          <w:kern w:val="2"/>
          <w:sz w:val="30"/>
          <w:szCs w:val="30"/>
          <w:lang w:val="en-US" w:eastAsia="zh-CN" w:bidi="ar-SA"/>
        </w:rPr>
      </w:pPr>
      <w:r>
        <w:rPr>
          <w:rFonts w:hint="eastAsia" w:ascii="Times New Roman" w:hAnsi="仿宋_GB2312" w:eastAsia="仿宋_GB2312" w:cstheme="minorBidi"/>
          <w:color w:val="auto"/>
          <w:kern w:val="2"/>
          <w:sz w:val="30"/>
          <w:szCs w:val="30"/>
          <w:lang w:val="en-US" w:eastAsia="zh-CN" w:bidi="ar-SA"/>
        </w:rPr>
        <w:t>深圳市龙岗区2026年在建工程岩溶地面塌陷隐患动态评估报告。</w:t>
      </w:r>
    </w:p>
    <w:p>
      <w:pPr>
        <w:adjustRightInd w:val="0"/>
        <w:spacing w:line="360" w:lineRule="auto"/>
        <w:ind w:firstLine="600" w:firstLineChars="200"/>
        <w:textAlignment w:val="baseline"/>
        <w:rPr>
          <w:rFonts w:hint="eastAsia" w:ascii="Times New Roman" w:hAnsi="仿宋_GB2312" w:eastAsia="仿宋_GB2312" w:cstheme="minorBidi"/>
          <w:color w:val="auto"/>
          <w:kern w:val="2"/>
          <w:sz w:val="30"/>
          <w:szCs w:val="30"/>
          <w:lang w:val="en-US" w:eastAsia="zh-CN" w:bidi="ar-SA"/>
        </w:rPr>
      </w:pPr>
      <w:r>
        <w:rPr>
          <w:rFonts w:hint="eastAsia" w:ascii="Times New Roman" w:hAnsi="仿宋_GB2312" w:eastAsia="仿宋_GB2312" w:cstheme="minorBidi"/>
          <w:color w:val="auto"/>
          <w:kern w:val="2"/>
          <w:sz w:val="30"/>
          <w:szCs w:val="30"/>
          <w:lang w:val="en-US" w:eastAsia="zh-CN" w:bidi="ar-SA"/>
        </w:rPr>
        <w:t>3.成果形式：纸质成果报告4份，电子光盘1张。</w:t>
      </w:r>
    </w:p>
    <w:p>
      <w:pPr>
        <w:adjustRightInd w:val="0"/>
        <w:spacing w:line="360" w:lineRule="auto"/>
        <w:ind w:firstLine="600" w:firstLineChars="200"/>
        <w:textAlignment w:val="baseline"/>
        <w:rPr>
          <w:rFonts w:hint="eastAsia" w:ascii="Times New Roman" w:hAnsi="仿宋_GB2312" w:eastAsia="仿宋_GB2312" w:cstheme="minorBidi"/>
          <w:color w:val="auto"/>
          <w:kern w:val="2"/>
          <w:sz w:val="30"/>
          <w:szCs w:val="30"/>
          <w:lang w:val="en-US" w:eastAsia="zh-CN" w:bidi="ar-SA"/>
        </w:rPr>
      </w:pPr>
      <w:r>
        <w:rPr>
          <w:rFonts w:hint="eastAsia" w:ascii="Times New Roman" w:hAnsi="仿宋_GB2312" w:eastAsia="仿宋_GB2312" w:cstheme="minorBidi"/>
          <w:color w:val="auto"/>
          <w:kern w:val="2"/>
          <w:sz w:val="30"/>
          <w:szCs w:val="30"/>
          <w:lang w:val="en-US" w:eastAsia="zh-CN" w:bidi="ar-SA"/>
        </w:rPr>
        <w:t>4.项目进度安排：</w:t>
      </w:r>
    </w:p>
    <w:tbl>
      <w:tblPr>
        <w:tblStyle w:val="16"/>
        <w:tblW w:w="8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818"/>
        <w:gridCol w:w="1200"/>
        <w:gridCol w:w="2614"/>
        <w:gridCol w:w="1492"/>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noWrap w:val="0"/>
            <w:vAlign w:val="center"/>
          </w:tcPr>
          <w:p>
            <w:pPr>
              <w:jc w:val="center"/>
              <w:rPr>
                <w:rFonts w:hint="eastAsia" w:ascii="Calibri" w:hAnsi="Calibri"/>
                <w:b/>
                <w:bCs/>
                <w:color w:val="auto"/>
              </w:rPr>
            </w:pPr>
            <w:r>
              <w:rPr>
                <w:rFonts w:hint="eastAsia" w:ascii="Calibri" w:hAnsi="Calibri"/>
                <w:b/>
                <w:bCs/>
                <w:color w:val="auto"/>
              </w:rPr>
              <w:t>序号</w:t>
            </w:r>
          </w:p>
        </w:tc>
        <w:tc>
          <w:tcPr>
            <w:tcW w:w="818" w:type="dxa"/>
            <w:noWrap w:val="0"/>
            <w:vAlign w:val="center"/>
          </w:tcPr>
          <w:p>
            <w:pPr>
              <w:jc w:val="center"/>
              <w:rPr>
                <w:rFonts w:hint="eastAsia" w:ascii="Calibri" w:hAnsi="Calibri"/>
                <w:b/>
                <w:bCs/>
                <w:color w:val="auto"/>
              </w:rPr>
            </w:pPr>
            <w:r>
              <w:rPr>
                <w:rFonts w:hint="eastAsia" w:ascii="Calibri" w:hAnsi="Calibri"/>
                <w:b/>
                <w:bCs/>
                <w:color w:val="auto"/>
              </w:rPr>
              <w:t>工作阶段</w:t>
            </w:r>
          </w:p>
        </w:tc>
        <w:tc>
          <w:tcPr>
            <w:tcW w:w="1200" w:type="dxa"/>
            <w:noWrap w:val="0"/>
            <w:vAlign w:val="center"/>
          </w:tcPr>
          <w:p>
            <w:pPr>
              <w:jc w:val="center"/>
              <w:rPr>
                <w:rFonts w:hint="eastAsia" w:ascii="Calibri" w:hAnsi="Calibri"/>
                <w:b/>
                <w:bCs/>
                <w:color w:val="auto"/>
              </w:rPr>
            </w:pPr>
            <w:r>
              <w:rPr>
                <w:rFonts w:hint="eastAsia" w:ascii="Calibri" w:hAnsi="Calibri"/>
                <w:b/>
                <w:bCs/>
                <w:color w:val="auto"/>
              </w:rPr>
              <w:t>成果构成</w:t>
            </w:r>
          </w:p>
        </w:tc>
        <w:tc>
          <w:tcPr>
            <w:tcW w:w="2614" w:type="dxa"/>
            <w:noWrap w:val="0"/>
            <w:vAlign w:val="center"/>
          </w:tcPr>
          <w:p>
            <w:pPr>
              <w:jc w:val="center"/>
              <w:rPr>
                <w:rFonts w:hint="eastAsia" w:ascii="Calibri" w:hAnsi="Calibri"/>
                <w:b/>
                <w:bCs/>
                <w:color w:val="auto"/>
              </w:rPr>
            </w:pPr>
            <w:r>
              <w:rPr>
                <w:rFonts w:hint="eastAsia" w:ascii="Calibri" w:hAnsi="Calibri"/>
                <w:b/>
                <w:bCs/>
                <w:color w:val="auto"/>
              </w:rPr>
              <w:t>成果要求</w:t>
            </w:r>
          </w:p>
        </w:tc>
        <w:tc>
          <w:tcPr>
            <w:tcW w:w="1492" w:type="dxa"/>
            <w:noWrap w:val="0"/>
            <w:vAlign w:val="center"/>
          </w:tcPr>
          <w:p>
            <w:pPr>
              <w:jc w:val="center"/>
              <w:rPr>
                <w:rFonts w:hint="eastAsia" w:ascii="Calibri" w:hAnsi="Calibri"/>
                <w:b/>
                <w:bCs/>
                <w:color w:val="auto"/>
              </w:rPr>
            </w:pPr>
            <w:r>
              <w:rPr>
                <w:rFonts w:hint="eastAsia" w:ascii="Calibri" w:hAnsi="Calibri"/>
                <w:b/>
                <w:bCs/>
                <w:color w:val="auto"/>
              </w:rPr>
              <w:t>成果提交时间</w:t>
            </w:r>
          </w:p>
        </w:tc>
        <w:tc>
          <w:tcPr>
            <w:tcW w:w="2308" w:type="dxa"/>
            <w:noWrap w:val="0"/>
            <w:vAlign w:val="center"/>
          </w:tcPr>
          <w:p>
            <w:pPr>
              <w:jc w:val="center"/>
              <w:rPr>
                <w:rFonts w:hint="eastAsia" w:ascii="Calibri" w:hAnsi="Calibri"/>
                <w:b/>
                <w:bCs/>
                <w:color w:val="auto"/>
              </w:rPr>
            </w:pPr>
            <w:r>
              <w:rPr>
                <w:rFonts w:hint="eastAsia" w:ascii="Calibri" w:hAnsi="Calibri"/>
                <w:b/>
                <w:bCs/>
                <w:color w:val="auto"/>
              </w:rPr>
              <w:t>成果验收方式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noWrap w:val="0"/>
            <w:vAlign w:val="center"/>
          </w:tcPr>
          <w:p>
            <w:pPr>
              <w:jc w:val="center"/>
              <w:rPr>
                <w:rFonts w:hint="eastAsia" w:ascii="Calibri" w:hAnsi="Calibri"/>
                <w:color w:val="auto"/>
              </w:rPr>
            </w:pPr>
            <w:r>
              <w:rPr>
                <w:rFonts w:hint="eastAsia" w:ascii="Calibri" w:hAnsi="Calibri"/>
                <w:color w:val="auto"/>
              </w:rPr>
              <w:t>1</w:t>
            </w:r>
          </w:p>
        </w:tc>
        <w:tc>
          <w:tcPr>
            <w:tcW w:w="818" w:type="dxa"/>
            <w:noWrap w:val="0"/>
            <w:vAlign w:val="center"/>
          </w:tcPr>
          <w:p>
            <w:pPr>
              <w:jc w:val="center"/>
              <w:rPr>
                <w:rFonts w:hint="eastAsia" w:ascii="Calibri" w:hAnsi="Calibri"/>
                <w:color w:val="auto"/>
              </w:rPr>
            </w:pPr>
            <w:r>
              <w:rPr>
                <w:rFonts w:hint="eastAsia" w:ascii="Calibri" w:hAnsi="Calibri"/>
                <w:color w:val="auto"/>
              </w:rPr>
              <w:t>资料收集</w:t>
            </w:r>
          </w:p>
        </w:tc>
        <w:tc>
          <w:tcPr>
            <w:tcW w:w="1200" w:type="dxa"/>
            <w:noWrap w:val="0"/>
            <w:vAlign w:val="center"/>
          </w:tcPr>
          <w:p>
            <w:pPr>
              <w:jc w:val="center"/>
              <w:rPr>
                <w:rFonts w:hint="eastAsia" w:ascii="Calibri" w:hAnsi="Calibri"/>
                <w:color w:val="auto"/>
              </w:rPr>
            </w:pPr>
            <w:r>
              <w:rPr>
                <w:rFonts w:hint="eastAsia" w:ascii="Calibri" w:hAnsi="Calibri"/>
                <w:color w:val="auto"/>
              </w:rPr>
              <w:t>/</w:t>
            </w:r>
          </w:p>
        </w:tc>
        <w:tc>
          <w:tcPr>
            <w:tcW w:w="2614" w:type="dxa"/>
            <w:noWrap w:val="0"/>
            <w:vAlign w:val="center"/>
          </w:tcPr>
          <w:p>
            <w:pPr>
              <w:jc w:val="center"/>
              <w:rPr>
                <w:rFonts w:hint="eastAsia" w:ascii="Calibri" w:hAnsi="Calibri"/>
                <w:color w:val="auto"/>
              </w:rPr>
            </w:pPr>
            <w:r>
              <w:rPr>
                <w:rFonts w:hint="eastAsia" w:ascii="Calibri" w:hAnsi="Calibri"/>
                <w:color w:val="auto"/>
              </w:rPr>
              <w:t>/</w:t>
            </w:r>
          </w:p>
        </w:tc>
        <w:tc>
          <w:tcPr>
            <w:tcW w:w="1492" w:type="dxa"/>
            <w:noWrap w:val="0"/>
            <w:vAlign w:val="center"/>
          </w:tcPr>
          <w:p>
            <w:pPr>
              <w:jc w:val="center"/>
              <w:rPr>
                <w:rFonts w:hint="eastAsia" w:ascii="Calibri" w:hAnsi="Calibri"/>
                <w:color w:val="auto"/>
              </w:rPr>
            </w:pPr>
            <w:r>
              <w:rPr>
                <w:rFonts w:hint="eastAsia" w:ascii="Calibri" w:hAnsi="Calibri"/>
                <w:color w:val="auto"/>
                <w:lang w:eastAsia="zh-CN"/>
              </w:rPr>
              <w:t>2026</w:t>
            </w:r>
            <w:r>
              <w:rPr>
                <w:rFonts w:hint="eastAsia" w:ascii="Calibri" w:hAnsi="Calibri"/>
                <w:color w:val="auto"/>
              </w:rPr>
              <w:t>年3月31日前</w:t>
            </w:r>
          </w:p>
        </w:tc>
        <w:tc>
          <w:tcPr>
            <w:tcW w:w="2308" w:type="dxa"/>
            <w:noWrap w:val="0"/>
            <w:vAlign w:val="center"/>
          </w:tcPr>
          <w:p>
            <w:pPr>
              <w:jc w:val="center"/>
              <w:rPr>
                <w:rFonts w:hint="eastAsia" w:ascii="Calibri" w:hAnsi="Calibri"/>
                <w:color w:val="auto"/>
              </w:rPr>
            </w:pPr>
            <w:r>
              <w:rPr>
                <w:rFonts w:hint="eastAsia" w:ascii="Calibri" w:hAnsi="Calibri"/>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noWrap w:val="0"/>
            <w:vAlign w:val="center"/>
          </w:tcPr>
          <w:p>
            <w:pPr>
              <w:jc w:val="center"/>
              <w:rPr>
                <w:rFonts w:hint="eastAsia" w:ascii="Calibri" w:hAnsi="Calibri" w:eastAsiaTheme="minorEastAsia"/>
                <w:color w:val="auto"/>
                <w:lang w:eastAsia="zh-CN"/>
              </w:rPr>
            </w:pPr>
            <w:r>
              <w:rPr>
                <w:rFonts w:hint="eastAsia" w:ascii="Calibri" w:hAnsi="Calibri"/>
                <w:color w:val="auto"/>
                <w:lang w:val="en-US" w:eastAsia="zh-CN"/>
              </w:rPr>
              <w:t>2</w:t>
            </w:r>
          </w:p>
        </w:tc>
        <w:tc>
          <w:tcPr>
            <w:tcW w:w="818" w:type="dxa"/>
            <w:noWrap w:val="0"/>
            <w:vAlign w:val="center"/>
          </w:tcPr>
          <w:p>
            <w:pPr>
              <w:jc w:val="center"/>
              <w:rPr>
                <w:rFonts w:hint="eastAsia" w:ascii="Calibri" w:hAnsi="Calibri"/>
                <w:color w:val="auto"/>
              </w:rPr>
            </w:pPr>
            <w:r>
              <w:rPr>
                <w:rFonts w:hint="eastAsia" w:ascii="Calibri" w:hAnsi="Calibri"/>
                <w:color w:val="auto"/>
              </w:rPr>
              <w:t>第二阶段</w:t>
            </w:r>
          </w:p>
        </w:tc>
        <w:tc>
          <w:tcPr>
            <w:tcW w:w="1200" w:type="dxa"/>
            <w:noWrap w:val="0"/>
            <w:vAlign w:val="center"/>
          </w:tcPr>
          <w:p>
            <w:pPr>
              <w:jc w:val="center"/>
              <w:rPr>
                <w:rFonts w:hint="eastAsia" w:ascii="Calibri" w:hAnsi="Calibri"/>
                <w:color w:val="auto"/>
              </w:rPr>
            </w:pPr>
            <w:r>
              <w:rPr>
                <w:rFonts w:hint="eastAsia" w:ascii="Calibri" w:hAnsi="Calibri"/>
                <w:color w:val="auto"/>
              </w:rPr>
              <w:t>中期成果</w:t>
            </w:r>
          </w:p>
        </w:tc>
        <w:tc>
          <w:tcPr>
            <w:tcW w:w="2614" w:type="dxa"/>
            <w:noWrap w:val="0"/>
            <w:vAlign w:val="center"/>
          </w:tcPr>
          <w:p>
            <w:pPr>
              <w:jc w:val="center"/>
              <w:rPr>
                <w:rFonts w:hint="eastAsia" w:ascii="Calibri" w:hAnsi="Calibri"/>
                <w:color w:val="auto"/>
              </w:rPr>
            </w:pPr>
            <w:r>
              <w:rPr>
                <w:rFonts w:hint="eastAsia" w:ascii="Calibri" w:hAnsi="Calibri"/>
                <w:color w:val="auto"/>
              </w:rPr>
              <w:t>中标方完成合计30个岩溶环境工作区的评估工作，并提交《深圳市龙岗区</w:t>
            </w:r>
            <w:r>
              <w:rPr>
                <w:rFonts w:hint="eastAsia" w:ascii="Calibri" w:hAnsi="Calibri"/>
                <w:color w:val="auto"/>
                <w:lang w:eastAsia="zh-CN"/>
              </w:rPr>
              <w:t>2026</w:t>
            </w:r>
            <w:r>
              <w:rPr>
                <w:rFonts w:hint="eastAsia" w:ascii="Calibri" w:hAnsi="Calibri"/>
                <w:color w:val="auto"/>
              </w:rPr>
              <w:t>年在建工程岩溶地面塌陷隐患动态评估报告》（中期成果）</w:t>
            </w:r>
          </w:p>
        </w:tc>
        <w:tc>
          <w:tcPr>
            <w:tcW w:w="1492" w:type="dxa"/>
            <w:noWrap w:val="0"/>
            <w:vAlign w:val="center"/>
          </w:tcPr>
          <w:p>
            <w:pPr>
              <w:jc w:val="center"/>
              <w:rPr>
                <w:rFonts w:hint="eastAsia" w:ascii="Calibri" w:hAnsi="Calibri"/>
                <w:color w:val="auto"/>
              </w:rPr>
            </w:pPr>
            <w:r>
              <w:rPr>
                <w:rFonts w:hint="eastAsia" w:ascii="Calibri" w:hAnsi="Calibri"/>
                <w:color w:val="auto"/>
                <w:lang w:val="en-US" w:eastAsia="zh-CN"/>
              </w:rPr>
              <w:t>6个月内</w:t>
            </w:r>
          </w:p>
        </w:tc>
        <w:tc>
          <w:tcPr>
            <w:tcW w:w="2308" w:type="dxa"/>
            <w:noWrap w:val="0"/>
            <w:vAlign w:val="center"/>
          </w:tcPr>
          <w:p>
            <w:pPr>
              <w:jc w:val="center"/>
              <w:rPr>
                <w:rFonts w:hint="eastAsia" w:ascii="Calibri" w:hAnsi="Calibri"/>
                <w:color w:val="auto"/>
              </w:rPr>
            </w:pPr>
            <w:r>
              <w:rPr>
                <w:rFonts w:hint="eastAsia" w:ascii="Calibri" w:hAnsi="Calibri"/>
                <w:color w:val="auto"/>
              </w:rPr>
              <w:t>采购方审查通过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noWrap w:val="0"/>
            <w:vAlign w:val="center"/>
          </w:tcPr>
          <w:p>
            <w:pPr>
              <w:jc w:val="center"/>
              <w:rPr>
                <w:rFonts w:hint="eastAsia" w:ascii="Calibri" w:hAnsi="Calibri" w:eastAsiaTheme="minorEastAsia"/>
                <w:color w:val="auto"/>
                <w:lang w:eastAsia="zh-CN"/>
              </w:rPr>
            </w:pPr>
            <w:r>
              <w:rPr>
                <w:rFonts w:hint="eastAsia" w:ascii="Calibri" w:hAnsi="Calibri"/>
                <w:color w:val="auto"/>
                <w:lang w:val="en-US" w:eastAsia="zh-CN"/>
              </w:rPr>
              <w:t>3</w:t>
            </w:r>
          </w:p>
        </w:tc>
        <w:tc>
          <w:tcPr>
            <w:tcW w:w="818" w:type="dxa"/>
            <w:noWrap w:val="0"/>
            <w:vAlign w:val="center"/>
          </w:tcPr>
          <w:p>
            <w:pPr>
              <w:jc w:val="center"/>
              <w:rPr>
                <w:rFonts w:hint="eastAsia" w:ascii="Calibri" w:hAnsi="Calibri"/>
                <w:color w:val="auto"/>
              </w:rPr>
            </w:pPr>
            <w:r>
              <w:rPr>
                <w:rFonts w:hint="eastAsia" w:ascii="Calibri" w:hAnsi="Calibri"/>
                <w:color w:val="auto"/>
              </w:rPr>
              <w:t>最终</w:t>
            </w:r>
          </w:p>
        </w:tc>
        <w:tc>
          <w:tcPr>
            <w:tcW w:w="1200" w:type="dxa"/>
            <w:noWrap w:val="0"/>
            <w:vAlign w:val="center"/>
          </w:tcPr>
          <w:p>
            <w:pPr>
              <w:jc w:val="center"/>
              <w:rPr>
                <w:rFonts w:hint="eastAsia" w:ascii="Calibri" w:hAnsi="Calibri"/>
                <w:color w:val="auto"/>
              </w:rPr>
            </w:pPr>
            <w:r>
              <w:rPr>
                <w:rFonts w:hint="eastAsia" w:ascii="Calibri" w:hAnsi="Calibri"/>
                <w:color w:val="auto"/>
              </w:rPr>
              <w:t>正式成果</w:t>
            </w:r>
          </w:p>
        </w:tc>
        <w:tc>
          <w:tcPr>
            <w:tcW w:w="2614" w:type="dxa"/>
            <w:noWrap w:val="0"/>
            <w:vAlign w:val="center"/>
          </w:tcPr>
          <w:p>
            <w:pPr>
              <w:jc w:val="center"/>
              <w:rPr>
                <w:rFonts w:hint="eastAsia" w:ascii="Calibri" w:hAnsi="Calibri"/>
                <w:color w:val="auto"/>
              </w:rPr>
            </w:pPr>
            <w:r>
              <w:rPr>
                <w:rFonts w:hint="eastAsia" w:ascii="Calibri" w:hAnsi="Calibri"/>
                <w:color w:val="auto"/>
              </w:rPr>
              <w:t>中标方完成合计40个岩溶环境工作区的评估工作，并提交《深圳市龙岗区</w:t>
            </w:r>
            <w:r>
              <w:rPr>
                <w:rFonts w:hint="eastAsia" w:ascii="Calibri" w:hAnsi="Calibri"/>
                <w:color w:val="auto"/>
                <w:lang w:eastAsia="zh-CN"/>
              </w:rPr>
              <w:t>2026</w:t>
            </w:r>
            <w:r>
              <w:rPr>
                <w:rFonts w:hint="eastAsia" w:ascii="Calibri" w:hAnsi="Calibri"/>
                <w:color w:val="auto"/>
              </w:rPr>
              <w:t>年在建工程岩溶地面塌陷隐患动态评估报告》</w:t>
            </w:r>
          </w:p>
        </w:tc>
        <w:tc>
          <w:tcPr>
            <w:tcW w:w="1492" w:type="dxa"/>
            <w:noWrap w:val="0"/>
            <w:vAlign w:val="center"/>
          </w:tcPr>
          <w:p>
            <w:pPr>
              <w:jc w:val="center"/>
              <w:rPr>
                <w:rFonts w:hint="eastAsia" w:ascii="Calibri" w:hAnsi="Calibri"/>
                <w:color w:val="auto"/>
              </w:rPr>
            </w:pPr>
            <w:r>
              <w:rPr>
                <w:rFonts w:hint="eastAsia" w:ascii="Calibri" w:hAnsi="Calibri"/>
                <w:color w:val="auto"/>
                <w:lang w:val="en-US" w:eastAsia="zh-CN"/>
              </w:rPr>
              <w:t>8个月内</w:t>
            </w:r>
          </w:p>
        </w:tc>
        <w:tc>
          <w:tcPr>
            <w:tcW w:w="2308" w:type="dxa"/>
            <w:noWrap w:val="0"/>
            <w:vAlign w:val="center"/>
          </w:tcPr>
          <w:p>
            <w:pPr>
              <w:jc w:val="center"/>
              <w:rPr>
                <w:rFonts w:hint="eastAsia" w:ascii="Calibri" w:hAnsi="Calibri"/>
                <w:color w:val="auto"/>
              </w:rPr>
            </w:pPr>
            <w:r>
              <w:rPr>
                <w:rFonts w:hint="eastAsia" w:ascii="Calibri" w:hAnsi="Calibri"/>
                <w:color w:val="auto"/>
              </w:rPr>
              <w:t>采购方审议通过</w:t>
            </w:r>
          </w:p>
        </w:tc>
      </w:tr>
    </w:tbl>
    <w:p>
      <w:pPr>
        <w:pStyle w:val="21"/>
        <w:keepNext w:val="0"/>
        <w:keepLines w:val="0"/>
        <w:pageBreakBefore w:val="0"/>
        <w:kinsoku/>
        <w:wordWrap/>
        <w:overflowPunct/>
        <w:topLinePunct w:val="0"/>
        <w:autoSpaceDE/>
        <w:autoSpaceDN/>
        <w:bidi w:val="0"/>
        <w:snapToGrid/>
        <w:spacing w:line="480" w:lineRule="exact"/>
        <w:ind w:firstLine="600" w:firstLineChars="200"/>
        <w:textAlignment w:val="auto"/>
        <w:rPr>
          <w:rFonts w:hint="eastAsia" w:ascii="Times New Roman" w:hAnsi="仿宋_GB2312" w:eastAsia="仿宋_GB2312" w:cstheme="minorBidi"/>
          <w:color w:val="auto"/>
          <w:kern w:val="2"/>
          <w:sz w:val="30"/>
          <w:szCs w:val="30"/>
          <w:lang w:val="en-US" w:eastAsia="zh-CN" w:bidi="ar-SA"/>
        </w:rPr>
      </w:pPr>
    </w:p>
    <w:p>
      <w:pPr>
        <w:pStyle w:val="21"/>
        <w:keepNext w:val="0"/>
        <w:keepLines w:val="0"/>
        <w:pageBreakBefore w:val="0"/>
        <w:kinsoku/>
        <w:wordWrap/>
        <w:overflowPunct/>
        <w:topLinePunct w:val="0"/>
        <w:autoSpaceDE/>
        <w:autoSpaceDN/>
        <w:bidi w:val="0"/>
        <w:snapToGrid/>
        <w:spacing w:line="480" w:lineRule="exact"/>
        <w:ind w:firstLine="602" w:firstLineChars="200"/>
        <w:textAlignment w:val="auto"/>
        <w:rPr>
          <w:rFonts w:ascii="仿宋" w:hAnsi="仿宋" w:eastAsia="仿宋"/>
          <w:b/>
          <w:bCs/>
          <w:color w:val="auto"/>
          <w:sz w:val="30"/>
          <w:szCs w:val="30"/>
        </w:rPr>
      </w:pPr>
      <w:r>
        <w:rPr>
          <w:rFonts w:hint="eastAsia" w:ascii="仿宋" w:hAnsi="仿宋" w:eastAsia="仿宋"/>
          <w:b/>
          <w:bCs/>
          <w:color w:val="auto"/>
          <w:sz w:val="30"/>
          <w:szCs w:val="30"/>
        </w:rPr>
        <w:t>三、供应商资格要求</w:t>
      </w:r>
    </w:p>
    <w:p>
      <w:pPr>
        <w:pStyle w:val="21"/>
        <w:keepNext w:val="0"/>
        <w:keepLines w:val="0"/>
        <w:pageBreakBefore w:val="0"/>
        <w:kinsoku/>
        <w:wordWrap/>
        <w:overflowPunct/>
        <w:topLinePunct w:val="0"/>
        <w:autoSpaceDE/>
        <w:autoSpaceDN/>
        <w:bidi w:val="0"/>
        <w:snapToGrid/>
        <w:spacing w:line="480" w:lineRule="exact"/>
        <w:ind w:firstLine="600" w:firstLineChars="200"/>
        <w:textAlignment w:val="auto"/>
        <w:rPr>
          <w:rFonts w:hint="eastAsia" w:ascii="Times New Roman" w:hAnsi="仿宋_GB2312" w:eastAsia="仿宋_GB2312" w:cstheme="minorBidi"/>
          <w:color w:val="auto"/>
          <w:kern w:val="2"/>
          <w:sz w:val="30"/>
          <w:szCs w:val="30"/>
          <w:lang w:val="en-US" w:eastAsia="zh-CN" w:bidi="ar-SA"/>
        </w:rPr>
      </w:pPr>
      <w:r>
        <w:rPr>
          <w:rFonts w:hint="eastAsia" w:ascii="Times New Roman" w:hAnsi="仿宋_GB2312" w:eastAsia="仿宋_GB2312" w:cstheme="minorBidi"/>
          <w:color w:val="auto"/>
          <w:kern w:val="2"/>
          <w:sz w:val="30"/>
          <w:szCs w:val="30"/>
          <w:lang w:val="en-US" w:eastAsia="zh-CN" w:bidi="ar-SA"/>
        </w:rPr>
        <w:t>（一）投标人必须是在中华人民共和国境内注册的具有合法经营资格的国内独立法人；</w:t>
      </w:r>
    </w:p>
    <w:p>
      <w:pPr>
        <w:pStyle w:val="21"/>
        <w:keepNext w:val="0"/>
        <w:keepLines w:val="0"/>
        <w:pageBreakBefore w:val="0"/>
        <w:kinsoku/>
        <w:wordWrap/>
        <w:overflowPunct/>
        <w:topLinePunct w:val="0"/>
        <w:autoSpaceDE/>
        <w:autoSpaceDN/>
        <w:bidi w:val="0"/>
        <w:snapToGrid/>
        <w:spacing w:line="480" w:lineRule="exact"/>
        <w:ind w:firstLine="600" w:firstLineChars="200"/>
        <w:textAlignment w:val="auto"/>
        <w:rPr>
          <w:rFonts w:hint="eastAsia" w:ascii="Times New Roman" w:hAnsi="仿宋_GB2312" w:eastAsia="仿宋_GB2312" w:cstheme="minorBidi"/>
          <w:color w:val="auto"/>
          <w:kern w:val="2"/>
          <w:sz w:val="30"/>
          <w:szCs w:val="30"/>
          <w:lang w:val="en-US" w:eastAsia="zh-CN" w:bidi="ar-SA"/>
        </w:rPr>
      </w:pPr>
      <w:r>
        <w:rPr>
          <w:rFonts w:hint="eastAsia" w:ascii="Times New Roman" w:hAnsi="仿宋_GB2312" w:eastAsia="仿宋_GB2312" w:cstheme="minorBidi"/>
          <w:color w:val="auto"/>
          <w:kern w:val="2"/>
          <w:sz w:val="30"/>
          <w:szCs w:val="30"/>
          <w:lang w:val="en-US" w:eastAsia="zh-CN" w:bidi="ar-SA"/>
        </w:rPr>
        <w:t>（二）投标人营业执照的业务范围明确有岩溶地质灾害防治研究或岩溶水文地质调查或岩土工程等与本招标项目相关内容；</w:t>
      </w:r>
    </w:p>
    <w:p>
      <w:pPr>
        <w:pStyle w:val="21"/>
        <w:keepNext w:val="0"/>
        <w:keepLines w:val="0"/>
        <w:pageBreakBefore w:val="0"/>
        <w:kinsoku/>
        <w:wordWrap/>
        <w:overflowPunct/>
        <w:topLinePunct w:val="0"/>
        <w:autoSpaceDE/>
        <w:autoSpaceDN/>
        <w:bidi w:val="0"/>
        <w:snapToGrid/>
        <w:spacing w:line="480" w:lineRule="exact"/>
        <w:ind w:firstLine="600" w:firstLineChars="200"/>
        <w:textAlignment w:val="auto"/>
        <w:rPr>
          <w:rFonts w:hint="eastAsia" w:ascii="Times New Roman" w:hAnsi="仿宋_GB2312" w:eastAsia="仿宋_GB2312" w:cstheme="minorBidi"/>
          <w:color w:val="auto"/>
          <w:kern w:val="2"/>
          <w:sz w:val="30"/>
          <w:szCs w:val="30"/>
          <w:lang w:val="en-US" w:eastAsia="zh-CN" w:bidi="ar-SA"/>
        </w:rPr>
      </w:pPr>
      <w:r>
        <w:rPr>
          <w:rFonts w:hint="eastAsia" w:ascii="Times New Roman" w:hAnsi="仿宋_GB2312" w:eastAsia="仿宋_GB2312" w:cstheme="minorBidi"/>
          <w:color w:val="auto"/>
          <w:kern w:val="2"/>
          <w:sz w:val="30"/>
          <w:szCs w:val="30"/>
          <w:lang w:val="en-US" w:eastAsia="zh-CN" w:bidi="ar-SA"/>
        </w:rPr>
        <w:t>（三）本项目不接受联合体投标。</w:t>
      </w:r>
    </w:p>
    <w:p>
      <w:pPr>
        <w:pStyle w:val="21"/>
        <w:spacing w:line="360" w:lineRule="auto"/>
        <w:ind w:firstLine="602" w:firstLineChars="200"/>
        <w:rPr>
          <w:rFonts w:hint="eastAsia" w:ascii="仿宋" w:hAnsi="仿宋" w:eastAsia="仿宋"/>
          <w:b/>
          <w:bCs/>
          <w:color w:val="auto"/>
          <w:sz w:val="30"/>
          <w:szCs w:val="30"/>
        </w:rPr>
      </w:pPr>
      <w:r>
        <w:rPr>
          <w:rFonts w:hint="eastAsia" w:ascii="仿宋" w:hAnsi="仿宋" w:eastAsia="仿宋"/>
          <w:b/>
          <w:bCs/>
          <w:color w:val="auto"/>
          <w:sz w:val="30"/>
          <w:szCs w:val="30"/>
        </w:rPr>
        <w:t>四、评标定标方法</w:t>
      </w:r>
    </w:p>
    <w:p>
      <w:pPr>
        <w:pStyle w:val="21"/>
        <w:spacing w:line="360" w:lineRule="auto"/>
        <w:ind w:firstLine="600" w:firstLineChars="200"/>
        <w:rPr>
          <w:rFonts w:ascii="仿宋" w:hAnsi="仿宋" w:eastAsia="仿宋"/>
          <w:color w:val="auto"/>
          <w:sz w:val="30"/>
          <w:szCs w:val="30"/>
        </w:rPr>
      </w:pPr>
      <w:r>
        <w:rPr>
          <w:rFonts w:hint="eastAsia" w:ascii="仿宋" w:hAnsi="仿宋" w:eastAsia="仿宋"/>
          <w:color w:val="auto"/>
          <w:sz w:val="30"/>
          <w:szCs w:val="30"/>
          <w:lang w:eastAsia="zh-CN"/>
        </w:rPr>
        <w:t>最低评标价</w:t>
      </w:r>
      <w:r>
        <w:rPr>
          <w:rFonts w:hint="eastAsia" w:ascii="仿宋" w:hAnsi="仿宋" w:eastAsia="仿宋"/>
          <w:color w:val="auto"/>
          <w:sz w:val="30"/>
          <w:szCs w:val="30"/>
        </w:rPr>
        <w:t>法。</w:t>
      </w:r>
    </w:p>
    <w:p>
      <w:pPr>
        <w:pStyle w:val="21"/>
        <w:keepNext w:val="0"/>
        <w:keepLines w:val="0"/>
        <w:pageBreakBefore w:val="0"/>
        <w:kinsoku/>
        <w:wordWrap/>
        <w:overflowPunct/>
        <w:topLinePunct w:val="0"/>
        <w:autoSpaceDE/>
        <w:autoSpaceDN/>
        <w:bidi w:val="0"/>
        <w:snapToGrid/>
        <w:spacing w:line="480" w:lineRule="exact"/>
        <w:ind w:firstLine="602" w:firstLineChars="200"/>
        <w:textAlignment w:val="auto"/>
        <w:rPr>
          <w:rFonts w:ascii="仿宋" w:hAnsi="仿宋" w:eastAsia="仿宋"/>
          <w:b/>
          <w:bCs/>
          <w:color w:val="auto"/>
          <w:sz w:val="30"/>
          <w:szCs w:val="30"/>
        </w:rPr>
      </w:pPr>
      <w:r>
        <w:rPr>
          <w:rFonts w:hint="eastAsia" w:ascii="仿宋" w:hAnsi="仿宋" w:eastAsia="仿宋"/>
          <w:b/>
          <w:bCs/>
          <w:color w:val="auto"/>
          <w:sz w:val="30"/>
          <w:szCs w:val="30"/>
        </w:rPr>
        <w:t>五、商务需求</w:t>
      </w:r>
    </w:p>
    <w:p>
      <w:pPr>
        <w:pStyle w:val="21"/>
        <w:keepNext w:val="0"/>
        <w:keepLines w:val="0"/>
        <w:pageBreakBefore w:val="0"/>
        <w:kinsoku/>
        <w:wordWrap/>
        <w:overflowPunct/>
        <w:topLinePunct w:val="0"/>
        <w:autoSpaceDE/>
        <w:autoSpaceDN/>
        <w:bidi w:val="0"/>
        <w:snapToGrid/>
        <w:spacing w:line="480" w:lineRule="exact"/>
        <w:ind w:firstLine="600" w:firstLineChars="200"/>
        <w:textAlignment w:val="auto"/>
        <w:rPr>
          <w:rFonts w:hint="eastAsia" w:ascii="Times New Roman" w:hAnsi="仿宋_GB2312" w:eastAsia="仿宋_GB2312" w:cstheme="minorBidi"/>
          <w:color w:val="auto"/>
          <w:kern w:val="2"/>
          <w:sz w:val="30"/>
          <w:szCs w:val="30"/>
          <w:lang w:val="en-US" w:eastAsia="zh-CN" w:bidi="ar-SA"/>
        </w:rPr>
      </w:pPr>
      <w:r>
        <w:rPr>
          <w:rFonts w:hint="eastAsia" w:ascii="Times New Roman" w:hAnsi="仿宋_GB2312" w:eastAsia="仿宋_GB2312" w:cstheme="minorBidi"/>
          <w:color w:val="auto"/>
          <w:kern w:val="2"/>
          <w:sz w:val="30"/>
          <w:szCs w:val="30"/>
          <w:lang w:val="en-US" w:eastAsia="zh-CN" w:bidi="ar-SA"/>
        </w:rPr>
        <w:t>（一）服务期：自合同签订之日起8个月内完成。</w:t>
      </w:r>
    </w:p>
    <w:p>
      <w:pPr>
        <w:pStyle w:val="21"/>
        <w:keepNext w:val="0"/>
        <w:keepLines w:val="0"/>
        <w:pageBreakBefore w:val="0"/>
        <w:kinsoku/>
        <w:wordWrap/>
        <w:overflowPunct/>
        <w:topLinePunct w:val="0"/>
        <w:autoSpaceDE/>
        <w:autoSpaceDN/>
        <w:bidi w:val="0"/>
        <w:snapToGrid/>
        <w:spacing w:line="480" w:lineRule="exact"/>
        <w:ind w:firstLine="600" w:firstLineChars="200"/>
        <w:textAlignment w:val="auto"/>
        <w:rPr>
          <w:rFonts w:hint="eastAsia" w:ascii="Times New Roman" w:hAnsi="仿宋_GB2312" w:eastAsia="仿宋_GB2312" w:cstheme="minorBidi"/>
          <w:color w:val="auto"/>
          <w:kern w:val="2"/>
          <w:sz w:val="30"/>
          <w:szCs w:val="30"/>
          <w:lang w:val="en-US" w:eastAsia="zh-CN" w:bidi="ar-SA"/>
        </w:rPr>
      </w:pPr>
      <w:r>
        <w:rPr>
          <w:rFonts w:hint="eastAsia" w:ascii="Times New Roman" w:hAnsi="仿宋_GB2312" w:eastAsia="仿宋_GB2312" w:cstheme="minorBidi"/>
          <w:color w:val="auto"/>
          <w:kern w:val="2"/>
          <w:sz w:val="30"/>
          <w:szCs w:val="30"/>
          <w:lang w:val="en-US" w:eastAsia="zh-CN" w:bidi="ar-SA"/>
        </w:rPr>
        <w:t>（二）服务地点：龙岗区。</w:t>
      </w:r>
    </w:p>
    <w:p>
      <w:pPr>
        <w:pStyle w:val="21"/>
        <w:keepNext w:val="0"/>
        <w:keepLines w:val="0"/>
        <w:pageBreakBefore w:val="0"/>
        <w:kinsoku/>
        <w:wordWrap/>
        <w:overflowPunct/>
        <w:topLinePunct w:val="0"/>
        <w:autoSpaceDE/>
        <w:autoSpaceDN/>
        <w:bidi w:val="0"/>
        <w:snapToGrid/>
        <w:spacing w:line="480" w:lineRule="exact"/>
        <w:ind w:firstLine="600" w:firstLineChars="200"/>
        <w:textAlignment w:val="auto"/>
        <w:rPr>
          <w:rFonts w:hint="eastAsia" w:ascii="Times New Roman" w:hAnsi="仿宋_GB2312" w:eastAsia="仿宋_GB2312" w:cstheme="minorBidi"/>
          <w:color w:val="auto"/>
          <w:kern w:val="2"/>
          <w:sz w:val="30"/>
          <w:szCs w:val="30"/>
          <w:lang w:val="en-US" w:eastAsia="zh-CN" w:bidi="ar-SA"/>
        </w:rPr>
      </w:pPr>
      <w:r>
        <w:rPr>
          <w:rFonts w:hint="eastAsia" w:ascii="Times New Roman" w:hAnsi="仿宋_GB2312" w:eastAsia="仿宋_GB2312" w:cstheme="minorBidi"/>
          <w:color w:val="auto"/>
          <w:kern w:val="2"/>
          <w:sz w:val="30"/>
          <w:szCs w:val="30"/>
          <w:lang w:val="en-US" w:eastAsia="zh-CN" w:bidi="ar-SA"/>
        </w:rPr>
        <w:t>（三）报价要求</w:t>
      </w:r>
    </w:p>
    <w:p>
      <w:pPr>
        <w:pStyle w:val="21"/>
        <w:keepNext w:val="0"/>
        <w:keepLines w:val="0"/>
        <w:pageBreakBefore w:val="0"/>
        <w:kinsoku/>
        <w:wordWrap/>
        <w:overflowPunct/>
        <w:topLinePunct w:val="0"/>
        <w:autoSpaceDE/>
        <w:autoSpaceDN/>
        <w:bidi w:val="0"/>
        <w:snapToGrid/>
        <w:spacing w:line="480" w:lineRule="exact"/>
        <w:ind w:firstLine="600" w:firstLineChars="200"/>
        <w:textAlignment w:val="auto"/>
        <w:rPr>
          <w:rFonts w:hint="eastAsia" w:ascii="Times New Roman" w:hAnsi="仿宋_GB2312" w:eastAsia="仿宋_GB2312" w:cstheme="minorBidi"/>
          <w:color w:val="auto"/>
          <w:kern w:val="2"/>
          <w:sz w:val="30"/>
          <w:szCs w:val="30"/>
          <w:lang w:val="en-US" w:eastAsia="zh-CN" w:bidi="ar-SA"/>
        </w:rPr>
      </w:pPr>
      <w:r>
        <w:rPr>
          <w:rFonts w:hint="eastAsia" w:ascii="Times New Roman" w:hAnsi="仿宋_GB2312" w:eastAsia="仿宋_GB2312" w:cstheme="minorBidi"/>
          <w:color w:val="auto"/>
          <w:kern w:val="2"/>
          <w:sz w:val="30"/>
          <w:szCs w:val="30"/>
          <w:lang w:val="en-US" w:eastAsia="zh-CN" w:bidi="ar-SA"/>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pPr>
        <w:pStyle w:val="21"/>
        <w:keepNext w:val="0"/>
        <w:keepLines w:val="0"/>
        <w:pageBreakBefore w:val="0"/>
        <w:kinsoku/>
        <w:wordWrap/>
        <w:overflowPunct/>
        <w:topLinePunct w:val="0"/>
        <w:autoSpaceDE/>
        <w:autoSpaceDN/>
        <w:bidi w:val="0"/>
        <w:snapToGrid/>
        <w:spacing w:line="480" w:lineRule="exact"/>
        <w:ind w:firstLine="600" w:firstLineChars="200"/>
        <w:textAlignment w:val="auto"/>
        <w:rPr>
          <w:rFonts w:hint="eastAsia" w:ascii="Times New Roman" w:hAnsi="仿宋_GB2312" w:eastAsia="仿宋_GB2312" w:cstheme="minorBidi"/>
          <w:color w:val="auto"/>
          <w:kern w:val="2"/>
          <w:sz w:val="30"/>
          <w:szCs w:val="30"/>
          <w:lang w:val="en-US" w:eastAsia="zh-CN" w:bidi="ar-SA"/>
        </w:rPr>
      </w:pPr>
      <w:r>
        <w:rPr>
          <w:rFonts w:hint="eastAsia" w:ascii="Times New Roman" w:hAnsi="仿宋_GB2312" w:eastAsia="仿宋_GB2312" w:cstheme="minorBidi"/>
          <w:color w:val="auto"/>
          <w:kern w:val="2"/>
          <w:sz w:val="30"/>
          <w:szCs w:val="30"/>
          <w:lang w:val="en-US" w:eastAsia="zh-CN" w:bidi="ar-SA"/>
        </w:rPr>
        <w:t>2.投标供应商应当根据本企业的成本自行决定报价，但不得以低于其企业成本的报价投标。</w:t>
      </w:r>
    </w:p>
    <w:p>
      <w:pPr>
        <w:pStyle w:val="21"/>
        <w:keepNext w:val="0"/>
        <w:keepLines w:val="0"/>
        <w:pageBreakBefore w:val="0"/>
        <w:kinsoku/>
        <w:wordWrap/>
        <w:overflowPunct/>
        <w:topLinePunct w:val="0"/>
        <w:autoSpaceDE/>
        <w:autoSpaceDN/>
        <w:bidi w:val="0"/>
        <w:snapToGrid/>
        <w:spacing w:line="480" w:lineRule="exact"/>
        <w:ind w:firstLine="600" w:firstLineChars="200"/>
        <w:textAlignment w:val="auto"/>
        <w:rPr>
          <w:rFonts w:hint="eastAsia" w:ascii="Times New Roman" w:hAnsi="仿宋_GB2312" w:eastAsia="仿宋_GB2312" w:cstheme="minorBidi"/>
          <w:color w:val="auto"/>
          <w:kern w:val="2"/>
          <w:sz w:val="30"/>
          <w:szCs w:val="30"/>
          <w:lang w:val="en-US" w:eastAsia="zh-CN" w:bidi="ar-SA"/>
        </w:rPr>
      </w:pPr>
      <w:r>
        <w:rPr>
          <w:rFonts w:hint="eastAsia" w:ascii="Times New Roman" w:hAnsi="仿宋_GB2312" w:eastAsia="仿宋_GB2312" w:cstheme="minorBidi"/>
          <w:color w:val="auto"/>
          <w:kern w:val="2"/>
          <w:sz w:val="30"/>
          <w:szCs w:val="30"/>
          <w:lang w:val="en-US" w:eastAsia="zh-CN" w:bidi="ar-SA"/>
        </w:rPr>
        <w:t>3.投标供应商的报价不得超过项目预算金额。</w:t>
      </w:r>
    </w:p>
    <w:p>
      <w:pPr>
        <w:pStyle w:val="21"/>
        <w:keepNext w:val="0"/>
        <w:keepLines w:val="0"/>
        <w:pageBreakBefore w:val="0"/>
        <w:kinsoku/>
        <w:wordWrap/>
        <w:overflowPunct/>
        <w:topLinePunct w:val="0"/>
        <w:autoSpaceDE/>
        <w:autoSpaceDN/>
        <w:bidi w:val="0"/>
        <w:snapToGrid/>
        <w:spacing w:line="480" w:lineRule="exact"/>
        <w:ind w:firstLine="600" w:firstLineChars="200"/>
        <w:textAlignment w:val="auto"/>
        <w:rPr>
          <w:rFonts w:hint="eastAsia" w:ascii="Times New Roman" w:hAnsi="仿宋_GB2312" w:eastAsia="仿宋_GB2312" w:cstheme="minorBidi"/>
          <w:color w:val="auto"/>
          <w:kern w:val="2"/>
          <w:sz w:val="30"/>
          <w:szCs w:val="30"/>
          <w:lang w:val="en-US" w:eastAsia="zh-CN" w:bidi="ar-SA"/>
        </w:rPr>
      </w:pPr>
      <w:r>
        <w:rPr>
          <w:rFonts w:hint="eastAsia" w:ascii="Times New Roman" w:hAnsi="仿宋_GB2312" w:eastAsia="仿宋_GB2312" w:cstheme="minorBidi"/>
          <w:color w:val="auto"/>
          <w:kern w:val="2"/>
          <w:sz w:val="30"/>
          <w:szCs w:val="30"/>
          <w:lang w:val="en-US" w:eastAsia="zh-CN" w:bidi="ar-SA"/>
        </w:rPr>
        <w:t>4.投标供应商的报价，应当是本项目采购范围和采购文件及合同条款上所列的各项内容中所述的全部，不得以任何理由予以重复。</w:t>
      </w:r>
    </w:p>
    <w:p>
      <w:pPr>
        <w:pStyle w:val="21"/>
        <w:keepNext w:val="0"/>
        <w:keepLines w:val="0"/>
        <w:pageBreakBefore w:val="0"/>
        <w:kinsoku/>
        <w:wordWrap/>
        <w:overflowPunct/>
        <w:topLinePunct w:val="0"/>
        <w:autoSpaceDE/>
        <w:autoSpaceDN/>
        <w:bidi w:val="0"/>
        <w:snapToGrid/>
        <w:spacing w:line="480" w:lineRule="exact"/>
        <w:ind w:firstLine="600" w:firstLineChars="200"/>
        <w:textAlignment w:val="auto"/>
        <w:rPr>
          <w:rFonts w:hint="eastAsia" w:ascii="Times New Roman" w:hAnsi="仿宋_GB2312" w:eastAsia="仿宋_GB2312" w:cstheme="minorBidi"/>
          <w:color w:val="auto"/>
          <w:kern w:val="2"/>
          <w:sz w:val="30"/>
          <w:szCs w:val="30"/>
          <w:lang w:val="en-US" w:eastAsia="zh-CN" w:bidi="ar-SA"/>
        </w:rPr>
      </w:pPr>
      <w:r>
        <w:rPr>
          <w:rFonts w:hint="eastAsia" w:ascii="Times New Roman" w:hAnsi="仿宋_GB2312" w:eastAsia="仿宋_GB2312" w:cstheme="minorBidi"/>
          <w:color w:val="auto"/>
          <w:kern w:val="2"/>
          <w:sz w:val="30"/>
          <w:szCs w:val="30"/>
          <w:lang w:val="en-US" w:eastAsia="zh-CN" w:bidi="ar-SA"/>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pStyle w:val="21"/>
        <w:keepNext w:val="0"/>
        <w:keepLines w:val="0"/>
        <w:pageBreakBefore w:val="0"/>
        <w:kinsoku/>
        <w:wordWrap/>
        <w:overflowPunct/>
        <w:topLinePunct w:val="0"/>
        <w:autoSpaceDE/>
        <w:autoSpaceDN/>
        <w:bidi w:val="0"/>
        <w:snapToGrid/>
        <w:spacing w:line="480" w:lineRule="exact"/>
        <w:ind w:firstLine="600" w:firstLineChars="200"/>
        <w:textAlignment w:val="auto"/>
        <w:rPr>
          <w:rFonts w:hint="eastAsia" w:ascii="Times New Roman" w:hAnsi="仿宋_GB2312" w:eastAsia="仿宋_GB2312" w:cstheme="minorBidi"/>
          <w:color w:val="auto"/>
          <w:kern w:val="2"/>
          <w:sz w:val="30"/>
          <w:szCs w:val="30"/>
          <w:lang w:val="en-US" w:eastAsia="zh-CN" w:bidi="ar-SA"/>
        </w:rPr>
      </w:pPr>
      <w:r>
        <w:rPr>
          <w:rFonts w:hint="eastAsia" w:ascii="Times New Roman" w:hAnsi="仿宋_GB2312" w:eastAsia="仿宋_GB2312" w:cstheme="minorBidi"/>
          <w:color w:val="auto"/>
          <w:kern w:val="2"/>
          <w:sz w:val="30"/>
          <w:szCs w:val="30"/>
          <w:lang w:val="en-US" w:eastAsia="zh-CN" w:bidi="ar-SA"/>
        </w:rPr>
        <w:t>6.投标供应商应先到项目地点踏勘以充分了解项目的位置、情况、道路及任何其它足以影响投标报价的情况，任何因忽视或误解项目情况而导致的索赔或服务期限延长申请将不获批准。</w:t>
      </w:r>
    </w:p>
    <w:p>
      <w:pPr>
        <w:pStyle w:val="21"/>
        <w:keepNext w:val="0"/>
        <w:keepLines w:val="0"/>
        <w:pageBreakBefore w:val="0"/>
        <w:kinsoku/>
        <w:wordWrap/>
        <w:overflowPunct/>
        <w:topLinePunct w:val="0"/>
        <w:autoSpaceDE/>
        <w:autoSpaceDN/>
        <w:bidi w:val="0"/>
        <w:snapToGrid/>
        <w:spacing w:line="480" w:lineRule="exact"/>
        <w:ind w:firstLine="600" w:firstLineChars="200"/>
        <w:textAlignment w:val="auto"/>
        <w:rPr>
          <w:rFonts w:hint="eastAsia" w:ascii="Times New Roman" w:hAnsi="仿宋_GB2312" w:eastAsia="仿宋_GB2312" w:cstheme="minorBidi"/>
          <w:color w:val="auto"/>
          <w:kern w:val="2"/>
          <w:sz w:val="30"/>
          <w:szCs w:val="30"/>
          <w:lang w:val="en-US" w:eastAsia="zh-CN" w:bidi="ar-SA"/>
        </w:rPr>
      </w:pPr>
      <w:r>
        <w:rPr>
          <w:rFonts w:hint="eastAsia" w:ascii="Times New Roman" w:hAnsi="仿宋_GB2312" w:eastAsia="仿宋_GB2312" w:cstheme="minorBidi"/>
          <w:color w:val="auto"/>
          <w:kern w:val="2"/>
          <w:sz w:val="30"/>
          <w:szCs w:val="30"/>
          <w:lang w:val="en-US" w:eastAsia="zh-CN" w:bidi="ar-SA"/>
        </w:rPr>
        <w:t>7.投标供应商不得期望通过索赔等方式获取补偿，否则，除可能遭到拒绝外，还可能将被作为不良行为记录在案，并可能影响其以后参加政府采购的项目投标。各投标供应商在报价时，应充分考虑报价的风险。</w:t>
      </w:r>
    </w:p>
    <w:p>
      <w:pPr>
        <w:pStyle w:val="21"/>
        <w:spacing w:line="360" w:lineRule="auto"/>
        <w:ind w:firstLine="600" w:firstLineChars="200"/>
        <w:rPr>
          <w:rFonts w:hint="eastAsia" w:ascii="仿宋" w:hAnsi="仿宋" w:eastAsia="仿宋"/>
          <w:color w:val="auto"/>
          <w:sz w:val="30"/>
          <w:szCs w:val="30"/>
        </w:rPr>
      </w:pP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四</w:t>
      </w:r>
      <w:r>
        <w:rPr>
          <w:rFonts w:hint="eastAsia" w:ascii="仿宋" w:hAnsi="仿宋" w:eastAsia="仿宋"/>
          <w:color w:val="auto"/>
          <w:sz w:val="30"/>
          <w:szCs w:val="30"/>
          <w:lang w:eastAsia="zh-CN"/>
        </w:rPr>
        <w:t>）</w:t>
      </w:r>
      <w:r>
        <w:rPr>
          <w:rFonts w:hint="eastAsia" w:ascii="仿宋" w:hAnsi="仿宋" w:eastAsia="仿宋"/>
          <w:color w:val="auto"/>
          <w:sz w:val="30"/>
          <w:szCs w:val="30"/>
        </w:rPr>
        <w:t>项目进度安排</w:t>
      </w:r>
    </w:p>
    <w:p>
      <w:pPr>
        <w:pStyle w:val="21"/>
        <w:spacing w:line="360" w:lineRule="auto"/>
        <w:ind w:firstLine="600" w:firstLineChars="200"/>
        <w:rPr>
          <w:rFonts w:hint="eastAsia" w:ascii="仿宋" w:hAnsi="仿宋" w:eastAsia="仿宋"/>
          <w:color w:val="auto"/>
          <w:sz w:val="30"/>
          <w:szCs w:val="30"/>
        </w:rPr>
      </w:pPr>
      <w:r>
        <w:rPr>
          <w:rFonts w:hint="eastAsia" w:ascii="仿宋" w:hAnsi="仿宋" w:eastAsia="仿宋"/>
          <w:color w:val="auto"/>
          <w:sz w:val="30"/>
          <w:szCs w:val="30"/>
        </w:rPr>
        <w:t>供应商根据</w:t>
      </w:r>
      <w:r>
        <w:rPr>
          <w:rFonts w:hint="default" w:ascii="仿宋" w:hAnsi="仿宋" w:eastAsia="仿宋"/>
          <w:color w:val="auto"/>
          <w:sz w:val="30"/>
          <w:szCs w:val="30"/>
          <w:lang w:val="en"/>
        </w:rPr>
        <w:t>采购方</w:t>
      </w:r>
      <w:r>
        <w:rPr>
          <w:rFonts w:hint="eastAsia" w:ascii="仿宋" w:hAnsi="仿宋" w:eastAsia="仿宋"/>
          <w:color w:val="auto"/>
          <w:sz w:val="30"/>
          <w:szCs w:val="30"/>
        </w:rPr>
        <w:t>的服务委托时间及要求，自行安排项目进度，控制各阶段完成时间节点，确保项目按期保质保量完成。</w:t>
      </w:r>
    </w:p>
    <w:p>
      <w:pPr>
        <w:pStyle w:val="21"/>
        <w:spacing w:line="360" w:lineRule="auto"/>
        <w:ind w:firstLine="600" w:firstLineChars="200"/>
        <w:rPr>
          <w:rFonts w:hint="eastAsia" w:ascii="仿宋" w:hAnsi="仿宋" w:eastAsia="仿宋"/>
          <w:color w:val="auto"/>
          <w:sz w:val="30"/>
          <w:szCs w:val="30"/>
        </w:rPr>
      </w:pP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五</w:t>
      </w:r>
      <w:r>
        <w:rPr>
          <w:rFonts w:hint="eastAsia" w:ascii="仿宋" w:hAnsi="仿宋" w:eastAsia="仿宋"/>
          <w:color w:val="auto"/>
          <w:sz w:val="30"/>
          <w:szCs w:val="30"/>
          <w:lang w:eastAsia="zh-CN"/>
        </w:rPr>
        <w:t>）</w:t>
      </w:r>
      <w:r>
        <w:rPr>
          <w:rFonts w:hint="eastAsia" w:ascii="仿宋" w:hAnsi="仿宋" w:eastAsia="仿宋"/>
          <w:color w:val="auto"/>
          <w:sz w:val="30"/>
          <w:szCs w:val="30"/>
        </w:rPr>
        <w:t>验收要求</w:t>
      </w:r>
    </w:p>
    <w:p>
      <w:pPr>
        <w:pStyle w:val="21"/>
        <w:spacing w:line="360" w:lineRule="auto"/>
        <w:ind w:firstLine="600" w:firstLineChars="200"/>
        <w:rPr>
          <w:rFonts w:hint="eastAsia" w:ascii="仿宋" w:hAnsi="仿宋" w:eastAsia="仿宋"/>
          <w:color w:val="auto"/>
          <w:sz w:val="30"/>
          <w:szCs w:val="30"/>
        </w:rPr>
      </w:pPr>
      <w:r>
        <w:rPr>
          <w:rFonts w:hint="eastAsia" w:ascii="仿宋" w:hAnsi="仿宋" w:eastAsia="仿宋"/>
          <w:color w:val="auto"/>
          <w:sz w:val="30"/>
          <w:szCs w:val="30"/>
        </w:rPr>
        <w:t>供应商需按采购方的招标技术及时间要求，完成相应工作成果并全部提交后，采购方</w:t>
      </w:r>
      <w:r>
        <w:rPr>
          <w:rFonts w:hint="eastAsia" w:ascii="仿宋" w:hAnsi="仿宋" w:eastAsia="仿宋"/>
          <w:color w:val="auto"/>
          <w:sz w:val="30"/>
          <w:szCs w:val="30"/>
          <w:lang w:eastAsia="zh-CN"/>
        </w:rPr>
        <w:t>组织</w:t>
      </w:r>
      <w:r>
        <w:rPr>
          <w:rFonts w:hint="eastAsia" w:ascii="仿宋" w:hAnsi="仿宋" w:eastAsia="仿宋"/>
          <w:color w:val="auto"/>
          <w:sz w:val="30"/>
          <w:szCs w:val="30"/>
        </w:rPr>
        <w:t>项目验收。</w:t>
      </w:r>
    </w:p>
    <w:p>
      <w:pPr>
        <w:pStyle w:val="21"/>
        <w:spacing w:line="360" w:lineRule="auto"/>
        <w:ind w:firstLine="600" w:firstLineChars="200"/>
        <w:rPr>
          <w:rFonts w:hint="eastAsia" w:ascii="仿宋" w:hAnsi="仿宋" w:eastAsia="仿宋"/>
          <w:color w:val="auto"/>
          <w:sz w:val="30"/>
          <w:szCs w:val="30"/>
        </w:rPr>
      </w:pP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六</w:t>
      </w:r>
      <w:r>
        <w:rPr>
          <w:rFonts w:hint="eastAsia" w:ascii="仿宋" w:hAnsi="仿宋" w:eastAsia="仿宋"/>
          <w:color w:val="auto"/>
          <w:sz w:val="30"/>
          <w:szCs w:val="30"/>
          <w:lang w:eastAsia="zh-CN"/>
        </w:rPr>
        <w:t>）</w:t>
      </w:r>
      <w:r>
        <w:rPr>
          <w:rFonts w:hint="eastAsia" w:ascii="仿宋" w:hAnsi="仿宋" w:eastAsia="仿宋"/>
          <w:color w:val="auto"/>
          <w:sz w:val="30"/>
          <w:szCs w:val="30"/>
        </w:rPr>
        <w:t>售后服务要求</w:t>
      </w:r>
    </w:p>
    <w:p>
      <w:pPr>
        <w:pStyle w:val="21"/>
        <w:spacing w:line="360" w:lineRule="auto"/>
        <w:ind w:firstLine="600" w:firstLineChars="200"/>
        <w:rPr>
          <w:rFonts w:hint="eastAsia" w:ascii="仿宋" w:hAnsi="仿宋" w:eastAsia="仿宋"/>
          <w:color w:val="auto"/>
          <w:sz w:val="30"/>
          <w:szCs w:val="30"/>
        </w:rPr>
      </w:pPr>
      <w:r>
        <w:rPr>
          <w:rFonts w:hint="eastAsia" w:ascii="仿宋" w:hAnsi="仿宋" w:eastAsia="仿宋"/>
          <w:color w:val="auto"/>
          <w:sz w:val="30"/>
          <w:szCs w:val="30"/>
          <w:lang w:val="en-US" w:eastAsia="zh-CN"/>
        </w:rPr>
        <w:t>1、</w:t>
      </w:r>
      <w:r>
        <w:rPr>
          <w:rFonts w:hint="eastAsia" w:ascii="仿宋" w:hAnsi="仿宋" w:eastAsia="仿宋"/>
          <w:color w:val="auto"/>
          <w:sz w:val="30"/>
          <w:szCs w:val="30"/>
        </w:rPr>
        <w:t>项目</w:t>
      </w:r>
      <w:r>
        <w:rPr>
          <w:rFonts w:hint="eastAsia" w:ascii="仿宋" w:hAnsi="仿宋" w:eastAsia="仿宋"/>
          <w:color w:val="auto"/>
          <w:sz w:val="30"/>
          <w:szCs w:val="30"/>
          <w:lang w:eastAsia="zh-CN"/>
        </w:rPr>
        <w:t>正式成果</w:t>
      </w:r>
      <w:r>
        <w:rPr>
          <w:rFonts w:hint="eastAsia" w:ascii="仿宋" w:hAnsi="仿宋" w:eastAsia="仿宋"/>
          <w:color w:val="auto"/>
          <w:sz w:val="30"/>
          <w:szCs w:val="30"/>
        </w:rPr>
        <w:t>由采购方审查通过后进入售后服务期，售后服务内容要求主要包括技术支持等；</w:t>
      </w:r>
    </w:p>
    <w:p>
      <w:pPr>
        <w:pStyle w:val="21"/>
        <w:spacing w:line="360" w:lineRule="auto"/>
        <w:ind w:firstLine="600" w:firstLineChars="200"/>
        <w:rPr>
          <w:rFonts w:hint="eastAsia" w:ascii="仿宋" w:hAnsi="仿宋" w:eastAsia="仿宋"/>
          <w:color w:val="auto"/>
          <w:sz w:val="30"/>
          <w:szCs w:val="30"/>
        </w:rPr>
      </w:pPr>
      <w:r>
        <w:rPr>
          <w:rFonts w:hint="eastAsia" w:ascii="仿宋" w:hAnsi="仿宋" w:eastAsia="仿宋"/>
          <w:color w:val="auto"/>
          <w:sz w:val="30"/>
          <w:szCs w:val="30"/>
          <w:lang w:val="en-US" w:eastAsia="zh-CN"/>
        </w:rPr>
        <w:t>2、</w:t>
      </w:r>
      <w:r>
        <w:rPr>
          <w:rFonts w:hint="eastAsia" w:ascii="仿宋" w:hAnsi="仿宋" w:eastAsia="仿宋"/>
          <w:color w:val="auto"/>
          <w:sz w:val="30"/>
          <w:szCs w:val="30"/>
        </w:rPr>
        <w:t>本项目要求由中标方提供</w:t>
      </w:r>
      <w:r>
        <w:rPr>
          <w:rFonts w:hint="eastAsia" w:ascii="仿宋" w:hAnsi="仿宋" w:eastAsia="仿宋"/>
          <w:color w:val="auto"/>
          <w:sz w:val="30"/>
          <w:szCs w:val="30"/>
          <w:lang w:val="en-US" w:eastAsia="zh-CN"/>
        </w:rPr>
        <w:t>2</w:t>
      </w:r>
      <w:r>
        <w:rPr>
          <w:rFonts w:hint="eastAsia" w:ascii="仿宋" w:hAnsi="仿宋" w:eastAsia="仿宋"/>
          <w:color w:val="auto"/>
          <w:sz w:val="30"/>
          <w:szCs w:val="30"/>
        </w:rPr>
        <w:t>年的售后服务（技术支持）；</w:t>
      </w:r>
    </w:p>
    <w:p>
      <w:pPr>
        <w:pStyle w:val="21"/>
        <w:spacing w:line="360" w:lineRule="auto"/>
        <w:ind w:firstLine="600" w:firstLineChars="200"/>
        <w:rPr>
          <w:rFonts w:hint="eastAsia" w:ascii="仿宋" w:hAnsi="仿宋" w:eastAsia="仿宋"/>
          <w:color w:val="auto"/>
          <w:sz w:val="30"/>
          <w:szCs w:val="30"/>
        </w:rPr>
      </w:pPr>
      <w:r>
        <w:rPr>
          <w:rFonts w:hint="eastAsia" w:ascii="仿宋" w:hAnsi="仿宋" w:eastAsia="仿宋"/>
          <w:color w:val="auto"/>
          <w:sz w:val="30"/>
          <w:szCs w:val="30"/>
          <w:lang w:val="en-US" w:eastAsia="zh-CN"/>
        </w:rPr>
        <w:t>3、</w:t>
      </w:r>
      <w:r>
        <w:rPr>
          <w:rFonts w:hint="eastAsia" w:ascii="仿宋" w:hAnsi="仿宋" w:eastAsia="仿宋"/>
          <w:color w:val="auto"/>
          <w:sz w:val="30"/>
          <w:szCs w:val="30"/>
        </w:rPr>
        <w:t>技术支持服务包括包含以下内容：</w:t>
      </w:r>
    </w:p>
    <w:p>
      <w:pPr>
        <w:pStyle w:val="21"/>
        <w:spacing w:line="360" w:lineRule="auto"/>
        <w:ind w:firstLine="600" w:firstLineChars="200"/>
        <w:rPr>
          <w:rFonts w:hint="eastAsia" w:ascii="仿宋" w:hAnsi="仿宋" w:eastAsia="仿宋"/>
          <w:color w:val="auto"/>
          <w:sz w:val="30"/>
          <w:szCs w:val="30"/>
        </w:rPr>
      </w:pP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1</w:t>
      </w:r>
      <w:r>
        <w:rPr>
          <w:rFonts w:hint="eastAsia" w:ascii="仿宋" w:hAnsi="仿宋" w:eastAsia="仿宋"/>
          <w:color w:val="auto"/>
          <w:sz w:val="30"/>
          <w:szCs w:val="30"/>
          <w:lang w:eastAsia="zh-CN"/>
        </w:rPr>
        <w:t>）</w:t>
      </w:r>
      <w:r>
        <w:rPr>
          <w:rFonts w:hint="eastAsia" w:ascii="仿宋" w:hAnsi="仿宋" w:eastAsia="仿宋"/>
          <w:color w:val="auto"/>
          <w:sz w:val="30"/>
          <w:szCs w:val="30"/>
        </w:rPr>
        <w:t>专员支持服务：安排维护专员为本项目售后技术支持，并提供其联系手机、电话、传真、Email；保证采购方在工作日内能及时联系到维护专员；如人员需要调整应及时通知采购方；</w:t>
      </w:r>
    </w:p>
    <w:p>
      <w:pPr>
        <w:pStyle w:val="21"/>
        <w:spacing w:line="360" w:lineRule="auto"/>
        <w:ind w:firstLine="600" w:firstLineChars="200"/>
        <w:rPr>
          <w:rFonts w:hint="eastAsia" w:ascii="仿宋" w:hAnsi="仿宋" w:eastAsia="仿宋"/>
          <w:color w:val="auto"/>
          <w:sz w:val="30"/>
          <w:szCs w:val="30"/>
        </w:rPr>
      </w:pP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2</w:t>
      </w:r>
      <w:r>
        <w:rPr>
          <w:rFonts w:hint="eastAsia" w:ascii="仿宋" w:hAnsi="仿宋" w:eastAsia="仿宋"/>
          <w:color w:val="auto"/>
          <w:sz w:val="30"/>
          <w:szCs w:val="30"/>
          <w:lang w:eastAsia="zh-CN"/>
        </w:rPr>
        <w:t>）</w:t>
      </w:r>
      <w:r>
        <w:rPr>
          <w:rFonts w:hint="eastAsia" w:ascii="仿宋" w:hAnsi="仿宋" w:eastAsia="仿宋"/>
          <w:color w:val="auto"/>
          <w:sz w:val="30"/>
          <w:szCs w:val="30"/>
        </w:rPr>
        <w:t>其他支持服务：中标方应配合采购方进行与本项目相关、合理的技术服务工作。</w:t>
      </w:r>
    </w:p>
    <w:p>
      <w:pPr>
        <w:keepNext w:val="0"/>
        <w:keepLines w:val="0"/>
        <w:pageBreakBefore w:val="0"/>
        <w:widowControl/>
        <w:kinsoku/>
        <w:wordWrap/>
        <w:overflowPunct/>
        <w:topLinePunct w:val="0"/>
        <w:autoSpaceDE/>
        <w:autoSpaceDN/>
        <w:bidi w:val="0"/>
        <w:snapToGrid/>
        <w:spacing w:line="480" w:lineRule="exact"/>
        <w:ind w:firstLine="600" w:firstLineChars="200"/>
        <w:textAlignment w:val="auto"/>
        <w:rPr>
          <w:rFonts w:hint="eastAsia" w:ascii="Times New Roman" w:hAnsi="仿宋_GB2312" w:eastAsia="仿宋_GB2312" w:cstheme="minorBidi"/>
          <w:color w:val="auto"/>
          <w:kern w:val="2"/>
          <w:sz w:val="30"/>
          <w:szCs w:val="30"/>
          <w:lang w:val="en-US" w:eastAsia="zh-CN" w:bidi="ar-SA"/>
        </w:rPr>
      </w:pPr>
      <w:r>
        <w:rPr>
          <w:rFonts w:hint="eastAsia" w:ascii="Times New Roman" w:hAnsi="仿宋_GB2312" w:eastAsia="仿宋_GB2312" w:cstheme="minorBidi"/>
          <w:color w:val="auto"/>
          <w:kern w:val="2"/>
          <w:sz w:val="30"/>
          <w:szCs w:val="30"/>
          <w:lang w:val="en-US" w:eastAsia="zh-CN" w:bidi="ar-SA"/>
        </w:rPr>
        <w:t>（七）付款方式分三期，首期款占总合同额的50%，于项目合同签订后10个工作日内由中标方提出付款申请后，采购方依据财政部门当年资金安排开展付款工作；第二期款占总合同额的30%，中标方完成30个岩溶环境工作区的评估工作，提交中期成果经采购方审查通过后10个工作日内提出付款申请，采购方依据财政部门当年资金安排开展付款工作；尾款占总合同额的20%，中标方将正式成果提交采购方审议通过且完成成果归档后10个工作日内由中标方提出付款申请，采购方依据财政部门当年资金安排开展付款工作。</w:t>
      </w:r>
    </w:p>
    <w:p>
      <w:pPr>
        <w:pStyle w:val="21"/>
        <w:keepNext w:val="0"/>
        <w:keepLines w:val="0"/>
        <w:pageBreakBefore w:val="0"/>
        <w:kinsoku/>
        <w:wordWrap/>
        <w:overflowPunct/>
        <w:topLinePunct w:val="0"/>
        <w:autoSpaceDE/>
        <w:autoSpaceDN/>
        <w:bidi w:val="0"/>
        <w:snapToGrid/>
        <w:spacing w:line="480" w:lineRule="exact"/>
        <w:ind w:firstLine="600" w:firstLineChars="200"/>
        <w:textAlignment w:val="auto"/>
        <w:rPr>
          <w:rFonts w:hint="eastAsia" w:ascii="Times New Roman" w:hAnsi="仿宋_GB2312" w:eastAsia="仿宋_GB2312" w:cstheme="minorBidi"/>
          <w:color w:val="auto"/>
          <w:kern w:val="2"/>
          <w:sz w:val="30"/>
          <w:szCs w:val="30"/>
          <w:lang w:val="en-US" w:eastAsia="zh-CN" w:bidi="ar-SA"/>
        </w:rPr>
      </w:pPr>
      <w:r>
        <w:rPr>
          <w:rFonts w:hint="eastAsia" w:ascii="Times New Roman" w:hAnsi="仿宋_GB2312" w:eastAsia="仿宋_GB2312" w:cstheme="minorBidi"/>
          <w:color w:val="auto"/>
          <w:kern w:val="2"/>
          <w:sz w:val="30"/>
          <w:szCs w:val="30"/>
          <w:lang w:val="en-US" w:eastAsia="zh-CN" w:bidi="ar-SA"/>
        </w:rPr>
        <w:t>（八）履约担保金：无需提供履约担保金。</w:t>
      </w:r>
    </w:p>
    <w:p>
      <w:pPr>
        <w:pStyle w:val="21"/>
        <w:keepNext w:val="0"/>
        <w:keepLines w:val="0"/>
        <w:pageBreakBefore w:val="0"/>
        <w:kinsoku/>
        <w:wordWrap/>
        <w:overflowPunct/>
        <w:topLinePunct w:val="0"/>
        <w:autoSpaceDE/>
        <w:autoSpaceDN/>
        <w:bidi w:val="0"/>
        <w:snapToGrid/>
        <w:spacing w:line="480" w:lineRule="exact"/>
        <w:ind w:firstLine="600" w:firstLineChars="200"/>
        <w:textAlignment w:val="auto"/>
        <w:rPr>
          <w:rFonts w:hint="eastAsia" w:ascii="Times New Roman" w:hAnsi="仿宋_GB2312" w:eastAsia="仿宋_GB2312" w:cstheme="minorBidi"/>
          <w:color w:val="auto"/>
          <w:kern w:val="2"/>
          <w:sz w:val="30"/>
          <w:szCs w:val="30"/>
          <w:lang w:val="en-US" w:eastAsia="zh-CN" w:bidi="ar-SA"/>
        </w:rPr>
      </w:pPr>
      <w:r>
        <w:rPr>
          <w:rFonts w:hint="eastAsia" w:ascii="Times New Roman" w:hAnsi="仿宋_GB2312" w:eastAsia="仿宋_GB2312" w:cstheme="minorBidi"/>
          <w:color w:val="auto"/>
          <w:kern w:val="2"/>
          <w:sz w:val="30"/>
          <w:szCs w:val="30"/>
          <w:lang w:val="en-US" w:eastAsia="zh-CN" w:bidi="ar-SA"/>
        </w:rPr>
        <w:t>（九）违约责任：以合同约定为准。</w:t>
      </w:r>
    </w:p>
    <w:p>
      <w:pPr>
        <w:pStyle w:val="21"/>
        <w:spacing w:line="360" w:lineRule="auto"/>
        <w:ind w:firstLine="600" w:firstLineChars="200"/>
        <w:rPr>
          <w:rFonts w:hint="eastAsia" w:ascii="仿宋" w:hAnsi="仿宋" w:eastAsia="仿宋"/>
          <w:color w:val="auto"/>
          <w:sz w:val="30"/>
          <w:szCs w:val="30"/>
        </w:rPr>
      </w:pP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十</w:t>
      </w:r>
      <w:r>
        <w:rPr>
          <w:rFonts w:hint="eastAsia" w:ascii="仿宋" w:hAnsi="仿宋" w:eastAsia="仿宋"/>
          <w:color w:val="auto"/>
          <w:sz w:val="30"/>
          <w:szCs w:val="30"/>
          <w:lang w:eastAsia="zh-CN"/>
        </w:rPr>
        <w:t>）</w:t>
      </w:r>
      <w:r>
        <w:rPr>
          <w:rFonts w:hint="eastAsia" w:ascii="仿宋" w:hAnsi="仿宋" w:eastAsia="仿宋"/>
          <w:color w:val="auto"/>
          <w:sz w:val="30"/>
          <w:szCs w:val="30"/>
        </w:rPr>
        <w:t>服务质量监督和项目验收要求</w:t>
      </w:r>
    </w:p>
    <w:p>
      <w:pPr>
        <w:pStyle w:val="21"/>
        <w:spacing w:line="360" w:lineRule="auto"/>
        <w:ind w:firstLine="600" w:firstLineChars="200"/>
        <w:rPr>
          <w:rFonts w:hint="eastAsia" w:ascii="仿宋" w:hAnsi="仿宋" w:eastAsia="仿宋"/>
          <w:color w:val="auto"/>
          <w:sz w:val="30"/>
          <w:szCs w:val="30"/>
        </w:rPr>
      </w:pPr>
      <w:r>
        <w:rPr>
          <w:rFonts w:hint="eastAsia" w:ascii="仿宋" w:hAnsi="仿宋" w:eastAsia="仿宋"/>
          <w:color w:val="auto"/>
          <w:sz w:val="30"/>
          <w:szCs w:val="30"/>
        </w:rPr>
        <w:t>投标人应按</w:t>
      </w:r>
      <w:r>
        <w:rPr>
          <w:rFonts w:hint="default" w:ascii="仿宋" w:hAnsi="仿宋" w:eastAsia="仿宋"/>
          <w:color w:val="auto"/>
          <w:sz w:val="30"/>
          <w:szCs w:val="30"/>
          <w:lang w:val="en"/>
        </w:rPr>
        <w:t>采购方</w:t>
      </w:r>
      <w:r>
        <w:rPr>
          <w:rFonts w:hint="eastAsia" w:ascii="仿宋" w:hAnsi="仿宋" w:eastAsia="仿宋"/>
          <w:color w:val="auto"/>
          <w:sz w:val="30"/>
          <w:szCs w:val="30"/>
        </w:rPr>
        <w:t>的服务要求提供相应技术成果，且需经</w:t>
      </w:r>
      <w:r>
        <w:rPr>
          <w:rFonts w:hint="default" w:ascii="仿宋" w:hAnsi="仿宋" w:eastAsia="仿宋"/>
          <w:color w:val="auto"/>
          <w:sz w:val="30"/>
          <w:szCs w:val="30"/>
          <w:lang w:val="en"/>
        </w:rPr>
        <w:t>采购方</w:t>
      </w:r>
      <w:r>
        <w:rPr>
          <w:rFonts w:hint="eastAsia" w:ascii="仿宋" w:hAnsi="仿宋" w:eastAsia="仿宋"/>
          <w:color w:val="auto"/>
          <w:sz w:val="30"/>
          <w:szCs w:val="30"/>
        </w:rPr>
        <w:t>验收审查。</w:t>
      </w:r>
    </w:p>
    <w:p>
      <w:pPr>
        <w:pStyle w:val="21"/>
        <w:spacing w:line="360" w:lineRule="auto"/>
        <w:ind w:firstLine="600" w:firstLineChars="200"/>
        <w:rPr>
          <w:rFonts w:hint="eastAsia" w:ascii="仿宋" w:hAnsi="仿宋" w:eastAsia="仿宋"/>
          <w:color w:val="auto"/>
          <w:sz w:val="30"/>
          <w:szCs w:val="30"/>
        </w:rPr>
      </w:pPr>
      <w:r>
        <w:rPr>
          <w:rFonts w:hint="eastAsia" w:ascii="仿宋" w:hAnsi="仿宋" w:eastAsia="仿宋"/>
          <w:color w:val="auto"/>
          <w:sz w:val="30"/>
          <w:szCs w:val="30"/>
        </w:rPr>
        <w:t>政府采购投标及履约承诺函(明确要求投标人必须签署，否则做废标处理)。</w:t>
      </w:r>
    </w:p>
    <w:p>
      <w:pPr>
        <w:pStyle w:val="21"/>
        <w:spacing w:line="360" w:lineRule="auto"/>
        <w:ind w:firstLine="600" w:firstLineChars="200"/>
        <w:rPr>
          <w:rFonts w:hint="eastAsia" w:ascii="仿宋" w:hAnsi="仿宋" w:eastAsia="仿宋"/>
          <w:color w:val="auto"/>
          <w:sz w:val="30"/>
          <w:szCs w:val="30"/>
        </w:rPr>
      </w:pPr>
      <w:r>
        <w:rPr>
          <w:rFonts w:hint="eastAsia" w:ascii="仿宋" w:hAnsi="仿宋" w:eastAsia="仿宋"/>
          <w:color w:val="auto"/>
          <w:sz w:val="30"/>
          <w:szCs w:val="30"/>
        </w:rPr>
        <w:t>（</w:t>
      </w:r>
      <w:r>
        <w:rPr>
          <w:rFonts w:hint="eastAsia" w:ascii="仿宋" w:hAnsi="仿宋" w:eastAsia="仿宋"/>
          <w:color w:val="auto"/>
          <w:sz w:val="30"/>
          <w:szCs w:val="30"/>
          <w:lang w:val="en-US" w:eastAsia="zh-CN"/>
        </w:rPr>
        <w:t>十一</w:t>
      </w:r>
      <w:r>
        <w:rPr>
          <w:rFonts w:hint="eastAsia" w:ascii="仿宋" w:hAnsi="仿宋" w:eastAsia="仿宋"/>
          <w:color w:val="auto"/>
          <w:sz w:val="30"/>
          <w:szCs w:val="30"/>
        </w:rPr>
        <w:t>）其他：</w:t>
      </w:r>
    </w:p>
    <w:p>
      <w:pPr>
        <w:pStyle w:val="21"/>
        <w:spacing w:line="360" w:lineRule="auto"/>
        <w:ind w:firstLine="600" w:firstLineChars="200"/>
        <w:rPr>
          <w:rFonts w:hint="eastAsia" w:ascii="仿宋" w:hAnsi="仿宋" w:eastAsia="仿宋"/>
          <w:color w:val="auto"/>
          <w:sz w:val="30"/>
          <w:szCs w:val="30"/>
        </w:rPr>
      </w:pPr>
      <w:r>
        <w:rPr>
          <w:rFonts w:hint="eastAsia" w:ascii="仿宋" w:hAnsi="仿宋" w:eastAsia="仿宋"/>
          <w:color w:val="auto"/>
          <w:sz w:val="30"/>
          <w:szCs w:val="30"/>
          <w:lang w:val="en-US" w:eastAsia="zh-CN"/>
        </w:rPr>
        <w:t>1、</w:t>
      </w:r>
      <w:r>
        <w:rPr>
          <w:rFonts w:hint="eastAsia" w:ascii="仿宋" w:hAnsi="仿宋" w:eastAsia="仿宋"/>
          <w:color w:val="auto"/>
          <w:sz w:val="30"/>
          <w:szCs w:val="30"/>
        </w:rPr>
        <w:t>供应商应确保投标文件中的人员信息真实、有效；</w:t>
      </w:r>
    </w:p>
    <w:p>
      <w:pPr>
        <w:pStyle w:val="21"/>
        <w:spacing w:line="360" w:lineRule="auto"/>
        <w:ind w:firstLine="600" w:firstLineChars="200"/>
        <w:rPr>
          <w:rFonts w:hint="eastAsia" w:ascii="仿宋" w:hAnsi="仿宋" w:eastAsia="仿宋"/>
          <w:color w:val="auto"/>
          <w:sz w:val="30"/>
          <w:szCs w:val="30"/>
        </w:rPr>
      </w:pPr>
      <w:r>
        <w:rPr>
          <w:rFonts w:hint="eastAsia" w:ascii="仿宋" w:hAnsi="仿宋" w:eastAsia="仿宋"/>
          <w:color w:val="auto"/>
          <w:sz w:val="30"/>
          <w:szCs w:val="30"/>
          <w:lang w:val="en-US" w:eastAsia="zh-CN"/>
        </w:rPr>
        <w:t>2、</w:t>
      </w:r>
      <w:r>
        <w:rPr>
          <w:rFonts w:hint="eastAsia" w:ascii="仿宋" w:hAnsi="仿宋" w:eastAsia="仿宋"/>
          <w:color w:val="auto"/>
          <w:sz w:val="30"/>
          <w:szCs w:val="30"/>
        </w:rPr>
        <w:t>供应商在项目开展过程中不得更换项目负责人；</w:t>
      </w:r>
    </w:p>
    <w:p>
      <w:pPr>
        <w:pStyle w:val="21"/>
        <w:spacing w:line="360" w:lineRule="auto"/>
        <w:ind w:firstLine="600" w:firstLineChars="200"/>
        <w:rPr>
          <w:rFonts w:hint="eastAsia" w:ascii="仿宋" w:hAnsi="仿宋" w:eastAsia="仿宋"/>
          <w:color w:val="auto"/>
          <w:sz w:val="30"/>
          <w:szCs w:val="30"/>
        </w:rPr>
      </w:pPr>
      <w:r>
        <w:rPr>
          <w:rFonts w:hint="eastAsia" w:ascii="仿宋" w:hAnsi="仿宋" w:eastAsia="仿宋"/>
          <w:color w:val="auto"/>
          <w:sz w:val="30"/>
          <w:szCs w:val="30"/>
          <w:lang w:val="en-US" w:eastAsia="zh-CN"/>
        </w:rPr>
        <w:t>3、</w:t>
      </w:r>
      <w:r>
        <w:rPr>
          <w:rFonts w:hint="eastAsia" w:ascii="仿宋" w:hAnsi="仿宋" w:eastAsia="仿宋"/>
          <w:color w:val="auto"/>
          <w:sz w:val="30"/>
          <w:szCs w:val="30"/>
        </w:rPr>
        <w:t xml:space="preserve">供应商必须保守国家机密，不得泄漏采购方所提供的属国家秘密的信息和数据；未经采购方允许，不得使用或者以其它方式给任何第三方提供本项目的相关信息或数据。 </w:t>
      </w:r>
    </w:p>
    <w:p>
      <w:pPr>
        <w:pStyle w:val="21"/>
        <w:spacing w:line="360" w:lineRule="auto"/>
        <w:rPr>
          <w:rFonts w:hint="eastAsia" w:ascii="仿宋" w:hAnsi="仿宋" w:eastAsia="仿宋"/>
          <w:color w:val="auto"/>
          <w:sz w:val="30"/>
          <w:szCs w:val="30"/>
        </w:rPr>
      </w:pPr>
      <w:r>
        <w:rPr>
          <w:rFonts w:hint="eastAsia" w:ascii="仿宋" w:hAnsi="仿宋" w:eastAsia="仿宋"/>
          <w:color w:val="auto"/>
          <w:sz w:val="30"/>
          <w:szCs w:val="30"/>
          <w:lang w:val="en-US" w:eastAsia="zh-CN"/>
        </w:rPr>
        <w:t>4、未被列入失信被执行人、重大税收违法案件当事人名单、政府采购严重违法失信行为记录名单。通过“信用中国”、“中国政府采购网”以及“深圳市政府采购监管网”为供应商信用信息的查询渠道，以开标当日查询结果为准，相关查询截图证据与采购文件一并保存。</w:t>
      </w:r>
      <w:r>
        <w:rPr>
          <w:rFonts w:hint="eastAsia" w:ascii="仿宋" w:hAnsi="仿宋" w:eastAsia="仿宋"/>
          <w:color w:val="auto"/>
          <w:sz w:val="30"/>
          <w:szCs w:val="30"/>
          <w:lang w:val="en-US" w:eastAsia="zh-CN"/>
        </w:rPr>
        <w:br w:type="textWrapping"/>
      </w:r>
      <w:r>
        <w:rPr>
          <w:rFonts w:hint="eastAsia" w:ascii="仿宋" w:hAnsi="仿宋" w:eastAsia="仿宋"/>
          <w:color w:val="auto"/>
          <w:sz w:val="30"/>
          <w:szCs w:val="30"/>
          <w:lang w:val="en-US" w:eastAsia="zh-CN"/>
        </w:rPr>
        <w:t xml:space="preserve">    供应商需提供《供应商基本情况表》和签署《政府采购违法行为风险知悉确认书》及《政府采购投标及履约承诺函》，并加盖单位公章作为投标文件的组成部分。</w:t>
      </w:r>
      <w:r>
        <w:rPr>
          <w:rFonts w:hint="eastAsia" w:ascii="仿宋" w:hAnsi="仿宋" w:eastAsia="仿宋"/>
          <w:color w:val="auto"/>
          <w:sz w:val="30"/>
          <w:szCs w:val="30"/>
        </w:rPr>
        <w:t xml:space="preserve">  </w:t>
      </w:r>
    </w:p>
    <w:p>
      <w:pPr>
        <w:pStyle w:val="21"/>
        <w:keepNext w:val="0"/>
        <w:keepLines w:val="0"/>
        <w:pageBreakBefore w:val="0"/>
        <w:kinsoku/>
        <w:wordWrap/>
        <w:overflowPunct/>
        <w:topLinePunct w:val="0"/>
        <w:autoSpaceDE/>
        <w:autoSpaceDN/>
        <w:bidi w:val="0"/>
        <w:snapToGrid/>
        <w:spacing w:line="480" w:lineRule="exact"/>
        <w:ind w:left="0" w:leftChars="0" w:firstLine="600" w:firstLineChars="200"/>
        <w:textAlignment w:val="auto"/>
        <w:rPr>
          <w:rFonts w:hint="eastAsia" w:ascii="Times New Roman" w:hAnsi="仿宋_GB2312" w:eastAsia="仿宋_GB2312" w:cstheme="minorBidi"/>
          <w:color w:val="auto"/>
          <w:kern w:val="2"/>
          <w:sz w:val="30"/>
          <w:szCs w:val="30"/>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Noto Sans CJK JP Regular">
    <w:altName w:val="华文仿宋"/>
    <w:panose1 w:val="00000000000000000000"/>
    <w:charset w:val="00"/>
    <w:family w:val="swiss"/>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宋?">
    <w:altName w:val="宋体"/>
    <w:panose1 w:val="00000000000000000000"/>
    <w:charset w:val="81"/>
    <w:family w:val="roman"/>
    <w:pitch w:val="default"/>
    <w:sig w:usb0="00000000" w:usb1="00000000" w:usb2="00000010" w:usb3="00000000" w:csb0="00080000" w:csb1="00000000"/>
  </w:font>
  <w:font w:name="H Yb 2gj">
    <w:altName w:val="华文仿宋"/>
    <w:panose1 w:val="00000000000000000000"/>
    <w:charset w:val="00"/>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634A78"/>
    <w:multiLevelType w:val="singleLevel"/>
    <w:tmpl w:val="97634A78"/>
    <w:lvl w:ilvl="0" w:tentative="0">
      <w:start w:val="2"/>
      <w:numFmt w:val="chineseCounting"/>
      <w:suff w:val="nothing"/>
      <w:lvlText w:val="%1、"/>
      <w:lvlJc w:val="left"/>
      <w:rPr>
        <w:rFonts w:hint="eastAsia"/>
      </w:rPr>
    </w:lvl>
  </w:abstractNum>
  <w:abstractNum w:abstractNumId="1">
    <w:nsid w:val="35743DCB"/>
    <w:multiLevelType w:val="singleLevel"/>
    <w:tmpl w:val="35743DCB"/>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EF9"/>
    <w:rsid w:val="000019BB"/>
    <w:rsid w:val="00006B8D"/>
    <w:rsid w:val="00015D13"/>
    <w:rsid w:val="0002736D"/>
    <w:rsid w:val="00047FC1"/>
    <w:rsid w:val="000539DC"/>
    <w:rsid w:val="00072D8B"/>
    <w:rsid w:val="00084AE1"/>
    <w:rsid w:val="000948F2"/>
    <w:rsid w:val="000A5BD8"/>
    <w:rsid w:val="000B26A8"/>
    <w:rsid w:val="000C22C7"/>
    <w:rsid w:val="000D4F2E"/>
    <w:rsid w:val="000F08A9"/>
    <w:rsid w:val="00103C86"/>
    <w:rsid w:val="00110E3F"/>
    <w:rsid w:val="00130DC3"/>
    <w:rsid w:val="00145723"/>
    <w:rsid w:val="00172CD3"/>
    <w:rsid w:val="00185C2B"/>
    <w:rsid w:val="00196792"/>
    <w:rsid w:val="001A76C2"/>
    <w:rsid w:val="001C1809"/>
    <w:rsid w:val="001C7C8C"/>
    <w:rsid w:val="001E1432"/>
    <w:rsid w:val="001E3C2B"/>
    <w:rsid w:val="001F7F98"/>
    <w:rsid w:val="002007F9"/>
    <w:rsid w:val="00233619"/>
    <w:rsid w:val="002567ED"/>
    <w:rsid w:val="00264661"/>
    <w:rsid w:val="00294BD5"/>
    <w:rsid w:val="002A35D2"/>
    <w:rsid w:val="002A4D8E"/>
    <w:rsid w:val="002D1E53"/>
    <w:rsid w:val="00301194"/>
    <w:rsid w:val="00313CA4"/>
    <w:rsid w:val="00327C42"/>
    <w:rsid w:val="00337887"/>
    <w:rsid w:val="003755DE"/>
    <w:rsid w:val="00381B70"/>
    <w:rsid w:val="003856B2"/>
    <w:rsid w:val="003B68D7"/>
    <w:rsid w:val="003D475D"/>
    <w:rsid w:val="00412C07"/>
    <w:rsid w:val="00433EA6"/>
    <w:rsid w:val="0044337B"/>
    <w:rsid w:val="00452101"/>
    <w:rsid w:val="00472478"/>
    <w:rsid w:val="004C255E"/>
    <w:rsid w:val="004D233F"/>
    <w:rsid w:val="004D3484"/>
    <w:rsid w:val="004D64D8"/>
    <w:rsid w:val="004E11D3"/>
    <w:rsid w:val="00506FD6"/>
    <w:rsid w:val="005552EB"/>
    <w:rsid w:val="00562644"/>
    <w:rsid w:val="00570B84"/>
    <w:rsid w:val="00574228"/>
    <w:rsid w:val="005767A2"/>
    <w:rsid w:val="00581E86"/>
    <w:rsid w:val="00590FF4"/>
    <w:rsid w:val="005B359E"/>
    <w:rsid w:val="005C7E46"/>
    <w:rsid w:val="005E3EF1"/>
    <w:rsid w:val="00610F91"/>
    <w:rsid w:val="00632C5B"/>
    <w:rsid w:val="006339B7"/>
    <w:rsid w:val="00633EFC"/>
    <w:rsid w:val="0065752E"/>
    <w:rsid w:val="006638B0"/>
    <w:rsid w:val="00676039"/>
    <w:rsid w:val="006822B6"/>
    <w:rsid w:val="00690B0A"/>
    <w:rsid w:val="00692596"/>
    <w:rsid w:val="00695601"/>
    <w:rsid w:val="006E082C"/>
    <w:rsid w:val="007332F0"/>
    <w:rsid w:val="007413CD"/>
    <w:rsid w:val="00760676"/>
    <w:rsid w:val="0077293C"/>
    <w:rsid w:val="00775D1E"/>
    <w:rsid w:val="00784822"/>
    <w:rsid w:val="0079316D"/>
    <w:rsid w:val="007C1BBF"/>
    <w:rsid w:val="007E0463"/>
    <w:rsid w:val="00800CBD"/>
    <w:rsid w:val="0080552B"/>
    <w:rsid w:val="00806E9B"/>
    <w:rsid w:val="00812A75"/>
    <w:rsid w:val="008554D7"/>
    <w:rsid w:val="008765F0"/>
    <w:rsid w:val="008810A1"/>
    <w:rsid w:val="00882A6F"/>
    <w:rsid w:val="00885513"/>
    <w:rsid w:val="008856BF"/>
    <w:rsid w:val="008D7A53"/>
    <w:rsid w:val="008F3D8D"/>
    <w:rsid w:val="008F64DE"/>
    <w:rsid w:val="008F6562"/>
    <w:rsid w:val="00926816"/>
    <w:rsid w:val="0094082B"/>
    <w:rsid w:val="009644D1"/>
    <w:rsid w:val="00990B83"/>
    <w:rsid w:val="009A2036"/>
    <w:rsid w:val="009B0FD3"/>
    <w:rsid w:val="009C1335"/>
    <w:rsid w:val="009D5EC6"/>
    <w:rsid w:val="009F3D41"/>
    <w:rsid w:val="00A050BF"/>
    <w:rsid w:val="00A27C28"/>
    <w:rsid w:val="00A37F78"/>
    <w:rsid w:val="00A449CE"/>
    <w:rsid w:val="00A53A40"/>
    <w:rsid w:val="00A95BD4"/>
    <w:rsid w:val="00AA029A"/>
    <w:rsid w:val="00AB0270"/>
    <w:rsid w:val="00AD322B"/>
    <w:rsid w:val="00AD411E"/>
    <w:rsid w:val="00AD4AA0"/>
    <w:rsid w:val="00AD70E8"/>
    <w:rsid w:val="00AF0169"/>
    <w:rsid w:val="00AF3ACE"/>
    <w:rsid w:val="00B37C39"/>
    <w:rsid w:val="00B4358D"/>
    <w:rsid w:val="00B53EF9"/>
    <w:rsid w:val="00B733DC"/>
    <w:rsid w:val="00BA5931"/>
    <w:rsid w:val="00BC2E28"/>
    <w:rsid w:val="00BF5BD7"/>
    <w:rsid w:val="00C04F85"/>
    <w:rsid w:val="00C07689"/>
    <w:rsid w:val="00C12277"/>
    <w:rsid w:val="00C2500B"/>
    <w:rsid w:val="00C27911"/>
    <w:rsid w:val="00C32BE3"/>
    <w:rsid w:val="00C445F0"/>
    <w:rsid w:val="00C76F3E"/>
    <w:rsid w:val="00CB13D9"/>
    <w:rsid w:val="00CE4CC4"/>
    <w:rsid w:val="00CF3A7B"/>
    <w:rsid w:val="00D00D80"/>
    <w:rsid w:val="00D2449F"/>
    <w:rsid w:val="00D31177"/>
    <w:rsid w:val="00D333E4"/>
    <w:rsid w:val="00D35E59"/>
    <w:rsid w:val="00D44657"/>
    <w:rsid w:val="00D47A10"/>
    <w:rsid w:val="00D576BC"/>
    <w:rsid w:val="00D60358"/>
    <w:rsid w:val="00D71D63"/>
    <w:rsid w:val="00D74AF8"/>
    <w:rsid w:val="00D93E6C"/>
    <w:rsid w:val="00DA096F"/>
    <w:rsid w:val="00DB75D4"/>
    <w:rsid w:val="00DE4331"/>
    <w:rsid w:val="00E21906"/>
    <w:rsid w:val="00E2683F"/>
    <w:rsid w:val="00E775D7"/>
    <w:rsid w:val="00E876A5"/>
    <w:rsid w:val="00E90079"/>
    <w:rsid w:val="00E91E97"/>
    <w:rsid w:val="00EA3A6E"/>
    <w:rsid w:val="00EC3676"/>
    <w:rsid w:val="00EE2193"/>
    <w:rsid w:val="00EF1C98"/>
    <w:rsid w:val="00F36DCD"/>
    <w:rsid w:val="00F61E52"/>
    <w:rsid w:val="00F83B48"/>
    <w:rsid w:val="00F86D72"/>
    <w:rsid w:val="00F948FB"/>
    <w:rsid w:val="00FA51EF"/>
    <w:rsid w:val="00FD0F55"/>
    <w:rsid w:val="00FF5397"/>
    <w:rsid w:val="03C5123E"/>
    <w:rsid w:val="03ED3661"/>
    <w:rsid w:val="046B7C8E"/>
    <w:rsid w:val="04D60DBC"/>
    <w:rsid w:val="05E224AA"/>
    <w:rsid w:val="06587899"/>
    <w:rsid w:val="07744BD0"/>
    <w:rsid w:val="08A64588"/>
    <w:rsid w:val="09A458C9"/>
    <w:rsid w:val="0A871986"/>
    <w:rsid w:val="0AF009D9"/>
    <w:rsid w:val="0B8C0695"/>
    <w:rsid w:val="0BDF3B8C"/>
    <w:rsid w:val="0C22595D"/>
    <w:rsid w:val="0C867064"/>
    <w:rsid w:val="0D616E58"/>
    <w:rsid w:val="0DB218C8"/>
    <w:rsid w:val="0E976F0E"/>
    <w:rsid w:val="0F5F6446"/>
    <w:rsid w:val="0F7D43C9"/>
    <w:rsid w:val="10D86D97"/>
    <w:rsid w:val="11B316E3"/>
    <w:rsid w:val="11FA0D4D"/>
    <w:rsid w:val="11FE09A7"/>
    <w:rsid w:val="12D14BF0"/>
    <w:rsid w:val="13BA28F6"/>
    <w:rsid w:val="14457ECD"/>
    <w:rsid w:val="150F020D"/>
    <w:rsid w:val="1533211A"/>
    <w:rsid w:val="16065D06"/>
    <w:rsid w:val="167D4675"/>
    <w:rsid w:val="179208CC"/>
    <w:rsid w:val="18BF1EA7"/>
    <w:rsid w:val="196D5DF5"/>
    <w:rsid w:val="1A7E30E5"/>
    <w:rsid w:val="1BB3C76A"/>
    <w:rsid w:val="1C5401AC"/>
    <w:rsid w:val="1CA87845"/>
    <w:rsid w:val="1D7D0EBF"/>
    <w:rsid w:val="1F94358D"/>
    <w:rsid w:val="20AB6C01"/>
    <w:rsid w:val="22393661"/>
    <w:rsid w:val="237711FF"/>
    <w:rsid w:val="243932FC"/>
    <w:rsid w:val="25362FC1"/>
    <w:rsid w:val="25817D5A"/>
    <w:rsid w:val="26E52C64"/>
    <w:rsid w:val="27AF7F9A"/>
    <w:rsid w:val="27C84D66"/>
    <w:rsid w:val="27F5B808"/>
    <w:rsid w:val="286125BA"/>
    <w:rsid w:val="29271629"/>
    <w:rsid w:val="2A02602E"/>
    <w:rsid w:val="2AE00267"/>
    <w:rsid w:val="2B935865"/>
    <w:rsid w:val="2BC83547"/>
    <w:rsid w:val="2CB528DE"/>
    <w:rsid w:val="2CEB4C1D"/>
    <w:rsid w:val="2DBB7311"/>
    <w:rsid w:val="2F4910A0"/>
    <w:rsid w:val="2FA53382"/>
    <w:rsid w:val="2FF228C8"/>
    <w:rsid w:val="303E1D19"/>
    <w:rsid w:val="32D070B5"/>
    <w:rsid w:val="339E1659"/>
    <w:rsid w:val="35F17A18"/>
    <w:rsid w:val="3614441E"/>
    <w:rsid w:val="368B52B4"/>
    <w:rsid w:val="370735F1"/>
    <w:rsid w:val="37497D52"/>
    <w:rsid w:val="377A23F4"/>
    <w:rsid w:val="37FF7293"/>
    <w:rsid w:val="38475E6E"/>
    <w:rsid w:val="39CE1C83"/>
    <w:rsid w:val="3A1F7C5D"/>
    <w:rsid w:val="3BA90FBA"/>
    <w:rsid w:val="3BC544B5"/>
    <w:rsid w:val="3CFC4F20"/>
    <w:rsid w:val="3EA8407E"/>
    <w:rsid w:val="3EAD7C30"/>
    <w:rsid w:val="3FB91A3D"/>
    <w:rsid w:val="3FEE58A0"/>
    <w:rsid w:val="40DC6937"/>
    <w:rsid w:val="416A7A45"/>
    <w:rsid w:val="416E051C"/>
    <w:rsid w:val="424F3C1D"/>
    <w:rsid w:val="42C41687"/>
    <w:rsid w:val="45503D41"/>
    <w:rsid w:val="46D04A49"/>
    <w:rsid w:val="4710159D"/>
    <w:rsid w:val="481E23A9"/>
    <w:rsid w:val="4823496F"/>
    <w:rsid w:val="48D949CA"/>
    <w:rsid w:val="492F0D41"/>
    <w:rsid w:val="49736FBF"/>
    <w:rsid w:val="49D66DB1"/>
    <w:rsid w:val="4A5E3812"/>
    <w:rsid w:val="4B994646"/>
    <w:rsid w:val="4CA51D91"/>
    <w:rsid w:val="4D6A17AD"/>
    <w:rsid w:val="4E27667B"/>
    <w:rsid w:val="4EAA63B8"/>
    <w:rsid w:val="500100D3"/>
    <w:rsid w:val="50924377"/>
    <w:rsid w:val="513A673E"/>
    <w:rsid w:val="536D5516"/>
    <w:rsid w:val="53816F51"/>
    <w:rsid w:val="54244A97"/>
    <w:rsid w:val="56280670"/>
    <w:rsid w:val="566E677D"/>
    <w:rsid w:val="56C31DE4"/>
    <w:rsid w:val="56D3009F"/>
    <w:rsid w:val="57083A6B"/>
    <w:rsid w:val="58463CF3"/>
    <w:rsid w:val="5A177A5D"/>
    <w:rsid w:val="5B2C34C9"/>
    <w:rsid w:val="5C3D02C2"/>
    <w:rsid w:val="5D024311"/>
    <w:rsid w:val="5D1227A1"/>
    <w:rsid w:val="5E83340B"/>
    <w:rsid w:val="5FA4658C"/>
    <w:rsid w:val="60F52B48"/>
    <w:rsid w:val="61F1120E"/>
    <w:rsid w:val="62233B16"/>
    <w:rsid w:val="625F13D0"/>
    <w:rsid w:val="63D01317"/>
    <w:rsid w:val="64753929"/>
    <w:rsid w:val="64CB5776"/>
    <w:rsid w:val="659D214C"/>
    <w:rsid w:val="660C15FB"/>
    <w:rsid w:val="668F03EE"/>
    <w:rsid w:val="678A3FEA"/>
    <w:rsid w:val="69F44C51"/>
    <w:rsid w:val="6A934FD8"/>
    <w:rsid w:val="6AC0218C"/>
    <w:rsid w:val="6B0F013F"/>
    <w:rsid w:val="6B7825A8"/>
    <w:rsid w:val="6C812EC5"/>
    <w:rsid w:val="6CB45C34"/>
    <w:rsid w:val="6CBE6B57"/>
    <w:rsid w:val="6D2E659B"/>
    <w:rsid w:val="6E115B26"/>
    <w:rsid w:val="6E207944"/>
    <w:rsid w:val="6F9B781D"/>
    <w:rsid w:val="70BA12BD"/>
    <w:rsid w:val="735E6655"/>
    <w:rsid w:val="752F1C88"/>
    <w:rsid w:val="76B0192F"/>
    <w:rsid w:val="76F07E0D"/>
    <w:rsid w:val="771E68A2"/>
    <w:rsid w:val="77493EB1"/>
    <w:rsid w:val="78476611"/>
    <w:rsid w:val="786476CD"/>
    <w:rsid w:val="789177FA"/>
    <w:rsid w:val="79956784"/>
    <w:rsid w:val="7A334526"/>
    <w:rsid w:val="7AAFCA42"/>
    <w:rsid w:val="7B106D5E"/>
    <w:rsid w:val="7BAC09CA"/>
    <w:rsid w:val="7BD306BD"/>
    <w:rsid w:val="7C651110"/>
    <w:rsid w:val="7C8C004A"/>
    <w:rsid w:val="7CFFC352"/>
    <w:rsid w:val="7D4700EF"/>
    <w:rsid w:val="7DF26E75"/>
    <w:rsid w:val="7EF03E39"/>
    <w:rsid w:val="7FC73022"/>
    <w:rsid w:val="F6FBCC1F"/>
    <w:rsid w:val="FEFE1E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120" w:after="120"/>
      <w:ind w:firstLine="0" w:firstLineChars="0"/>
      <w:outlineLvl w:val="0"/>
    </w:pPr>
    <w:rPr>
      <w:b/>
      <w:bCs/>
      <w:kern w:val="44"/>
      <w:sz w:val="32"/>
      <w:szCs w:val="4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qFormat/>
    <w:uiPriority w:val="0"/>
    <w:pPr>
      <w:ind w:firstLine="420" w:firstLineChars="100"/>
    </w:pPr>
  </w:style>
  <w:style w:type="paragraph" w:styleId="4">
    <w:name w:val="Normal Indent"/>
    <w:basedOn w:val="1"/>
    <w:next w:val="5"/>
    <w:qFormat/>
    <w:uiPriority w:val="0"/>
    <w:pPr>
      <w:spacing w:after="200" w:line="600" w:lineRule="exact"/>
      <w:ind w:firstLine="420"/>
    </w:pPr>
    <w:rPr>
      <w:rFonts w:ascii="Times New Roman" w:hAnsi="Times New Roman" w:eastAsia="CESI仿宋-GB2312"/>
      <w:sz w:val="32"/>
      <w:szCs w:val="20"/>
    </w:rPr>
  </w:style>
  <w:style w:type="paragraph" w:styleId="5">
    <w:name w:val="Body Text"/>
    <w:basedOn w:val="1"/>
    <w:next w:val="6"/>
    <w:qFormat/>
    <w:uiPriority w:val="1"/>
    <w:pPr>
      <w:ind w:left="391"/>
    </w:pPr>
    <w:rPr>
      <w:rFonts w:ascii="Noto Sans CJK JP Regular" w:hAnsi="Noto Sans CJK JP Regular" w:eastAsia="Noto Sans CJK JP Regular" w:cs="Noto Sans CJK JP Regular"/>
      <w:sz w:val="32"/>
      <w:szCs w:val="32"/>
    </w:rPr>
  </w:style>
  <w:style w:type="paragraph" w:styleId="6">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7">
    <w:name w:val="annotation text"/>
    <w:basedOn w:val="1"/>
    <w:link w:val="22"/>
    <w:unhideWhenUsed/>
    <w:qFormat/>
    <w:uiPriority w:val="99"/>
    <w:pPr>
      <w:jc w:val="left"/>
    </w:pPr>
    <w:rPr>
      <w:rFonts w:ascii="Times New Roman" w:hAnsi="Times New Roman" w:eastAsia="宋体" w:cs="Times New Roman"/>
      <w:szCs w:val="20"/>
    </w:rPr>
  </w:style>
  <w:style w:type="paragraph" w:styleId="8">
    <w:name w:val="Body Text Indent"/>
    <w:basedOn w:val="1"/>
    <w:qFormat/>
    <w:uiPriority w:val="0"/>
    <w:pPr>
      <w:ind w:left="2098"/>
    </w:pPr>
    <w:rPr>
      <w:color w:val="000000"/>
      <w:sz w:val="24"/>
    </w:rPr>
  </w:style>
  <w:style w:type="paragraph" w:styleId="9">
    <w:name w:val="Balloon Text"/>
    <w:basedOn w:val="1"/>
    <w:link w:val="26"/>
    <w:semiHidden/>
    <w:unhideWhenUsed/>
    <w:qFormat/>
    <w:uiPriority w:val="99"/>
    <w:rPr>
      <w:sz w:val="18"/>
      <w:szCs w:val="18"/>
    </w:rPr>
  </w:style>
  <w:style w:type="paragraph" w:styleId="10">
    <w:name w:val="footer"/>
    <w:basedOn w:val="1"/>
    <w:link w:val="25"/>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link w:val="29"/>
    <w:qFormat/>
    <w:uiPriority w:val="0"/>
    <w:pPr>
      <w:widowControl/>
      <w:shd w:val="clear" w:color="auto" w:fill="FFFFFF"/>
      <w:tabs>
        <w:tab w:val="left" w:pos="426"/>
      </w:tabs>
      <w:adjustRightInd w:val="0"/>
      <w:snapToGrid w:val="0"/>
      <w:spacing w:before="240" w:after="60" w:line="312" w:lineRule="auto"/>
      <w:jc w:val="center"/>
      <w:outlineLvl w:val="1"/>
    </w:pPr>
    <w:rPr>
      <w:rFonts w:ascii="Cambria" w:hAnsi="Cambria" w:cs="Times New Roman"/>
      <w:b/>
      <w:bCs/>
      <w:kern w:val="28"/>
      <w:sz w:val="28"/>
      <w:szCs w:val="32"/>
    </w:rPr>
  </w:style>
  <w:style w:type="paragraph" w:styleId="13">
    <w:name w:val="Normal (Web)"/>
    <w:basedOn w:val="1"/>
    <w:qFormat/>
    <w:uiPriority w:val="99"/>
    <w:pPr>
      <w:spacing w:before="100" w:beforeLines="0" w:beforeAutospacing="1" w:after="100" w:afterLines="0" w:afterAutospacing="1"/>
      <w:jc w:val="left"/>
    </w:pPr>
    <w:rPr>
      <w:kern w:val="0"/>
      <w:sz w:val="24"/>
    </w:rPr>
  </w:style>
  <w:style w:type="paragraph" w:styleId="14">
    <w:name w:val="annotation subject"/>
    <w:basedOn w:val="7"/>
    <w:next w:val="7"/>
    <w:link w:val="27"/>
    <w:semiHidden/>
    <w:unhideWhenUsed/>
    <w:qFormat/>
    <w:uiPriority w:val="99"/>
    <w:rPr>
      <w:rFonts w:asciiTheme="minorHAnsi" w:hAnsiTheme="minorHAnsi" w:eastAsiaTheme="minorEastAsia" w:cstheme="minorBidi"/>
      <w:b/>
      <w:bCs/>
      <w:szCs w:val="22"/>
    </w:rPr>
  </w:style>
  <w:style w:type="paragraph" w:styleId="15">
    <w:name w:val="Body Text First Indent 2"/>
    <w:basedOn w:val="8"/>
    <w:unhideWhenUsed/>
    <w:qFormat/>
    <w:uiPriority w:val="99"/>
    <w:pPr>
      <w:spacing w:after="120"/>
      <w:ind w:left="420" w:leftChars="200" w:firstLine="420" w:firstLineChars="200"/>
    </w:pPr>
    <w:rPr>
      <w:rFonts w:eastAsia="宋?"/>
      <w:sz w:val="21"/>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Emphasis"/>
    <w:qFormat/>
    <w:uiPriority w:val="0"/>
    <w:rPr>
      <w:i/>
      <w:iCs/>
    </w:rPr>
  </w:style>
  <w:style w:type="character" w:styleId="20">
    <w:name w:val="annotation reference"/>
    <w:basedOn w:val="18"/>
    <w:semiHidden/>
    <w:unhideWhenUsed/>
    <w:qFormat/>
    <w:uiPriority w:val="99"/>
    <w:rPr>
      <w:sz w:val="21"/>
      <w:szCs w:val="21"/>
    </w:rPr>
  </w:style>
  <w:style w:type="paragraph" w:styleId="21">
    <w:name w:val="List Paragraph"/>
    <w:basedOn w:val="1"/>
    <w:qFormat/>
    <w:uiPriority w:val="34"/>
    <w:pPr>
      <w:ind w:firstLine="420" w:firstLineChars="200"/>
    </w:pPr>
  </w:style>
  <w:style w:type="character" w:customStyle="1" w:styleId="22">
    <w:name w:val="批注文字 Char"/>
    <w:link w:val="7"/>
    <w:qFormat/>
    <w:uiPriority w:val="99"/>
    <w:rPr>
      <w:rFonts w:ascii="Times New Roman" w:hAnsi="Times New Roman" w:eastAsia="宋体" w:cs="Times New Roman"/>
      <w:szCs w:val="20"/>
    </w:rPr>
  </w:style>
  <w:style w:type="character" w:customStyle="1" w:styleId="23">
    <w:name w:val="批注文字 字符1"/>
    <w:basedOn w:val="18"/>
    <w:semiHidden/>
    <w:qFormat/>
    <w:uiPriority w:val="99"/>
  </w:style>
  <w:style w:type="character" w:customStyle="1" w:styleId="24">
    <w:name w:val="页眉 Char"/>
    <w:basedOn w:val="18"/>
    <w:link w:val="11"/>
    <w:qFormat/>
    <w:uiPriority w:val="99"/>
    <w:rPr>
      <w:sz w:val="18"/>
      <w:szCs w:val="18"/>
    </w:rPr>
  </w:style>
  <w:style w:type="character" w:customStyle="1" w:styleId="25">
    <w:name w:val="页脚 Char"/>
    <w:basedOn w:val="18"/>
    <w:link w:val="10"/>
    <w:qFormat/>
    <w:uiPriority w:val="99"/>
    <w:rPr>
      <w:sz w:val="18"/>
      <w:szCs w:val="18"/>
    </w:rPr>
  </w:style>
  <w:style w:type="character" w:customStyle="1" w:styleId="26">
    <w:name w:val="批注框文本 Char"/>
    <w:basedOn w:val="18"/>
    <w:link w:val="9"/>
    <w:semiHidden/>
    <w:qFormat/>
    <w:uiPriority w:val="99"/>
    <w:rPr>
      <w:sz w:val="18"/>
      <w:szCs w:val="18"/>
    </w:rPr>
  </w:style>
  <w:style w:type="character" w:customStyle="1" w:styleId="27">
    <w:name w:val="批注主题 Char"/>
    <w:basedOn w:val="22"/>
    <w:link w:val="14"/>
    <w:semiHidden/>
    <w:qFormat/>
    <w:uiPriority w:val="99"/>
    <w:rPr>
      <w:rFonts w:ascii="Times New Roman" w:hAnsi="Times New Roman" w:eastAsia="宋体" w:cs="Times New Roman"/>
      <w:b/>
      <w:bCs/>
      <w:szCs w:val="20"/>
    </w:rPr>
  </w:style>
  <w:style w:type="character" w:customStyle="1" w:styleId="28">
    <w:name w:val="副标题 Char"/>
    <w:qFormat/>
    <w:uiPriority w:val="0"/>
    <w:rPr>
      <w:rFonts w:ascii="Cambria" w:hAnsi="Cambria" w:cs="Times New Roman"/>
      <w:b/>
      <w:bCs/>
      <w:kern w:val="28"/>
      <w:sz w:val="28"/>
      <w:szCs w:val="32"/>
      <w:shd w:val="clear" w:color="auto" w:fill="FFFFFF"/>
    </w:rPr>
  </w:style>
  <w:style w:type="character" w:customStyle="1" w:styleId="29">
    <w:name w:val="副标题 Char1"/>
    <w:basedOn w:val="18"/>
    <w:link w:val="12"/>
    <w:qFormat/>
    <w:uiPriority w:val="11"/>
    <w:rPr>
      <w:rFonts w:eastAsia="宋体" w:asciiTheme="majorHAnsi" w:hAnsiTheme="majorHAnsi" w:cstheme="majorBidi"/>
      <w:b/>
      <w:bCs/>
      <w:kern w:val="28"/>
      <w:sz w:val="32"/>
      <w:szCs w:val="32"/>
    </w:rPr>
  </w:style>
  <w:style w:type="paragraph" w:customStyle="1" w:styleId="30">
    <w:name w:val="Default"/>
    <w:qFormat/>
    <w:uiPriority w:val="0"/>
    <w:pPr>
      <w:widowControl w:val="0"/>
      <w:autoSpaceDE w:val="0"/>
      <w:autoSpaceDN w:val="0"/>
      <w:adjustRightInd w:val="0"/>
    </w:pPr>
    <w:rPr>
      <w:rFonts w:ascii="H Yb 2gj" w:hAnsi="Calibri" w:eastAsia="H Yb 2gj" w:cs="H Yb 2gj"/>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11</Pages>
  <Words>5444</Words>
  <Characters>1148</Characters>
  <Lines>9</Lines>
  <Paragraphs>13</Paragraphs>
  <TotalTime>1</TotalTime>
  <ScaleCrop>false</ScaleCrop>
  <LinksUpToDate>false</LinksUpToDate>
  <CharactersWithSpaces>6579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2022-01-25T19:41:00Z</dcterms:created>
  <dc:creator>xbany</dc:creator>
  <cp:lastModifiedBy>前田番茄</cp:lastModifiedBy>
  <cp:lastPrinted>2026-02-05T01:52:00Z</cp:lastPrinted>
  <dcterms:modified xsi:type="dcterms:W3CDTF">2026-02-24T09:45:53Z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5FD743E83D1D463488ABF9AF45C1E2F9</vt:lpwstr>
  </property>
</Properties>
</file>