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深圳大鹏半岛国家地质</w:t>
      </w:r>
      <w:r>
        <w:rPr>
          <w:rFonts w:hint="eastAsia" w:ascii="黑体" w:hAnsi="黑体" w:eastAsia="黑体" w:cs="黑体"/>
          <w:b/>
          <w:bCs/>
          <w:color w:val="000000"/>
          <w:sz w:val="44"/>
          <w:szCs w:val="44"/>
          <w:lang w:val="en-US" w:eastAsia="zh-CN"/>
        </w:rPr>
        <w:t>自然</w:t>
      </w:r>
      <w:r>
        <w:rPr>
          <w:rFonts w:hint="eastAsia" w:ascii="黑体" w:hAnsi="黑体" w:eastAsia="黑体" w:cs="黑体"/>
          <w:b/>
          <w:bCs/>
          <w:color w:val="000000"/>
          <w:sz w:val="44"/>
          <w:szCs w:val="44"/>
        </w:rPr>
        <w:t>公园管理处</w:t>
      </w:r>
    </w:p>
    <w:p>
      <w:pPr>
        <w:spacing w:line="580" w:lineRule="exact"/>
        <w:jc w:val="center"/>
        <w:rPr>
          <w:rFonts w:hint="eastAsia" w:ascii="黑体" w:hAnsi="黑体" w:eastAsia="黑体" w:cs="黑体"/>
          <w:b/>
          <w:color w:val="000000"/>
          <w:sz w:val="32"/>
          <w:szCs w:val="32"/>
          <w:highlight w:val="none"/>
        </w:rPr>
      </w:pPr>
      <w:r>
        <w:rPr>
          <w:rFonts w:hint="eastAsia" w:ascii="黑体" w:hAnsi="黑体" w:eastAsia="黑体" w:cs="黑体"/>
          <w:b/>
          <w:bCs/>
          <w:color w:val="000000"/>
          <w:sz w:val="44"/>
          <w:szCs w:val="44"/>
          <w:lang w:val="en-US" w:eastAsia="zh-CN"/>
        </w:rPr>
        <w:t>未开放区域警示标识牌设立项目采购需求</w:t>
      </w:r>
      <w:r>
        <w:rPr>
          <w:rFonts w:hint="eastAsia" w:ascii="黑体" w:hAnsi="黑体" w:eastAsia="黑体" w:cs="黑体"/>
          <w:b/>
          <w:bCs/>
          <w:color w:val="000000"/>
          <w:sz w:val="44"/>
          <w:szCs w:val="44"/>
        </w:rPr>
        <w:t>文件</w:t>
      </w:r>
    </w:p>
    <w:tbl>
      <w:tblPr>
        <w:tblStyle w:val="7"/>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18"/>
        <w:gridCol w:w="1228"/>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未开放区域警示标识牌设立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91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olor w:val="000000"/>
                <w:szCs w:val="21"/>
              </w:rPr>
              <w:t>深圳大鹏半岛国家地质</w:t>
            </w:r>
            <w:r>
              <w:rPr>
                <w:rFonts w:hint="eastAsia" w:ascii="仿宋" w:hAnsi="仿宋" w:eastAsia="仿宋"/>
                <w:color w:val="000000"/>
                <w:szCs w:val="21"/>
                <w:lang w:val="en-US" w:eastAsia="zh-CN"/>
              </w:rPr>
              <w:t>自然</w:t>
            </w:r>
            <w:r>
              <w:rPr>
                <w:rFonts w:hint="eastAsia" w:ascii="仿宋" w:hAnsi="仿宋" w:eastAsia="仿宋"/>
                <w:color w:val="000000"/>
                <w:szCs w:val="21"/>
              </w:rPr>
              <w:t>公园管理处</w:t>
            </w:r>
          </w:p>
        </w:tc>
        <w:tc>
          <w:tcPr>
            <w:tcW w:w="122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391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c>
          <w:tcPr>
            <w:tcW w:w="122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391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180000</w:t>
            </w:r>
          </w:p>
        </w:tc>
        <w:tc>
          <w:tcPr>
            <w:tcW w:w="122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c>
          <w:tcPr>
            <w:tcW w:w="2261"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项目背景</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地质公园未开发区域面积大，警示宣传牌短缺，游客对未开放区域范围不了解、未开放区域路线缺乏道路指引，导致部分游客因不知情误入未开放区域，以及进入为开放区后无法通过安全路线返回，为确保游客安全，地质公园计划在公园未开放区域设立警示标识牌120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项目前期设计、规划论证单位</w:t>
            </w:r>
          </w:p>
        </w:tc>
        <w:tc>
          <w:tcPr>
            <w:tcW w:w="7407" w:type="dxa"/>
            <w:gridSpan w:val="3"/>
            <w:noWrap w:val="0"/>
            <w:vAlign w:val="center"/>
          </w:tcPr>
          <w:p>
            <w:pPr>
              <w:keepNext w:val="0"/>
              <w:keepLines w:val="0"/>
              <w:pageBreakBefore w:val="0"/>
              <w:widowControl w:val="0"/>
              <w:kinsoku/>
              <w:overflowPunct/>
              <w:topLinePunct w:val="0"/>
              <w:autoSpaceDE/>
              <w:autoSpaceDN/>
              <w:bidi w:val="0"/>
              <w:spacing w:line="20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pPr>
              <w:rPr>
                <w:rFonts w:ascii="仿宋" w:hAnsi="仿宋" w:eastAsia="仿宋" w:cs="宋体"/>
                <w:bCs/>
                <w:color w:val="000000"/>
                <w:kern w:val="0"/>
                <w:szCs w:val="21"/>
              </w:rPr>
            </w:pPr>
            <w:r>
              <w:rPr>
                <w:rFonts w:hint="eastAsia" w:ascii="仿宋" w:hAnsi="仿宋" w:eastAsia="仿宋" w:cs="宋体"/>
                <w:bCs/>
                <w:color w:val="000000"/>
                <w:kern w:val="0"/>
                <w:szCs w:val="21"/>
              </w:rPr>
              <w:t>1）投标人必须具有相关经营范围和独立法人资格，且未被</w:t>
            </w:r>
            <w:r>
              <w:rPr>
                <w:rFonts w:hint="eastAsia" w:ascii="仿宋" w:hAnsi="仿宋" w:eastAsia="仿宋" w:cs="宋体"/>
                <w:bCs/>
                <w:color w:val="000000"/>
                <w:kern w:val="0"/>
                <w:szCs w:val="21"/>
                <w:lang w:eastAsia="zh-CN"/>
              </w:rPr>
              <w:t>财政部</w:t>
            </w:r>
            <w:bookmarkStart w:id="0" w:name="_GoBack"/>
            <w:bookmarkEnd w:id="0"/>
            <w:r>
              <w:rPr>
                <w:rFonts w:hint="eastAsia" w:ascii="仿宋" w:hAnsi="仿宋" w:eastAsia="仿宋" w:cs="宋体"/>
                <w:bCs/>
                <w:color w:val="000000"/>
                <w:kern w:val="0"/>
                <w:szCs w:val="21"/>
              </w:rPr>
              <w:t>有关部委、广东省和深圳市政府有关部门其中之一明令取消投标资格；</w:t>
            </w:r>
          </w:p>
          <w:p>
            <w:pPr>
              <w:rPr>
                <w:rFonts w:ascii="仿宋" w:hAnsi="仿宋" w:eastAsia="仿宋" w:cs="宋体"/>
                <w:bCs/>
                <w:color w:val="000000"/>
                <w:kern w:val="0"/>
                <w:szCs w:val="21"/>
              </w:rPr>
            </w:pPr>
            <w:r>
              <w:rPr>
                <w:rFonts w:hint="eastAsia" w:ascii="仿宋" w:hAnsi="仿宋" w:eastAsia="仿宋" w:cs="宋体"/>
                <w:bCs/>
                <w:color w:val="000000"/>
                <w:kern w:val="0"/>
                <w:szCs w:val="21"/>
                <w:lang w:val="en-US" w:eastAsia="zh-CN"/>
              </w:rPr>
              <w:t>2</w:t>
            </w:r>
            <w:r>
              <w:rPr>
                <w:rFonts w:hint="eastAsia" w:ascii="仿宋" w:hAnsi="仿宋" w:eastAsia="仿宋" w:cs="宋体"/>
                <w:bCs/>
                <w:color w:val="000000"/>
                <w:kern w:val="0"/>
                <w:szCs w:val="21"/>
              </w:rPr>
              <w:t>）投标人必须具有深圳市政府采购注册供应商资格（供应商注册网址：http://zfcg.sz.gov.cn）；</w:t>
            </w:r>
            <w:r>
              <w:rPr>
                <w:rFonts w:ascii="仿宋" w:hAnsi="仿宋" w:eastAsia="仿宋" w:cs="宋体"/>
                <w:bCs/>
                <w:color w:val="000000"/>
                <w:kern w:val="0"/>
                <w:szCs w:val="21"/>
              </w:rPr>
              <w:t xml:space="preserve"> </w:t>
            </w:r>
          </w:p>
          <w:p>
            <w:pPr>
              <w:rPr>
                <w:rFonts w:ascii="仿宋" w:hAnsi="仿宋" w:eastAsia="仿宋" w:cs="宋体"/>
                <w:bCs/>
                <w:color w:val="000000"/>
                <w:kern w:val="0"/>
                <w:szCs w:val="21"/>
              </w:rPr>
            </w:pPr>
            <w:r>
              <w:rPr>
                <w:rFonts w:hint="eastAsia" w:ascii="仿宋" w:hAnsi="仿宋" w:eastAsia="仿宋" w:cs="宋体"/>
                <w:bCs/>
                <w:color w:val="000000"/>
                <w:kern w:val="0"/>
                <w:szCs w:val="21"/>
                <w:lang w:val="en-US" w:eastAsia="zh-CN"/>
              </w:rPr>
              <w:t>3</w:t>
            </w:r>
            <w:r>
              <w:rPr>
                <w:rFonts w:hint="eastAsia" w:ascii="仿宋" w:hAnsi="仿宋" w:eastAsia="仿宋" w:cs="宋体"/>
                <w:bCs/>
                <w:color w:val="000000"/>
                <w:kern w:val="0"/>
                <w:szCs w:val="21"/>
              </w:rPr>
              <w:t>）本项目不接受联合体投标，不允许分包；</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b/>
                <w:color w:val="000000"/>
                <w:kern w:val="0"/>
                <w:szCs w:val="21"/>
                <w:highlight w:val="none"/>
              </w:rPr>
            </w:pPr>
            <w:r>
              <w:rPr>
                <w:rFonts w:hint="eastAsia" w:ascii="仿宋" w:hAnsi="仿宋" w:eastAsia="仿宋" w:cs="宋体"/>
                <w:bCs/>
                <w:color w:val="000000"/>
                <w:kern w:val="0"/>
                <w:szCs w:val="21"/>
                <w:lang w:val="en-US" w:eastAsia="zh-CN"/>
              </w:rPr>
              <w:t>4</w:t>
            </w:r>
            <w:r>
              <w:rPr>
                <w:rFonts w:hint="eastAsia" w:ascii="仿宋" w:hAnsi="仿宋" w:eastAsia="仿宋" w:cs="宋体"/>
                <w:bCs/>
                <w:color w:val="000000"/>
                <w:kern w:val="0"/>
                <w:szCs w:val="21"/>
              </w:rPr>
              <w:t>）投标人须签署《政府采购投标及履约承诺函》</w:t>
            </w:r>
            <w:r>
              <w:rPr>
                <w:rFonts w:hint="eastAsia" w:ascii="仿宋" w:hAnsi="仿宋" w:eastAsia="仿宋" w:cs="宋体"/>
                <w:bCs/>
                <w:color w:val="000000"/>
                <w:kern w:val="0"/>
                <w:szCs w:val="21"/>
                <w:lang w:val="en-US" w:eastAsia="zh-CN"/>
              </w:rPr>
              <w:t>和政府采购违法行为风险知悉确认书</w:t>
            </w:r>
            <w:r>
              <w:rPr>
                <w:rFonts w:hint="eastAsia" w:ascii="仿宋" w:hAnsi="仿宋" w:eastAsia="仿宋" w:cs="宋体"/>
                <w:bCs/>
                <w:color w:val="000000"/>
                <w:kern w:val="0"/>
                <w:szCs w:val="21"/>
              </w:rPr>
              <w:t>（详见附件</w:t>
            </w:r>
            <w:r>
              <w:rPr>
                <w:rFonts w:hint="default" w:ascii="仿宋" w:hAnsi="仿宋" w:eastAsia="仿宋" w:cs="宋体"/>
                <w:bCs/>
                <w:color w:val="000000"/>
                <w:kern w:val="0"/>
                <w:szCs w:val="21"/>
                <w:lang w:val="en-US"/>
              </w:rPr>
              <w:t>2</w:t>
            </w:r>
            <w:r>
              <w:rPr>
                <w:rFonts w:hint="eastAsia" w:ascii="仿宋" w:hAnsi="仿宋" w:eastAsia="仿宋" w:cs="宋体"/>
                <w:bCs/>
                <w:color w:val="000000"/>
                <w:kern w:val="0"/>
                <w:szCs w:val="21"/>
                <w:lang w:val="en-US" w:eastAsia="zh-CN"/>
              </w:rPr>
              <w:t>和附件3</w:t>
            </w:r>
            <w:r>
              <w:rPr>
                <w:rFonts w:hint="eastAsia" w:ascii="仿宋" w:hAnsi="仿宋" w:eastAsia="仿宋" w:cs="宋体"/>
                <w:bCs/>
                <w:color w:val="000000"/>
                <w:kern w:val="0"/>
                <w:szCs w:val="21"/>
              </w:rPr>
              <w:t>），否则作废标处理。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1560" w:type="dxa"/>
            <w:noWrap w:val="0"/>
            <w:vAlign w:val="top"/>
          </w:tcPr>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1.报价要求</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报价要求：(1)本项目预算金额：人民币</w:t>
            </w:r>
            <w:r>
              <w:rPr>
                <w:rFonts w:hint="eastAsia" w:ascii="仿宋" w:hAnsi="仿宋" w:eastAsia="仿宋"/>
                <w:color w:val="000000"/>
                <w:szCs w:val="21"/>
                <w:lang w:val="en-US" w:eastAsia="zh-CN"/>
              </w:rPr>
              <w:t>180000</w:t>
            </w:r>
            <w:r>
              <w:rPr>
                <w:rFonts w:hint="eastAsia" w:ascii="仿宋" w:hAnsi="仿宋" w:eastAsia="仿宋" w:cs="宋体"/>
                <w:bCs/>
                <w:color w:val="000000"/>
                <w:kern w:val="0"/>
                <w:sz w:val="21"/>
                <w:szCs w:val="21"/>
                <w:lang w:val="en-US" w:eastAsia="zh-CN" w:bidi="ar-SA"/>
              </w:rPr>
              <w:t>元，响应报价超过预算金额的视为无效响应。(2)响应总价必须是完成该项目的一切费用总和，包括设备费、运输费、装卸费、保险费、技术培训费、设备安装费、调试费、售后服务费、国家规定的各项税费以及提供样品过程产生的一切费用等。</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2、交货要求</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（1）交货/完工期：合同签定后90天（日历日）内，交货期是指所有货物运抵现场安装完毕后交付用户验收的日期。</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（2）交货地点：深圳市大鹏新区南澳街道地质公园路1号（深圳大鹏半岛国家地质自然公园管理处内）。</w:t>
            </w:r>
          </w:p>
          <w:p>
            <w:pPr>
              <w:spacing w:line="320" w:lineRule="exact"/>
              <w:ind w:firstLine="420" w:firstLineChars="200"/>
              <w:jc w:val="left"/>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3、付款方式：货到并安装完成经用户验收合格，在收到中标人提供的等额、有效发票后支付合同总金额的100%。</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4.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pPr>
              <w:pStyle w:val="9"/>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5、验收方式：由采购人按合同和采购文件、响应文件约定的要求和标准及中华人民共和国现行的验收规范和评定标准进行交货验收。</w:t>
            </w:r>
          </w:p>
          <w:p>
            <w:pPr>
              <w:pStyle w:val="9"/>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6、验收要求：货物必须满足以下条件后方可被用户方接受。（1）货物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w:t>
            </w:r>
          </w:p>
          <w:p>
            <w:pPr>
              <w:pStyle w:val="9"/>
              <w:adjustRightInd w:val="0"/>
              <w:spacing w:line="276" w:lineRule="auto"/>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7、质保售后服务要求：不收取质保金，质量保证期为1年。在此期间，如遇与所供产品有关的问题在接用户通知后48小时内应赶到现场提供免费服务。</w:t>
            </w:r>
          </w:p>
          <w:p>
            <w:pPr>
              <w:keepNext w:val="0"/>
              <w:keepLines w:val="0"/>
              <w:pageBreakBefore w:val="0"/>
              <w:widowControl w:val="0"/>
              <w:kinsoku/>
              <w:overflowPunct/>
              <w:topLinePunct w:val="0"/>
              <w:autoSpaceDE/>
              <w:autoSpaceDN/>
              <w:bidi w:val="0"/>
              <w:spacing w:line="220" w:lineRule="exact"/>
              <w:ind w:firstLine="205" w:firstLineChars="98"/>
              <w:jc w:val="left"/>
              <w:rPr>
                <w:rFonts w:hint="eastAsia" w:ascii="仿宋" w:hAnsi="仿宋" w:eastAsia="仿宋" w:cs="仿宋"/>
                <w:color w:val="000000"/>
                <w:kern w:val="0"/>
                <w:szCs w:val="21"/>
                <w:highlight w:val="none"/>
              </w:rPr>
            </w:pPr>
          </w:p>
        </w:tc>
      </w:tr>
    </w:tbl>
    <w:p>
      <w:pPr>
        <w:pStyle w:val="9"/>
        <w:adjustRightInd w:val="0"/>
        <w:spacing w:line="276" w:lineRule="auto"/>
        <w:ind w:left="0" w:leftChars="0" w:firstLine="0" w:firstLineChars="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需求清单</w:t>
      </w:r>
    </w:p>
    <w:tbl>
      <w:tblPr>
        <w:tblStyle w:val="7"/>
        <w:tblW w:w="90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1055"/>
        <w:gridCol w:w="3105"/>
        <w:gridCol w:w="938"/>
        <w:gridCol w:w="1260"/>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djustRightInd w:val="0"/>
              <w:spacing w:line="276" w:lineRule="auto"/>
              <w:ind w:left="0" w:leftChars="0" w:firstLine="0" w:firstLineChars="0"/>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序 号</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adjustRightInd w:val="0"/>
              <w:spacing w:line="276" w:lineRule="auto"/>
              <w:ind w:left="0" w:leftChars="0" w:firstLine="0" w:firstLineChars="0"/>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名 称</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参数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adjustRightInd w:val="0"/>
              <w:spacing w:line="276" w:lineRule="auto"/>
              <w:ind w:left="0" w:leftChars="0" w:firstLine="0" w:firstLineChars="0"/>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单 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adjustRightInd w:val="0"/>
              <w:spacing w:line="276" w:lineRule="auto"/>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djustRightInd w:val="0"/>
              <w:spacing w:line="276" w:lineRule="auto"/>
              <w:ind w:left="0" w:leftChars="0" w:firstLine="0" w:firstLineChars="0"/>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警示标识牌</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djustRightInd w:val="0"/>
              <w:spacing w:line="276" w:lineRule="auto"/>
              <w:ind w:left="0" w:leftChars="0" w:firstLine="0" w:firstLineChars="0"/>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警示牌（热转印木纹不锈钢，高60*宽40cm，满焊封顶，支柱埋地60cm总长2.2m）</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adjustRightInd w:val="0"/>
              <w:spacing w:line="276" w:lineRule="auto"/>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adjustRightInd w:val="0"/>
              <w:spacing w:line="276" w:lineRule="auto"/>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120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adjustRightInd w:val="0"/>
              <w:spacing w:line="276" w:lineRule="auto"/>
              <w:ind w:left="0" w:leftChars="0" w:firstLine="0" w:firstLineChars="0"/>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含设备与材料、无人机吊运、地基开挖、灌注水泥、人工施工等。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32D8D"/>
    <w:rsid w:val="10CB1BC5"/>
    <w:rsid w:val="113C1840"/>
    <w:rsid w:val="1F9E6999"/>
    <w:rsid w:val="22A32D8D"/>
    <w:rsid w:val="4ECE4D11"/>
    <w:rsid w:val="547C130C"/>
    <w:rsid w:val="6C6E6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cs="宋体"/>
      <w:szCs w:val="24"/>
    </w:rPr>
  </w:style>
  <w:style w:type="paragraph" w:styleId="4">
    <w:name w:val="Body Text"/>
    <w:basedOn w:val="1"/>
    <w:qFormat/>
    <w:uiPriority w:val="0"/>
    <w:pPr>
      <w:tabs>
        <w:tab w:val="left" w:pos="5760"/>
      </w:tabs>
    </w:pPr>
    <w:rPr>
      <w:rFonts w:ascii="宋体" w:hAnsi="宋体"/>
      <w:sz w:val="28"/>
      <w:szCs w:val="20"/>
    </w:rPr>
  </w:style>
  <w:style w:type="paragraph" w:styleId="5">
    <w:name w:val="footnote text"/>
    <w:basedOn w:val="1"/>
    <w:qFormat/>
    <w:uiPriority w:val="0"/>
    <w:pPr>
      <w:snapToGrid w:val="0"/>
      <w:jc w:val="left"/>
    </w:pPr>
    <w:rPr>
      <w:sz w:val="18"/>
    </w:rPr>
  </w:style>
  <w:style w:type="paragraph" w:styleId="6">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1212</Words>
  <Characters>1267</Characters>
  <Lines>0</Lines>
  <Paragraphs>0</Paragraphs>
  <TotalTime>3</TotalTime>
  <ScaleCrop>false</ScaleCrop>
  <LinksUpToDate>false</LinksUpToDate>
  <CharactersWithSpaces>1271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2026-01-29T07:30:00Z</dcterms:created>
  <dc:creator>深圳地质公园</dc:creator>
  <cp:lastModifiedBy>admin</cp:lastModifiedBy>
  <cp:lastPrinted>2026-02-02T01:54:00Z</cp:lastPrinted>
  <dcterms:modified xsi:type="dcterms:W3CDTF">2026-03-25T01:57:41Z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43BFB1B014824C29B3340C2B67D10BFC_11</vt:lpwstr>
  </property>
  <property fmtid="{D5CDD505-2E9C-101B-9397-08002B2CF9AE}" pid="4" name="KSOTemplateDocerSaveRecord">
    <vt:lpwstr>eyJoZGlkIjoiMWFkMzdlZGYxZDRjYWM1NWZlZWRhYzg0OTE0NzA3MmYiLCJ1c2VySWQiOiIxNTk0MTIyNDM4In0=</vt:lpwstr>
  </property>
</Properties>
</file>