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黑体" w:hAnsi="黑体" w:eastAsia="黑体" w:cs="黑体"/>
          <w:b/>
          <w:bCs/>
          <w:color w:val="000000"/>
          <w:sz w:val="44"/>
          <w:szCs w:val="44"/>
        </w:rPr>
      </w:pPr>
      <w:r>
        <w:rPr>
          <w:rFonts w:hint="eastAsia" w:ascii="黑体" w:hAnsi="黑体" w:eastAsia="黑体" w:cs="黑体"/>
          <w:b/>
          <w:bCs/>
          <w:color w:val="000000"/>
          <w:sz w:val="44"/>
          <w:szCs w:val="44"/>
        </w:rPr>
        <w:t>深圳大鹏半岛国家地质</w:t>
      </w:r>
      <w:r>
        <w:rPr>
          <w:rFonts w:hint="eastAsia" w:ascii="黑体" w:hAnsi="黑体" w:eastAsia="黑体" w:cs="黑体"/>
          <w:b/>
          <w:bCs/>
          <w:color w:val="000000"/>
          <w:sz w:val="44"/>
          <w:szCs w:val="44"/>
          <w:lang w:val="en-US" w:eastAsia="zh-CN"/>
        </w:rPr>
        <w:t>自然</w:t>
      </w:r>
      <w:r>
        <w:rPr>
          <w:rFonts w:hint="eastAsia" w:ascii="黑体" w:hAnsi="黑体" w:eastAsia="黑体" w:cs="黑体"/>
          <w:b/>
          <w:bCs/>
          <w:color w:val="000000"/>
          <w:sz w:val="44"/>
          <w:szCs w:val="44"/>
        </w:rPr>
        <w:t>公园管理处</w:t>
      </w:r>
    </w:p>
    <w:p>
      <w:pPr>
        <w:spacing w:line="580" w:lineRule="exact"/>
        <w:jc w:val="center"/>
        <w:rPr>
          <w:rFonts w:hint="eastAsia" w:ascii="黑体" w:hAnsi="黑体" w:eastAsia="黑体" w:cs="黑体"/>
          <w:b/>
          <w:bCs/>
          <w:color w:val="000000"/>
          <w:sz w:val="44"/>
          <w:szCs w:val="44"/>
          <w:lang w:val="en-US" w:eastAsia="zh-CN"/>
        </w:rPr>
      </w:pPr>
      <w:r>
        <w:rPr>
          <w:rFonts w:hint="eastAsia" w:ascii="黑体" w:hAnsi="黑体" w:eastAsia="黑体" w:cs="黑体"/>
          <w:b/>
          <w:bCs/>
          <w:color w:val="000000"/>
          <w:sz w:val="44"/>
          <w:szCs w:val="44"/>
          <w:lang w:val="en-US" w:eastAsia="zh-CN"/>
        </w:rPr>
        <w:t>采购不锈钢水箱及工具箱项目需求</w:t>
      </w:r>
    </w:p>
    <w:p>
      <w:pPr>
        <w:spacing w:line="580" w:lineRule="exact"/>
        <w:jc w:val="center"/>
        <w:rPr>
          <w:rFonts w:hint="eastAsia" w:ascii="黑体" w:hAnsi="黑体" w:eastAsia="黑体" w:cs="黑体"/>
          <w:b/>
          <w:bCs/>
          <w:color w:val="000000"/>
          <w:sz w:val="44"/>
          <w:szCs w:val="44"/>
        </w:rPr>
      </w:pPr>
      <w:r>
        <w:rPr>
          <w:rFonts w:hint="eastAsia" w:ascii="黑体" w:hAnsi="黑体" w:eastAsia="黑体" w:cs="黑体"/>
          <w:b/>
          <w:bCs/>
          <w:color w:val="000000"/>
          <w:sz w:val="44"/>
          <w:szCs w:val="44"/>
          <w:lang w:val="en-US" w:eastAsia="zh-CN"/>
        </w:rPr>
        <w:t>文</w:t>
      </w:r>
      <w:r>
        <w:rPr>
          <w:rFonts w:hint="eastAsia" w:ascii="黑体" w:hAnsi="黑体" w:eastAsia="黑体" w:cs="黑体"/>
          <w:b/>
          <w:bCs/>
          <w:color w:val="000000"/>
          <w:sz w:val="44"/>
          <w:szCs w:val="44"/>
        </w:rPr>
        <w:t>件</w:t>
      </w:r>
    </w:p>
    <w:tbl>
      <w:tblPr>
        <w:tblStyle w:val="7"/>
        <w:tblW w:w="89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18"/>
        <w:gridCol w:w="1228"/>
        <w:gridCol w:w="2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560" w:type="dxa"/>
            <w:noWrap w:val="0"/>
            <w:vAlign w:val="center"/>
          </w:tcPr>
          <w:p>
            <w:pPr>
              <w:keepNext w:val="0"/>
              <w:keepLines w:val="0"/>
              <w:pageBreakBefore w:val="0"/>
              <w:widowControl w:val="0"/>
              <w:kinsoku/>
              <w:overflowPunct/>
              <w:topLinePunct w:val="0"/>
              <w:autoSpaceDE/>
              <w:autoSpaceDN/>
              <w:bidi w:val="0"/>
              <w:spacing w:line="200" w:lineRule="exact"/>
              <w:jc w:val="left"/>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w:t>
            </w:r>
            <w:r>
              <w:rPr>
                <w:rFonts w:hint="eastAsia" w:ascii="仿宋" w:hAnsi="仿宋" w:eastAsia="仿宋" w:cs="仿宋"/>
                <w:color w:val="000000"/>
                <w:szCs w:val="21"/>
                <w:highlight w:val="none"/>
              </w:rPr>
              <w:t>项目名称</w:t>
            </w:r>
          </w:p>
        </w:tc>
        <w:tc>
          <w:tcPr>
            <w:tcW w:w="7407" w:type="dxa"/>
            <w:gridSpan w:val="3"/>
            <w:noWrap w:val="0"/>
            <w:vAlign w:val="center"/>
          </w:tcPr>
          <w:p>
            <w:pPr>
              <w:keepNext w:val="0"/>
              <w:keepLines w:val="0"/>
              <w:pageBreakBefore w:val="0"/>
              <w:widowControl w:val="0"/>
              <w:kinsoku/>
              <w:overflowPunct/>
              <w:topLinePunct w:val="0"/>
              <w:autoSpaceDE/>
              <w:autoSpaceDN/>
              <w:bidi w:val="0"/>
              <w:spacing w:line="22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olor w:val="000000"/>
                <w:szCs w:val="21"/>
                <w:lang w:val="en-US" w:eastAsia="zh-CN"/>
              </w:rPr>
              <w:t>采购不锈钢水箱及工具箱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60" w:type="dxa"/>
            <w:noWrap w:val="0"/>
            <w:vAlign w:val="center"/>
          </w:tcPr>
          <w:p>
            <w:pPr>
              <w:keepNext w:val="0"/>
              <w:keepLines w:val="0"/>
              <w:pageBreakBefore w:val="0"/>
              <w:widowControl w:val="0"/>
              <w:kinsoku/>
              <w:overflowPunct/>
              <w:topLinePunct w:val="0"/>
              <w:autoSpaceDE/>
              <w:autoSpaceDN/>
              <w:bidi w:val="0"/>
              <w:spacing w:line="200" w:lineRule="exact"/>
              <w:jc w:val="left"/>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w:t>
            </w:r>
            <w:r>
              <w:rPr>
                <w:rFonts w:hint="eastAsia" w:ascii="仿宋" w:hAnsi="仿宋" w:eastAsia="仿宋" w:cs="仿宋"/>
                <w:color w:val="000000"/>
                <w:szCs w:val="21"/>
                <w:highlight w:val="none"/>
              </w:rPr>
              <w:t>采购人名称</w:t>
            </w:r>
          </w:p>
        </w:tc>
        <w:tc>
          <w:tcPr>
            <w:tcW w:w="3918" w:type="dxa"/>
            <w:noWrap w:val="0"/>
            <w:vAlign w:val="center"/>
          </w:tcPr>
          <w:p>
            <w:pPr>
              <w:keepNext w:val="0"/>
              <w:keepLines w:val="0"/>
              <w:pageBreakBefore w:val="0"/>
              <w:widowControl w:val="0"/>
              <w:kinsoku/>
              <w:overflowPunct/>
              <w:topLinePunct w:val="0"/>
              <w:autoSpaceDE/>
              <w:autoSpaceDN/>
              <w:bidi w:val="0"/>
              <w:spacing w:line="200" w:lineRule="exact"/>
              <w:jc w:val="left"/>
              <w:rPr>
                <w:rFonts w:hint="eastAsia" w:ascii="仿宋" w:hAnsi="仿宋" w:eastAsia="仿宋" w:cs="仿宋"/>
                <w:color w:val="000000"/>
                <w:szCs w:val="21"/>
                <w:highlight w:val="none"/>
              </w:rPr>
            </w:pPr>
            <w:r>
              <w:rPr>
                <w:rFonts w:hint="eastAsia" w:ascii="仿宋" w:hAnsi="仿宋" w:eastAsia="仿宋"/>
                <w:color w:val="000000"/>
                <w:szCs w:val="21"/>
              </w:rPr>
              <w:t>深圳大鹏半岛国家地质</w:t>
            </w:r>
            <w:r>
              <w:rPr>
                <w:rFonts w:hint="eastAsia" w:ascii="仿宋" w:hAnsi="仿宋" w:eastAsia="仿宋"/>
                <w:color w:val="000000"/>
                <w:szCs w:val="21"/>
                <w:lang w:val="en-US" w:eastAsia="zh-CN"/>
              </w:rPr>
              <w:t>自然</w:t>
            </w:r>
            <w:r>
              <w:rPr>
                <w:rFonts w:hint="eastAsia" w:ascii="仿宋" w:hAnsi="仿宋" w:eastAsia="仿宋"/>
                <w:color w:val="000000"/>
                <w:szCs w:val="21"/>
              </w:rPr>
              <w:t>公园管理处</w:t>
            </w:r>
          </w:p>
        </w:tc>
        <w:tc>
          <w:tcPr>
            <w:tcW w:w="1228" w:type="dxa"/>
            <w:noWrap w:val="0"/>
            <w:vAlign w:val="center"/>
          </w:tcPr>
          <w:p>
            <w:pPr>
              <w:keepNext w:val="0"/>
              <w:keepLines w:val="0"/>
              <w:pageBreakBefore w:val="0"/>
              <w:widowControl w:val="0"/>
              <w:kinsoku/>
              <w:overflowPunct/>
              <w:topLinePunct w:val="0"/>
              <w:autoSpaceDE/>
              <w:autoSpaceDN/>
              <w:bidi w:val="0"/>
              <w:spacing w:line="200" w:lineRule="exact"/>
              <w:jc w:val="left"/>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w:t>
            </w:r>
            <w:r>
              <w:rPr>
                <w:rFonts w:hint="eastAsia" w:ascii="仿宋" w:hAnsi="仿宋" w:eastAsia="仿宋" w:cs="仿宋"/>
                <w:color w:val="000000"/>
                <w:szCs w:val="21"/>
                <w:highlight w:val="none"/>
              </w:rPr>
              <w:t>采购方式</w:t>
            </w:r>
          </w:p>
        </w:tc>
        <w:tc>
          <w:tcPr>
            <w:tcW w:w="2261" w:type="dxa"/>
            <w:noWrap w:val="0"/>
            <w:vAlign w:val="center"/>
          </w:tcPr>
          <w:p>
            <w:pPr>
              <w:keepNext w:val="0"/>
              <w:keepLines w:val="0"/>
              <w:pageBreakBefore w:val="0"/>
              <w:widowControl w:val="0"/>
              <w:kinsoku/>
              <w:overflowPunct/>
              <w:topLinePunct w:val="0"/>
              <w:autoSpaceDE/>
              <w:autoSpaceDN/>
              <w:bidi w:val="0"/>
              <w:spacing w:line="200" w:lineRule="exact"/>
              <w:jc w:val="left"/>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询价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560" w:type="dxa"/>
            <w:noWrap w:val="0"/>
            <w:vAlign w:val="center"/>
          </w:tcPr>
          <w:p>
            <w:pPr>
              <w:keepNext w:val="0"/>
              <w:keepLines w:val="0"/>
              <w:pageBreakBefore w:val="0"/>
              <w:widowControl w:val="0"/>
              <w:kinsoku/>
              <w:overflowPunct/>
              <w:topLinePunct w:val="0"/>
              <w:autoSpaceDE/>
              <w:autoSpaceDN/>
              <w:bidi w:val="0"/>
              <w:spacing w:line="200" w:lineRule="exact"/>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计划立项批文号</w:t>
            </w:r>
          </w:p>
        </w:tc>
        <w:tc>
          <w:tcPr>
            <w:tcW w:w="3918" w:type="dxa"/>
            <w:noWrap w:val="0"/>
            <w:vAlign w:val="center"/>
          </w:tcPr>
          <w:p>
            <w:pPr>
              <w:keepNext w:val="0"/>
              <w:keepLines w:val="0"/>
              <w:pageBreakBefore w:val="0"/>
              <w:widowControl w:val="0"/>
              <w:kinsoku/>
              <w:overflowPunct/>
              <w:topLinePunct w:val="0"/>
              <w:autoSpaceDE/>
              <w:autoSpaceDN/>
              <w:bidi w:val="0"/>
              <w:spacing w:line="200" w:lineRule="exact"/>
              <w:jc w:val="left"/>
              <w:rPr>
                <w:rFonts w:hint="eastAsia" w:ascii="仿宋" w:hAnsi="仿宋" w:eastAsia="仿宋" w:cs="仿宋"/>
                <w:color w:val="000000"/>
                <w:szCs w:val="21"/>
                <w:highlight w:val="none"/>
              </w:rPr>
            </w:pPr>
          </w:p>
        </w:tc>
        <w:tc>
          <w:tcPr>
            <w:tcW w:w="1228" w:type="dxa"/>
            <w:noWrap w:val="0"/>
            <w:vAlign w:val="center"/>
          </w:tcPr>
          <w:p>
            <w:pPr>
              <w:keepNext w:val="0"/>
              <w:keepLines w:val="0"/>
              <w:pageBreakBefore w:val="0"/>
              <w:widowControl w:val="0"/>
              <w:kinsoku/>
              <w:overflowPunct/>
              <w:topLinePunct w:val="0"/>
              <w:autoSpaceDE/>
              <w:autoSpaceDN/>
              <w:bidi w:val="0"/>
              <w:spacing w:line="200" w:lineRule="exact"/>
              <w:jc w:val="left"/>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w:t>
            </w:r>
            <w:r>
              <w:rPr>
                <w:rFonts w:hint="eastAsia" w:ascii="仿宋" w:hAnsi="仿宋" w:eastAsia="仿宋" w:cs="仿宋"/>
                <w:color w:val="000000"/>
                <w:szCs w:val="21"/>
                <w:highlight w:val="none"/>
              </w:rPr>
              <w:t>资金来源</w:t>
            </w:r>
          </w:p>
        </w:tc>
        <w:tc>
          <w:tcPr>
            <w:tcW w:w="2261" w:type="dxa"/>
            <w:noWrap w:val="0"/>
            <w:vAlign w:val="center"/>
          </w:tcPr>
          <w:p>
            <w:pPr>
              <w:keepNext w:val="0"/>
              <w:keepLines w:val="0"/>
              <w:pageBreakBefore w:val="0"/>
              <w:widowControl w:val="0"/>
              <w:kinsoku/>
              <w:overflowPunct/>
              <w:topLinePunct w:val="0"/>
              <w:autoSpaceDE/>
              <w:autoSpaceDN/>
              <w:bidi w:val="0"/>
              <w:spacing w:line="200" w:lineRule="exact"/>
              <w:jc w:val="left"/>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after="0"/>
              <w:ind w:firstLine="420" w:firstLineChars="200"/>
              <w:jc w:val="left"/>
              <w:textAlignment w:val="auto"/>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*财政预算限额（元）</w:t>
            </w:r>
          </w:p>
        </w:tc>
        <w:tc>
          <w:tcPr>
            <w:tcW w:w="3918" w:type="dxa"/>
            <w:noWrap w:val="0"/>
            <w:vAlign w:val="center"/>
          </w:tcPr>
          <w:p>
            <w:pPr>
              <w:keepNext w:val="0"/>
              <w:keepLines w:val="0"/>
              <w:pageBreakBefore w:val="0"/>
              <w:widowControl w:val="0"/>
              <w:kinsoku/>
              <w:wordWrap/>
              <w:overflowPunct/>
              <w:topLinePunct w:val="0"/>
              <w:autoSpaceDE/>
              <w:autoSpaceDN/>
              <w:bidi w:val="0"/>
              <w:adjustRightInd/>
              <w:snapToGrid/>
              <w:spacing w:after="0"/>
              <w:ind w:firstLine="420" w:firstLineChars="200"/>
              <w:jc w:val="left"/>
              <w:textAlignment w:val="auto"/>
              <w:rPr>
                <w:rFonts w:hint="default"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157800</w:t>
            </w:r>
          </w:p>
        </w:tc>
        <w:tc>
          <w:tcPr>
            <w:tcW w:w="1228" w:type="dxa"/>
            <w:noWrap w:val="0"/>
            <w:vAlign w:val="center"/>
          </w:tcPr>
          <w:p>
            <w:pPr>
              <w:keepNext w:val="0"/>
              <w:keepLines w:val="0"/>
              <w:pageBreakBefore w:val="0"/>
              <w:widowControl w:val="0"/>
              <w:kinsoku/>
              <w:overflowPunct/>
              <w:topLinePunct w:val="0"/>
              <w:autoSpaceDE/>
              <w:autoSpaceDN/>
              <w:bidi w:val="0"/>
              <w:spacing w:line="200" w:lineRule="exact"/>
              <w:jc w:val="left"/>
              <w:rPr>
                <w:rFonts w:hint="eastAsia" w:ascii="仿宋" w:hAnsi="仿宋" w:eastAsia="仿宋" w:cs="仿宋"/>
                <w:color w:val="000000"/>
                <w:szCs w:val="21"/>
                <w:highlight w:val="none"/>
              </w:rPr>
            </w:pPr>
          </w:p>
        </w:tc>
        <w:tc>
          <w:tcPr>
            <w:tcW w:w="2261" w:type="dxa"/>
            <w:noWrap w:val="0"/>
            <w:vAlign w:val="center"/>
          </w:tcPr>
          <w:p>
            <w:pPr>
              <w:keepNext w:val="0"/>
              <w:keepLines w:val="0"/>
              <w:pageBreakBefore w:val="0"/>
              <w:widowControl w:val="0"/>
              <w:kinsoku/>
              <w:overflowPunct/>
              <w:topLinePunct w:val="0"/>
              <w:autoSpaceDE/>
              <w:autoSpaceDN/>
              <w:bidi w:val="0"/>
              <w:spacing w:line="200" w:lineRule="exact"/>
              <w:jc w:val="left"/>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560" w:type="dxa"/>
            <w:noWrap w:val="0"/>
            <w:vAlign w:val="center"/>
          </w:tcPr>
          <w:p>
            <w:pPr>
              <w:keepNext w:val="0"/>
              <w:keepLines w:val="0"/>
              <w:pageBreakBefore w:val="0"/>
              <w:widowControl w:val="0"/>
              <w:kinsoku/>
              <w:overflowPunct/>
              <w:topLinePunct w:val="0"/>
              <w:autoSpaceDE/>
              <w:autoSpaceDN/>
              <w:bidi w:val="0"/>
              <w:spacing w:line="200" w:lineRule="exact"/>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项目背景</w:t>
            </w:r>
          </w:p>
        </w:tc>
        <w:tc>
          <w:tcPr>
            <w:tcW w:w="740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after="0"/>
              <w:ind w:firstLine="420" w:firstLineChars="200"/>
              <w:jc w:val="left"/>
              <w:textAlignment w:val="auto"/>
              <w:rPr>
                <w:rFonts w:hint="default"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为做好森林防灭火工作，进一步提高地质公园防灭火基础设施建设，地质公园计划在鹿雁登山科考线、主峰登山科考线和鲲鹏径第20段安装不锈钢水箱4个。部分现有消防水桶无工具箱，拟采购21个消防水桶（水箱）工具箱。</w:t>
            </w:r>
          </w:p>
          <w:p>
            <w:pPr>
              <w:keepNext w:val="0"/>
              <w:keepLines w:val="0"/>
              <w:pageBreakBefore w:val="0"/>
              <w:widowControl w:val="0"/>
              <w:kinsoku/>
              <w:wordWrap/>
              <w:overflowPunct/>
              <w:topLinePunct w:val="0"/>
              <w:autoSpaceDE/>
              <w:autoSpaceDN/>
              <w:bidi w:val="0"/>
              <w:adjustRightInd/>
              <w:snapToGrid/>
              <w:spacing w:after="0"/>
              <w:jc w:val="left"/>
              <w:textAlignment w:val="auto"/>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560" w:type="dxa"/>
            <w:noWrap w:val="0"/>
            <w:vAlign w:val="center"/>
          </w:tcPr>
          <w:p>
            <w:pPr>
              <w:keepNext w:val="0"/>
              <w:keepLines w:val="0"/>
              <w:pageBreakBefore w:val="0"/>
              <w:widowControl w:val="0"/>
              <w:kinsoku/>
              <w:overflowPunct/>
              <w:topLinePunct w:val="0"/>
              <w:autoSpaceDE/>
              <w:autoSpaceDN/>
              <w:bidi w:val="0"/>
              <w:spacing w:line="200" w:lineRule="exact"/>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项目前期设计、规划论证单位</w:t>
            </w:r>
          </w:p>
        </w:tc>
        <w:tc>
          <w:tcPr>
            <w:tcW w:w="7407" w:type="dxa"/>
            <w:gridSpan w:val="3"/>
            <w:noWrap w:val="0"/>
            <w:vAlign w:val="center"/>
          </w:tcPr>
          <w:p>
            <w:pPr>
              <w:keepNext w:val="0"/>
              <w:keepLines w:val="0"/>
              <w:pageBreakBefore w:val="0"/>
              <w:widowControl w:val="0"/>
              <w:kinsoku/>
              <w:overflowPunct/>
              <w:topLinePunct w:val="0"/>
              <w:autoSpaceDE/>
              <w:autoSpaceDN/>
              <w:bidi w:val="0"/>
              <w:spacing w:line="200" w:lineRule="exact"/>
              <w:jc w:val="left"/>
              <w:rPr>
                <w:rFonts w:hint="default"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560" w:type="dxa"/>
            <w:noWrap w:val="0"/>
            <w:vAlign w:val="center"/>
          </w:tcPr>
          <w:p>
            <w:pPr>
              <w:keepNext w:val="0"/>
              <w:keepLines w:val="0"/>
              <w:pageBreakBefore w:val="0"/>
              <w:widowControl w:val="0"/>
              <w:kinsoku/>
              <w:overflowPunct/>
              <w:topLinePunct w:val="0"/>
              <w:autoSpaceDE/>
              <w:autoSpaceDN/>
              <w:bidi w:val="0"/>
              <w:spacing w:line="220" w:lineRule="exact"/>
              <w:jc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rPr>
              <w:t>投标人资质要求</w:t>
            </w:r>
          </w:p>
        </w:tc>
        <w:tc>
          <w:tcPr>
            <w:tcW w:w="7407" w:type="dxa"/>
            <w:gridSpan w:val="3"/>
            <w:noWrap w:val="0"/>
            <w:vAlign w:val="top"/>
          </w:tcPr>
          <w:p>
            <w:pPr>
              <w:rPr>
                <w:rFonts w:ascii="仿宋" w:hAnsi="仿宋" w:eastAsia="仿宋" w:cs="宋体"/>
                <w:bCs/>
                <w:color w:val="000000"/>
                <w:kern w:val="0"/>
                <w:szCs w:val="21"/>
              </w:rPr>
            </w:pPr>
            <w:r>
              <w:rPr>
                <w:rFonts w:hint="eastAsia" w:ascii="仿宋" w:hAnsi="仿宋" w:eastAsia="仿宋" w:cs="宋体"/>
                <w:bCs/>
                <w:color w:val="000000"/>
                <w:kern w:val="0"/>
                <w:szCs w:val="21"/>
              </w:rPr>
              <w:t>1）投标人必须具有相关经营范围和独立法人资格，且未被</w:t>
            </w:r>
            <w:r>
              <w:rPr>
                <w:rFonts w:hint="eastAsia" w:ascii="仿宋" w:hAnsi="仿宋" w:eastAsia="仿宋" w:cs="宋体"/>
                <w:bCs/>
                <w:color w:val="000000"/>
                <w:kern w:val="0"/>
                <w:szCs w:val="21"/>
                <w:lang w:eastAsia="zh-CN"/>
              </w:rPr>
              <w:t>财政部</w:t>
            </w:r>
            <w:bookmarkStart w:id="0" w:name="_GoBack"/>
            <w:bookmarkEnd w:id="0"/>
            <w:r>
              <w:rPr>
                <w:rFonts w:hint="eastAsia" w:ascii="仿宋" w:hAnsi="仿宋" w:eastAsia="仿宋" w:cs="宋体"/>
                <w:bCs/>
                <w:color w:val="000000"/>
                <w:kern w:val="0"/>
                <w:szCs w:val="21"/>
              </w:rPr>
              <w:t>有关部委、广东省和深圳市政府有关部门其中之一明令取消投标资格；</w:t>
            </w:r>
          </w:p>
          <w:p>
            <w:pPr>
              <w:rPr>
                <w:rFonts w:ascii="仿宋" w:hAnsi="仿宋" w:eastAsia="仿宋" w:cs="宋体"/>
                <w:bCs/>
                <w:color w:val="000000"/>
                <w:kern w:val="0"/>
                <w:szCs w:val="21"/>
              </w:rPr>
            </w:pPr>
            <w:r>
              <w:rPr>
                <w:rFonts w:hint="eastAsia" w:ascii="仿宋" w:hAnsi="仿宋" w:eastAsia="仿宋" w:cs="宋体"/>
                <w:bCs/>
                <w:color w:val="000000"/>
                <w:kern w:val="0"/>
                <w:szCs w:val="21"/>
                <w:lang w:val="en-US" w:eastAsia="zh-CN"/>
              </w:rPr>
              <w:t>2</w:t>
            </w:r>
            <w:r>
              <w:rPr>
                <w:rFonts w:hint="eastAsia" w:ascii="仿宋" w:hAnsi="仿宋" w:eastAsia="仿宋" w:cs="宋体"/>
                <w:bCs/>
                <w:color w:val="000000"/>
                <w:kern w:val="0"/>
                <w:szCs w:val="21"/>
              </w:rPr>
              <w:t>）投标人必须具有深圳市政府采购注册供应商资格（供应商注册网址：http://zfcg.sz.gov.cn）；</w:t>
            </w:r>
            <w:r>
              <w:rPr>
                <w:rFonts w:ascii="仿宋" w:hAnsi="仿宋" w:eastAsia="仿宋" w:cs="宋体"/>
                <w:bCs/>
                <w:color w:val="000000"/>
                <w:kern w:val="0"/>
                <w:szCs w:val="21"/>
              </w:rPr>
              <w:t xml:space="preserve"> </w:t>
            </w:r>
          </w:p>
          <w:p>
            <w:pPr>
              <w:rPr>
                <w:rFonts w:ascii="仿宋" w:hAnsi="仿宋" w:eastAsia="仿宋" w:cs="宋体"/>
                <w:bCs/>
                <w:color w:val="000000"/>
                <w:kern w:val="0"/>
                <w:szCs w:val="21"/>
              </w:rPr>
            </w:pPr>
            <w:r>
              <w:rPr>
                <w:rFonts w:hint="eastAsia" w:ascii="仿宋" w:hAnsi="仿宋" w:eastAsia="仿宋" w:cs="宋体"/>
                <w:bCs/>
                <w:color w:val="000000"/>
                <w:kern w:val="0"/>
                <w:szCs w:val="21"/>
                <w:lang w:val="en-US" w:eastAsia="zh-CN"/>
              </w:rPr>
              <w:t>3</w:t>
            </w:r>
            <w:r>
              <w:rPr>
                <w:rFonts w:hint="eastAsia" w:ascii="仿宋" w:hAnsi="仿宋" w:eastAsia="仿宋" w:cs="宋体"/>
                <w:bCs/>
                <w:color w:val="000000"/>
                <w:kern w:val="0"/>
                <w:szCs w:val="21"/>
              </w:rPr>
              <w:t>）本项目不接受联合体投标，不允许分包；</w:t>
            </w:r>
          </w:p>
          <w:p>
            <w:pPr>
              <w:keepNext w:val="0"/>
              <w:keepLines w:val="0"/>
              <w:pageBreakBefore w:val="0"/>
              <w:widowControl w:val="0"/>
              <w:kinsoku/>
              <w:overflowPunct/>
              <w:topLinePunct w:val="0"/>
              <w:autoSpaceDE/>
              <w:autoSpaceDN/>
              <w:bidi w:val="0"/>
              <w:spacing w:line="220" w:lineRule="exact"/>
              <w:jc w:val="left"/>
              <w:rPr>
                <w:rFonts w:hint="eastAsia" w:ascii="仿宋" w:hAnsi="仿宋" w:eastAsia="仿宋" w:cs="仿宋"/>
                <w:b/>
                <w:color w:val="000000"/>
                <w:kern w:val="0"/>
                <w:szCs w:val="21"/>
                <w:highlight w:val="none"/>
              </w:rPr>
            </w:pPr>
            <w:r>
              <w:rPr>
                <w:rFonts w:hint="eastAsia" w:ascii="仿宋" w:hAnsi="仿宋" w:eastAsia="仿宋" w:cs="宋体"/>
                <w:bCs/>
                <w:color w:val="000000"/>
                <w:kern w:val="0"/>
                <w:szCs w:val="21"/>
                <w:lang w:val="en-US" w:eastAsia="zh-CN"/>
              </w:rPr>
              <w:t>4</w:t>
            </w:r>
            <w:r>
              <w:rPr>
                <w:rFonts w:hint="eastAsia" w:ascii="仿宋" w:hAnsi="仿宋" w:eastAsia="仿宋" w:cs="宋体"/>
                <w:bCs/>
                <w:color w:val="000000"/>
                <w:kern w:val="0"/>
                <w:szCs w:val="21"/>
              </w:rPr>
              <w:t>）投标人须签署《政府采购投标及履约承诺函》</w:t>
            </w:r>
            <w:r>
              <w:rPr>
                <w:rFonts w:hint="eastAsia" w:ascii="仿宋" w:hAnsi="仿宋" w:eastAsia="仿宋" w:cs="宋体"/>
                <w:bCs/>
                <w:color w:val="000000"/>
                <w:kern w:val="0"/>
                <w:szCs w:val="21"/>
                <w:lang w:val="en-US" w:eastAsia="zh-CN"/>
              </w:rPr>
              <w:t>和政府采购违法行为风险知悉确认书</w:t>
            </w:r>
            <w:r>
              <w:rPr>
                <w:rFonts w:hint="eastAsia" w:ascii="仿宋" w:hAnsi="仿宋" w:eastAsia="仿宋" w:cs="宋体"/>
                <w:bCs/>
                <w:color w:val="000000"/>
                <w:kern w:val="0"/>
                <w:szCs w:val="21"/>
              </w:rPr>
              <w:t>（详见附件</w:t>
            </w:r>
            <w:r>
              <w:rPr>
                <w:rFonts w:hint="default" w:ascii="仿宋" w:hAnsi="仿宋" w:eastAsia="仿宋" w:cs="宋体"/>
                <w:bCs/>
                <w:color w:val="000000"/>
                <w:kern w:val="0"/>
                <w:szCs w:val="21"/>
                <w:lang w:val="en-US"/>
              </w:rPr>
              <w:t>2</w:t>
            </w:r>
            <w:r>
              <w:rPr>
                <w:rFonts w:hint="eastAsia" w:ascii="仿宋" w:hAnsi="仿宋" w:eastAsia="仿宋" w:cs="宋体"/>
                <w:bCs/>
                <w:color w:val="000000"/>
                <w:kern w:val="0"/>
                <w:szCs w:val="21"/>
                <w:lang w:val="en-US" w:eastAsia="zh-CN"/>
              </w:rPr>
              <w:t>和附件3</w:t>
            </w:r>
            <w:r>
              <w:rPr>
                <w:rFonts w:hint="eastAsia" w:ascii="仿宋" w:hAnsi="仿宋" w:eastAsia="仿宋" w:cs="宋体"/>
                <w:bCs/>
                <w:color w:val="000000"/>
                <w:kern w:val="0"/>
                <w:szCs w:val="21"/>
              </w:rPr>
              <w:t>），否则作废标处理。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7" w:hRule="atLeast"/>
        </w:trPr>
        <w:tc>
          <w:tcPr>
            <w:tcW w:w="1560" w:type="dxa"/>
            <w:noWrap w:val="0"/>
            <w:vAlign w:val="top"/>
          </w:tcPr>
          <w:p>
            <w:pPr>
              <w:keepNext w:val="0"/>
              <w:keepLines w:val="0"/>
              <w:pageBreakBefore w:val="0"/>
              <w:widowControl w:val="0"/>
              <w:kinsoku/>
              <w:overflowPunct/>
              <w:topLinePunct w:val="0"/>
              <w:autoSpaceDE/>
              <w:autoSpaceDN/>
              <w:bidi w:val="0"/>
              <w:spacing w:line="220" w:lineRule="exact"/>
              <w:jc w:val="left"/>
              <w:rPr>
                <w:rFonts w:hint="eastAsia" w:ascii="仿宋" w:hAnsi="仿宋" w:eastAsia="仿宋" w:cs="仿宋"/>
                <w:color w:val="000000"/>
                <w:kern w:val="0"/>
                <w:szCs w:val="21"/>
                <w:highlight w:val="none"/>
              </w:rPr>
            </w:pPr>
          </w:p>
          <w:p>
            <w:pPr>
              <w:keepNext w:val="0"/>
              <w:keepLines w:val="0"/>
              <w:pageBreakBefore w:val="0"/>
              <w:widowControl w:val="0"/>
              <w:kinsoku/>
              <w:overflowPunct/>
              <w:topLinePunct w:val="0"/>
              <w:autoSpaceDE/>
              <w:autoSpaceDN/>
              <w:bidi w:val="0"/>
              <w:spacing w:line="220" w:lineRule="exact"/>
              <w:jc w:val="left"/>
              <w:rPr>
                <w:rFonts w:hint="eastAsia" w:ascii="仿宋" w:hAnsi="仿宋" w:eastAsia="仿宋" w:cs="仿宋"/>
                <w:color w:val="000000"/>
                <w:kern w:val="0"/>
                <w:szCs w:val="21"/>
                <w:highlight w:val="none"/>
              </w:rPr>
            </w:pPr>
          </w:p>
          <w:p>
            <w:pPr>
              <w:keepNext w:val="0"/>
              <w:keepLines w:val="0"/>
              <w:pageBreakBefore w:val="0"/>
              <w:widowControl w:val="0"/>
              <w:kinsoku/>
              <w:overflowPunct/>
              <w:topLinePunct w:val="0"/>
              <w:autoSpaceDE/>
              <w:autoSpaceDN/>
              <w:bidi w:val="0"/>
              <w:spacing w:line="220" w:lineRule="exact"/>
              <w:jc w:val="left"/>
              <w:rPr>
                <w:rFonts w:hint="eastAsia" w:ascii="仿宋" w:hAnsi="仿宋" w:eastAsia="仿宋" w:cs="仿宋"/>
                <w:color w:val="000000"/>
                <w:kern w:val="0"/>
                <w:szCs w:val="21"/>
                <w:highlight w:val="none"/>
              </w:rPr>
            </w:pPr>
          </w:p>
          <w:p>
            <w:pPr>
              <w:keepNext w:val="0"/>
              <w:keepLines w:val="0"/>
              <w:pageBreakBefore w:val="0"/>
              <w:widowControl w:val="0"/>
              <w:kinsoku/>
              <w:overflowPunct/>
              <w:topLinePunct w:val="0"/>
              <w:autoSpaceDE/>
              <w:autoSpaceDN/>
              <w:bidi w:val="0"/>
              <w:spacing w:line="220" w:lineRule="exact"/>
              <w:jc w:val="left"/>
              <w:rPr>
                <w:rFonts w:hint="eastAsia" w:ascii="仿宋" w:hAnsi="仿宋" w:eastAsia="仿宋" w:cs="仿宋"/>
                <w:color w:val="000000"/>
                <w:kern w:val="0"/>
                <w:szCs w:val="21"/>
                <w:highlight w:val="none"/>
              </w:rPr>
            </w:pPr>
          </w:p>
          <w:p>
            <w:pPr>
              <w:keepNext w:val="0"/>
              <w:keepLines w:val="0"/>
              <w:pageBreakBefore w:val="0"/>
              <w:widowControl w:val="0"/>
              <w:kinsoku/>
              <w:overflowPunct/>
              <w:topLinePunct w:val="0"/>
              <w:autoSpaceDE/>
              <w:autoSpaceDN/>
              <w:bidi w:val="0"/>
              <w:spacing w:line="220" w:lineRule="exact"/>
              <w:jc w:val="left"/>
              <w:rPr>
                <w:rFonts w:hint="eastAsia" w:ascii="仿宋" w:hAnsi="仿宋" w:eastAsia="仿宋" w:cs="仿宋"/>
                <w:color w:val="000000"/>
                <w:kern w:val="0"/>
                <w:szCs w:val="21"/>
                <w:highlight w:val="none"/>
              </w:rPr>
            </w:pPr>
          </w:p>
          <w:p>
            <w:pPr>
              <w:keepNext w:val="0"/>
              <w:keepLines w:val="0"/>
              <w:pageBreakBefore w:val="0"/>
              <w:widowControl w:val="0"/>
              <w:kinsoku/>
              <w:overflowPunct/>
              <w:topLinePunct w:val="0"/>
              <w:autoSpaceDE/>
              <w:autoSpaceDN/>
              <w:bidi w:val="0"/>
              <w:spacing w:line="220" w:lineRule="exact"/>
              <w:jc w:val="left"/>
              <w:rPr>
                <w:rFonts w:hint="eastAsia" w:ascii="仿宋" w:hAnsi="仿宋" w:eastAsia="仿宋" w:cs="仿宋"/>
                <w:color w:val="000000"/>
                <w:kern w:val="0"/>
                <w:szCs w:val="21"/>
                <w:highlight w:val="none"/>
              </w:rPr>
            </w:pPr>
          </w:p>
          <w:p>
            <w:pPr>
              <w:keepNext w:val="0"/>
              <w:keepLines w:val="0"/>
              <w:pageBreakBefore w:val="0"/>
              <w:widowControl w:val="0"/>
              <w:kinsoku/>
              <w:overflowPunct/>
              <w:topLinePunct w:val="0"/>
              <w:autoSpaceDE/>
              <w:autoSpaceDN/>
              <w:bidi w:val="0"/>
              <w:spacing w:line="220" w:lineRule="exact"/>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商务需求</w:t>
            </w:r>
          </w:p>
        </w:tc>
        <w:tc>
          <w:tcPr>
            <w:tcW w:w="7407" w:type="dxa"/>
            <w:gridSpan w:val="3"/>
            <w:noWrap w:val="0"/>
            <w:vAlign w:val="top"/>
          </w:tcPr>
          <w:p>
            <w:pPr>
              <w:spacing w:line="320" w:lineRule="exact"/>
              <w:ind w:firstLine="420" w:firstLineChars="200"/>
              <w:jc w:val="left"/>
              <w:rPr>
                <w:rFonts w:hint="eastAsia" w:ascii="仿宋" w:hAnsi="仿宋" w:eastAsia="仿宋" w:cs="宋体"/>
                <w:bCs/>
                <w:color w:val="000000"/>
                <w:kern w:val="0"/>
                <w:sz w:val="21"/>
                <w:szCs w:val="21"/>
                <w:lang w:val="en-US" w:eastAsia="zh-CN" w:bidi="ar-SA"/>
              </w:rPr>
            </w:pPr>
            <w:r>
              <w:rPr>
                <w:rFonts w:hint="eastAsia" w:ascii="仿宋" w:hAnsi="仿宋" w:eastAsia="仿宋" w:cs="宋体"/>
                <w:bCs/>
                <w:color w:val="000000"/>
                <w:kern w:val="0"/>
                <w:sz w:val="21"/>
                <w:szCs w:val="21"/>
                <w:lang w:val="en-US" w:eastAsia="zh-CN" w:bidi="ar-SA"/>
              </w:rPr>
              <w:t>1.报价要求</w:t>
            </w:r>
          </w:p>
          <w:p>
            <w:pPr>
              <w:spacing w:line="320" w:lineRule="exact"/>
              <w:ind w:firstLine="420" w:firstLineChars="200"/>
              <w:jc w:val="left"/>
              <w:rPr>
                <w:rFonts w:hint="eastAsia" w:ascii="仿宋" w:hAnsi="仿宋" w:eastAsia="仿宋" w:cs="宋体"/>
                <w:bCs/>
                <w:color w:val="000000"/>
                <w:kern w:val="0"/>
                <w:sz w:val="21"/>
                <w:szCs w:val="21"/>
                <w:lang w:val="en-US" w:eastAsia="zh-CN" w:bidi="ar-SA"/>
              </w:rPr>
            </w:pPr>
            <w:r>
              <w:rPr>
                <w:rFonts w:hint="eastAsia" w:ascii="仿宋" w:hAnsi="仿宋" w:eastAsia="仿宋" w:cs="宋体"/>
                <w:bCs/>
                <w:color w:val="000000"/>
                <w:kern w:val="0"/>
                <w:sz w:val="21"/>
                <w:szCs w:val="21"/>
                <w:lang w:val="en-US" w:eastAsia="zh-CN" w:bidi="ar-SA"/>
              </w:rPr>
              <w:t>报价要求：(1)本项目预算金额：人民币</w:t>
            </w:r>
            <w:r>
              <w:rPr>
                <w:rFonts w:hint="eastAsia" w:ascii="仿宋" w:hAnsi="仿宋" w:eastAsia="仿宋" w:cs="仿宋"/>
                <w:color w:val="000000"/>
                <w:szCs w:val="21"/>
                <w:highlight w:val="none"/>
                <w:lang w:val="en-US" w:eastAsia="zh-CN"/>
              </w:rPr>
              <w:t>157800</w:t>
            </w:r>
            <w:r>
              <w:rPr>
                <w:rFonts w:hint="eastAsia" w:ascii="仿宋" w:hAnsi="仿宋" w:eastAsia="仿宋" w:cs="宋体"/>
                <w:bCs/>
                <w:color w:val="000000"/>
                <w:kern w:val="0"/>
                <w:sz w:val="21"/>
                <w:szCs w:val="21"/>
                <w:lang w:val="en-US" w:eastAsia="zh-CN" w:bidi="ar-SA"/>
              </w:rPr>
              <w:t>元，响应报价超过预算金额的视为无效响应。(2)响应总价必须是完成该项目的一切费用总和，包括设备费、运输费、装卸费、保险费、技术培训费、设备安装费、调试费、售后服务费、国家规定的各项税费以及提供样品过程产生的一切费用等。</w:t>
            </w:r>
          </w:p>
          <w:p>
            <w:pPr>
              <w:spacing w:line="320" w:lineRule="exact"/>
              <w:ind w:firstLine="420" w:firstLineChars="200"/>
              <w:jc w:val="left"/>
              <w:rPr>
                <w:rFonts w:hint="eastAsia" w:ascii="仿宋" w:hAnsi="仿宋" w:eastAsia="仿宋" w:cs="宋体"/>
                <w:bCs/>
                <w:color w:val="000000"/>
                <w:kern w:val="0"/>
                <w:sz w:val="21"/>
                <w:szCs w:val="21"/>
                <w:lang w:val="en-US" w:eastAsia="zh-CN" w:bidi="ar-SA"/>
              </w:rPr>
            </w:pPr>
            <w:r>
              <w:rPr>
                <w:rFonts w:hint="eastAsia" w:ascii="仿宋" w:hAnsi="仿宋" w:eastAsia="仿宋" w:cs="宋体"/>
                <w:bCs/>
                <w:color w:val="000000"/>
                <w:kern w:val="0"/>
                <w:sz w:val="21"/>
                <w:szCs w:val="21"/>
                <w:lang w:val="en-US" w:eastAsia="zh-CN" w:bidi="ar-SA"/>
              </w:rPr>
              <w:t>2、交货要求</w:t>
            </w:r>
          </w:p>
          <w:p>
            <w:pPr>
              <w:spacing w:line="320" w:lineRule="exact"/>
              <w:ind w:firstLine="420" w:firstLineChars="200"/>
              <w:jc w:val="left"/>
              <w:rPr>
                <w:rFonts w:hint="eastAsia" w:ascii="仿宋" w:hAnsi="仿宋" w:eastAsia="仿宋" w:cs="宋体"/>
                <w:bCs/>
                <w:color w:val="000000"/>
                <w:kern w:val="0"/>
                <w:sz w:val="21"/>
                <w:szCs w:val="21"/>
                <w:lang w:val="en-US" w:eastAsia="zh-CN" w:bidi="ar-SA"/>
              </w:rPr>
            </w:pPr>
            <w:r>
              <w:rPr>
                <w:rFonts w:hint="eastAsia" w:ascii="仿宋" w:hAnsi="仿宋" w:eastAsia="仿宋" w:cs="宋体"/>
                <w:bCs/>
                <w:color w:val="000000"/>
                <w:kern w:val="0"/>
                <w:sz w:val="21"/>
                <w:szCs w:val="21"/>
                <w:lang w:val="en-US" w:eastAsia="zh-CN" w:bidi="ar-SA"/>
              </w:rPr>
              <w:t>（1）交货/完工期：合同签定后60天（日历日）内，交货期是指所有货物运抵现场安装完毕后交付用户验收的日期。</w:t>
            </w:r>
          </w:p>
          <w:p>
            <w:pPr>
              <w:spacing w:line="320" w:lineRule="exact"/>
              <w:ind w:firstLine="420" w:firstLineChars="200"/>
              <w:jc w:val="left"/>
              <w:rPr>
                <w:rFonts w:hint="eastAsia" w:ascii="仿宋" w:hAnsi="仿宋" w:eastAsia="仿宋" w:cs="宋体"/>
                <w:bCs/>
                <w:color w:val="000000"/>
                <w:kern w:val="0"/>
                <w:sz w:val="21"/>
                <w:szCs w:val="21"/>
                <w:lang w:val="en-US" w:eastAsia="zh-CN" w:bidi="ar-SA"/>
              </w:rPr>
            </w:pPr>
            <w:r>
              <w:rPr>
                <w:rFonts w:hint="eastAsia" w:ascii="仿宋" w:hAnsi="仿宋" w:eastAsia="仿宋" w:cs="宋体"/>
                <w:bCs/>
                <w:color w:val="000000"/>
                <w:kern w:val="0"/>
                <w:sz w:val="21"/>
                <w:szCs w:val="21"/>
                <w:lang w:val="en-US" w:eastAsia="zh-CN" w:bidi="ar-SA"/>
              </w:rPr>
              <w:t>（2）交货地点：深圳市大鹏新区南澳街道地质公园路1号（深圳大鹏半岛国家地质自然公园管理处内）。</w:t>
            </w:r>
          </w:p>
          <w:p>
            <w:pPr>
              <w:spacing w:line="320" w:lineRule="exact"/>
              <w:ind w:firstLine="420" w:firstLineChars="200"/>
              <w:jc w:val="left"/>
              <w:rPr>
                <w:rFonts w:hint="default" w:ascii="仿宋" w:hAnsi="仿宋" w:eastAsia="仿宋" w:cs="宋体"/>
                <w:bCs/>
                <w:color w:val="000000"/>
                <w:kern w:val="0"/>
                <w:sz w:val="21"/>
                <w:szCs w:val="21"/>
                <w:lang w:val="en-US" w:eastAsia="zh-CN" w:bidi="ar-SA"/>
              </w:rPr>
            </w:pPr>
            <w:r>
              <w:rPr>
                <w:rFonts w:hint="eastAsia" w:ascii="仿宋" w:hAnsi="仿宋" w:eastAsia="仿宋" w:cs="宋体"/>
                <w:bCs/>
                <w:color w:val="000000"/>
                <w:kern w:val="0"/>
                <w:sz w:val="21"/>
                <w:szCs w:val="21"/>
                <w:lang w:val="en-US" w:eastAsia="zh-CN" w:bidi="ar-SA"/>
              </w:rPr>
              <w:t>3、付款方式：货到并安装完成经用户验收合格，在收到中标人提供的等额、有效发票后支付合同总金额的100%。</w:t>
            </w:r>
          </w:p>
          <w:p>
            <w:pPr>
              <w:spacing w:line="320" w:lineRule="exact"/>
              <w:ind w:firstLine="420" w:firstLineChars="200"/>
              <w:jc w:val="left"/>
              <w:rPr>
                <w:rFonts w:hint="eastAsia" w:ascii="仿宋" w:hAnsi="仿宋" w:eastAsia="仿宋" w:cs="宋体"/>
                <w:bCs/>
                <w:color w:val="000000"/>
                <w:kern w:val="0"/>
                <w:sz w:val="21"/>
                <w:szCs w:val="21"/>
                <w:lang w:val="en-US" w:eastAsia="zh-CN" w:bidi="ar-SA"/>
              </w:rPr>
            </w:pPr>
            <w:r>
              <w:rPr>
                <w:rFonts w:hint="eastAsia" w:ascii="仿宋" w:hAnsi="仿宋" w:eastAsia="仿宋" w:cs="宋体"/>
                <w:bCs/>
                <w:color w:val="000000"/>
                <w:kern w:val="0"/>
                <w:sz w:val="21"/>
                <w:szCs w:val="21"/>
                <w:lang w:val="en-US" w:eastAsia="zh-CN" w:bidi="ar-SA"/>
              </w:rPr>
              <w:t>4.货物运输及包装方式要求：合同中所有的货物均须由中标供应商自行运往设备安装场所，不论设备从何处购置、采用何种方式运输，采购人不承担任何责任及相关费用。中标供应商应当自行处理货物质量和数量短缺等问题。包装以保证货物的完好无损为标准。</w:t>
            </w:r>
          </w:p>
          <w:p>
            <w:pPr>
              <w:pStyle w:val="10"/>
              <w:adjustRightInd w:val="0"/>
              <w:spacing w:line="276" w:lineRule="auto"/>
              <w:rPr>
                <w:rFonts w:hint="eastAsia" w:ascii="仿宋" w:hAnsi="仿宋" w:eastAsia="仿宋" w:cs="宋体"/>
                <w:bCs/>
                <w:color w:val="000000"/>
                <w:kern w:val="0"/>
                <w:sz w:val="21"/>
                <w:szCs w:val="21"/>
                <w:lang w:val="en-US" w:eastAsia="zh-CN" w:bidi="ar-SA"/>
              </w:rPr>
            </w:pPr>
            <w:r>
              <w:rPr>
                <w:rFonts w:hint="eastAsia" w:ascii="仿宋" w:hAnsi="仿宋" w:eastAsia="仿宋" w:cs="宋体"/>
                <w:bCs/>
                <w:color w:val="000000"/>
                <w:kern w:val="0"/>
                <w:sz w:val="21"/>
                <w:szCs w:val="21"/>
                <w:lang w:val="en-US" w:eastAsia="zh-CN" w:bidi="ar-SA"/>
              </w:rPr>
              <w:t>5、验收方式：由采购人按合同和采购文件、响应文件约定的要求和标准及中华人民共和国现行的验收规范和评定标准进行交货验收。</w:t>
            </w:r>
          </w:p>
          <w:p>
            <w:pPr>
              <w:pStyle w:val="10"/>
              <w:adjustRightInd w:val="0"/>
              <w:spacing w:line="276" w:lineRule="auto"/>
              <w:rPr>
                <w:rFonts w:hint="eastAsia" w:ascii="仿宋" w:hAnsi="仿宋" w:eastAsia="仿宋" w:cs="宋体"/>
                <w:bCs/>
                <w:color w:val="000000"/>
                <w:kern w:val="0"/>
                <w:sz w:val="21"/>
                <w:szCs w:val="21"/>
                <w:lang w:val="en-US" w:eastAsia="zh-CN" w:bidi="ar-SA"/>
              </w:rPr>
            </w:pPr>
            <w:r>
              <w:rPr>
                <w:rFonts w:hint="eastAsia" w:ascii="仿宋" w:hAnsi="仿宋" w:eastAsia="仿宋" w:cs="宋体"/>
                <w:bCs/>
                <w:color w:val="000000"/>
                <w:kern w:val="0"/>
                <w:sz w:val="21"/>
                <w:szCs w:val="21"/>
                <w:lang w:val="en-US" w:eastAsia="zh-CN" w:bidi="ar-SA"/>
              </w:rPr>
              <w:t>6、验收要求：货物必须满足以下条件后方可被用户方接受。（1）货物全新,外观无伤痕变形或明显修饰痕迹。（2）必须符合有关国标的规定。响应文件提供的技术数据经实测证实是真实的。检验及质量保证期内达到的性能指标与要求一致，达到或优于相应标准。（3）技术文件资料、备件等已按规定数量移交完毕。（4）按照采购文件要求及响应文件提供的技术参数验收必须合格。</w:t>
            </w:r>
          </w:p>
          <w:p>
            <w:pPr>
              <w:pStyle w:val="10"/>
              <w:adjustRightInd w:val="0"/>
              <w:spacing w:line="276" w:lineRule="auto"/>
              <w:rPr>
                <w:rFonts w:hint="default" w:ascii="仿宋" w:hAnsi="仿宋" w:eastAsia="仿宋" w:cs="宋体"/>
                <w:bCs/>
                <w:color w:val="000000"/>
                <w:kern w:val="0"/>
                <w:sz w:val="21"/>
                <w:szCs w:val="21"/>
                <w:lang w:val="en-US" w:eastAsia="zh-CN" w:bidi="ar-SA"/>
              </w:rPr>
            </w:pPr>
            <w:r>
              <w:rPr>
                <w:rFonts w:hint="eastAsia" w:ascii="仿宋" w:hAnsi="仿宋" w:eastAsia="仿宋" w:cs="宋体"/>
                <w:bCs/>
                <w:color w:val="000000"/>
                <w:kern w:val="0"/>
                <w:sz w:val="21"/>
                <w:szCs w:val="21"/>
                <w:lang w:val="en-US" w:eastAsia="zh-CN" w:bidi="ar-SA"/>
              </w:rPr>
              <w:t>7、质保售后服务要求：不收取质保金，质量保证期为1年。在此期间，如遇与所供产品有关的问题在接用户通知后48小时内应赶到现场提供免费服务。</w:t>
            </w:r>
          </w:p>
          <w:p>
            <w:pPr>
              <w:keepNext w:val="0"/>
              <w:keepLines w:val="0"/>
              <w:pageBreakBefore w:val="0"/>
              <w:widowControl w:val="0"/>
              <w:kinsoku/>
              <w:overflowPunct/>
              <w:topLinePunct w:val="0"/>
              <w:autoSpaceDE/>
              <w:autoSpaceDN/>
              <w:bidi w:val="0"/>
              <w:spacing w:line="220" w:lineRule="exact"/>
              <w:ind w:firstLine="205" w:firstLineChars="98"/>
              <w:jc w:val="left"/>
              <w:rPr>
                <w:rFonts w:hint="eastAsia" w:ascii="仿宋" w:hAnsi="仿宋" w:eastAsia="仿宋" w:cs="仿宋"/>
                <w:color w:val="000000"/>
                <w:kern w:val="0"/>
                <w:szCs w:val="21"/>
                <w:highlight w:val="none"/>
              </w:rPr>
            </w:pPr>
          </w:p>
        </w:tc>
      </w:tr>
    </w:tbl>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 w:hAnsi="仿宋" w:eastAsia="仿宋"/>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center"/>
        <w:textAlignment w:val="auto"/>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货物清单</w:t>
      </w:r>
    </w:p>
    <w:p>
      <w:pPr>
        <w:keepNext w:val="0"/>
        <w:keepLines w:val="0"/>
        <w:pageBreakBefore w:val="0"/>
        <w:widowControl w:val="0"/>
        <w:kinsoku/>
        <w:overflowPunct/>
        <w:topLinePunct w:val="0"/>
        <w:autoSpaceDE/>
        <w:autoSpaceDN/>
        <w:bidi w:val="0"/>
        <w:spacing w:line="220" w:lineRule="exact"/>
        <w:ind w:firstLine="560" w:firstLineChars="200"/>
        <w:jc w:val="left"/>
        <w:rPr>
          <w:rFonts w:hint="eastAsia" w:ascii="仿宋" w:hAnsi="仿宋" w:eastAsia="仿宋"/>
          <w:color w:val="000000"/>
          <w:sz w:val="28"/>
          <w:szCs w:val="28"/>
          <w:lang w:val="en-US" w:eastAsia="zh-CN"/>
        </w:rPr>
      </w:pPr>
    </w:p>
    <w:tbl>
      <w:tblPr>
        <w:tblStyle w:val="8"/>
        <w:tblW w:w="8985"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3072"/>
        <w:gridCol w:w="714"/>
        <w:gridCol w:w="728"/>
        <w:gridCol w:w="3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03" w:type="dxa"/>
            <w:noWrap w:val="0"/>
            <w:vAlign w:val="center"/>
          </w:tcPr>
          <w:p>
            <w:pPr>
              <w:keepNext w:val="0"/>
              <w:keepLines w:val="0"/>
              <w:pageBreakBefore w:val="0"/>
              <w:widowControl w:val="0"/>
              <w:kinsoku/>
              <w:overflowPunct/>
              <w:topLinePunct w:val="0"/>
              <w:autoSpaceDE/>
              <w:autoSpaceDN/>
              <w:bidi w:val="0"/>
              <w:spacing w:line="220" w:lineRule="exact"/>
              <w:jc w:val="center"/>
              <w:rPr>
                <w:rFonts w:hint="default" w:ascii="仿宋" w:hAnsi="仿宋" w:eastAsia="仿宋"/>
                <w:color w:val="000000"/>
                <w:szCs w:val="21"/>
                <w:lang w:val="en-US" w:eastAsia="zh-CN"/>
              </w:rPr>
            </w:pPr>
            <w:r>
              <w:rPr>
                <w:rFonts w:hint="eastAsia" w:ascii="仿宋" w:hAnsi="仿宋" w:eastAsia="仿宋"/>
                <w:color w:val="000000"/>
                <w:szCs w:val="21"/>
                <w:lang w:val="en-US" w:eastAsia="zh-CN"/>
              </w:rPr>
              <w:t>序号</w:t>
            </w:r>
          </w:p>
        </w:tc>
        <w:tc>
          <w:tcPr>
            <w:tcW w:w="3072" w:type="dxa"/>
            <w:noWrap w:val="0"/>
            <w:vAlign w:val="center"/>
          </w:tcPr>
          <w:p>
            <w:pPr>
              <w:keepNext w:val="0"/>
              <w:keepLines w:val="0"/>
              <w:pageBreakBefore w:val="0"/>
              <w:widowControl w:val="0"/>
              <w:kinsoku/>
              <w:overflowPunct/>
              <w:topLinePunct w:val="0"/>
              <w:autoSpaceDE/>
              <w:autoSpaceDN/>
              <w:bidi w:val="0"/>
              <w:spacing w:line="220" w:lineRule="exact"/>
              <w:ind w:firstLine="420" w:firstLineChars="200"/>
              <w:jc w:val="left"/>
              <w:rPr>
                <w:rFonts w:hint="default" w:ascii="仿宋" w:hAnsi="仿宋" w:eastAsia="仿宋"/>
                <w:color w:val="000000"/>
                <w:szCs w:val="21"/>
                <w:lang w:val="en-US" w:eastAsia="zh-CN"/>
              </w:rPr>
            </w:pPr>
            <w:r>
              <w:rPr>
                <w:rFonts w:hint="eastAsia" w:ascii="仿宋" w:hAnsi="仿宋" w:eastAsia="仿宋"/>
                <w:color w:val="000000"/>
                <w:szCs w:val="21"/>
                <w:lang w:val="en-US" w:eastAsia="zh-CN"/>
              </w:rPr>
              <w:t>产品名称</w:t>
            </w:r>
          </w:p>
        </w:tc>
        <w:tc>
          <w:tcPr>
            <w:tcW w:w="714" w:type="dxa"/>
            <w:noWrap w:val="0"/>
            <w:vAlign w:val="center"/>
          </w:tcPr>
          <w:p>
            <w:pPr>
              <w:keepNext w:val="0"/>
              <w:keepLines w:val="0"/>
              <w:pageBreakBefore w:val="0"/>
              <w:widowControl w:val="0"/>
              <w:kinsoku/>
              <w:overflowPunct/>
              <w:topLinePunct w:val="0"/>
              <w:autoSpaceDE/>
              <w:autoSpaceDN/>
              <w:bidi w:val="0"/>
              <w:spacing w:line="220" w:lineRule="exact"/>
              <w:jc w:val="left"/>
              <w:rPr>
                <w:rFonts w:hint="default" w:ascii="仿宋" w:hAnsi="仿宋" w:eastAsia="仿宋"/>
                <w:color w:val="000000"/>
                <w:szCs w:val="21"/>
                <w:lang w:val="en-US" w:eastAsia="zh-CN"/>
              </w:rPr>
            </w:pPr>
            <w:r>
              <w:rPr>
                <w:rFonts w:hint="eastAsia" w:ascii="仿宋" w:hAnsi="仿宋" w:eastAsia="仿宋"/>
                <w:color w:val="000000"/>
                <w:szCs w:val="21"/>
                <w:lang w:val="en-US" w:eastAsia="zh-CN"/>
              </w:rPr>
              <w:t>数量</w:t>
            </w:r>
          </w:p>
        </w:tc>
        <w:tc>
          <w:tcPr>
            <w:tcW w:w="728" w:type="dxa"/>
            <w:noWrap w:val="0"/>
            <w:vAlign w:val="center"/>
          </w:tcPr>
          <w:p>
            <w:pPr>
              <w:keepNext w:val="0"/>
              <w:keepLines w:val="0"/>
              <w:pageBreakBefore w:val="0"/>
              <w:widowControl w:val="0"/>
              <w:kinsoku/>
              <w:overflowPunct/>
              <w:topLinePunct w:val="0"/>
              <w:autoSpaceDE/>
              <w:autoSpaceDN/>
              <w:bidi w:val="0"/>
              <w:spacing w:line="220" w:lineRule="exact"/>
              <w:jc w:val="left"/>
              <w:rPr>
                <w:rFonts w:hint="default" w:ascii="仿宋" w:hAnsi="仿宋" w:eastAsia="仿宋"/>
                <w:color w:val="000000"/>
                <w:szCs w:val="21"/>
                <w:lang w:val="en-US" w:eastAsia="zh-CN"/>
              </w:rPr>
            </w:pPr>
            <w:r>
              <w:rPr>
                <w:rFonts w:hint="eastAsia" w:ascii="仿宋" w:hAnsi="仿宋" w:eastAsia="仿宋"/>
                <w:color w:val="000000"/>
                <w:szCs w:val="21"/>
                <w:lang w:val="en-US" w:eastAsia="zh-CN"/>
              </w:rPr>
              <w:t>单位</w:t>
            </w:r>
          </w:p>
        </w:tc>
        <w:tc>
          <w:tcPr>
            <w:tcW w:w="3568" w:type="dxa"/>
            <w:noWrap w:val="0"/>
            <w:vAlign w:val="center"/>
          </w:tcPr>
          <w:p>
            <w:pPr>
              <w:keepNext w:val="0"/>
              <w:keepLines w:val="0"/>
              <w:pageBreakBefore w:val="0"/>
              <w:widowControl w:val="0"/>
              <w:kinsoku/>
              <w:overflowPunct/>
              <w:topLinePunct w:val="0"/>
              <w:autoSpaceDE/>
              <w:autoSpaceDN/>
              <w:bidi w:val="0"/>
              <w:spacing w:line="220" w:lineRule="exact"/>
              <w:ind w:firstLine="420" w:firstLineChars="200"/>
              <w:jc w:val="left"/>
              <w:rPr>
                <w:rFonts w:hint="default" w:ascii="仿宋" w:hAnsi="仿宋" w:eastAsia="仿宋"/>
                <w:color w:val="000000"/>
                <w:szCs w:val="21"/>
                <w:lang w:val="en-US" w:eastAsia="zh-CN"/>
              </w:rPr>
            </w:pPr>
            <w:r>
              <w:rPr>
                <w:rFonts w:hint="eastAsia" w:ascii="仿宋" w:hAnsi="仿宋" w:eastAsia="仿宋"/>
                <w:color w:val="000000"/>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903" w:type="dxa"/>
            <w:noWrap w:val="0"/>
            <w:vAlign w:val="center"/>
          </w:tcPr>
          <w:p>
            <w:pPr>
              <w:keepNext w:val="0"/>
              <w:keepLines w:val="0"/>
              <w:pageBreakBefore w:val="0"/>
              <w:widowControl w:val="0"/>
              <w:kinsoku/>
              <w:overflowPunct/>
              <w:topLinePunct w:val="0"/>
              <w:autoSpaceDE/>
              <w:autoSpaceDN/>
              <w:bidi w:val="0"/>
              <w:spacing w:line="220" w:lineRule="exact"/>
              <w:ind w:firstLine="420" w:firstLineChars="200"/>
              <w:jc w:val="left"/>
              <w:rPr>
                <w:rFonts w:hint="default" w:ascii="仿宋" w:hAnsi="仿宋" w:eastAsia="仿宋"/>
                <w:color w:val="000000"/>
                <w:szCs w:val="21"/>
                <w:lang w:val="en-US" w:eastAsia="zh-CN"/>
              </w:rPr>
            </w:pPr>
            <w:r>
              <w:rPr>
                <w:rFonts w:hint="eastAsia" w:ascii="仿宋" w:hAnsi="仿宋" w:eastAsia="仿宋"/>
                <w:color w:val="000000"/>
                <w:szCs w:val="21"/>
                <w:lang w:val="en-US" w:eastAsia="zh-CN"/>
              </w:rPr>
              <w:t>1</w:t>
            </w:r>
          </w:p>
        </w:tc>
        <w:tc>
          <w:tcPr>
            <w:tcW w:w="3072" w:type="dxa"/>
            <w:noWrap w:val="0"/>
            <w:vAlign w:val="center"/>
          </w:tcPr>
          <w:p>
            <w:pPr>
              <w:keepNext w:val="0"/>
              <w:keepLines w:val="0"/>
              <w:pageBreakBefore w:val="0"/>
              <w:widowControl w:val="0"/>
              <w:kinsoku/>
              <w:overflowPunct/>
              <w:topLinePunct w:val="0"/>
              <w:autoSpaceDE/>
              <w:autoSpaceDN/>
              <w:bidi w:val="0"/>
              <w:spacing w:line="220" w:lineRule="exact"/>
              <w:ind w:firstLine="420" w:firstLineChars="200"/>
              <w:jc w:val="center"/>
              <w:rPr>
                <w:rFonts w:hint="default" w:ascii="仿宋" w:hAnsi="仿宋" w:eastAsia="仿宋"/>
                <w:color w:val="000000"/>
                <w:szCs w:val="21"/>
                <w:lang w:val="en-US" w:eastAsia="zh-CN"/>
              </w:rPr>
            </w:pPr>
            <w:r>
              <w:rPr>
                <w:rFonts w:hint="eastAsia" w:ascii="仿宋" w:hAnsi="仿宋" w:eastAsia="仿宋"/>
                <w:color w:val="000000"/>
                <w:szCs w:val="21"/>
                <w:lang w:val="en-US" w:eastAsia="zh-CN"/>
              </w:rPr>
              <w:t>3吨不锈钢消防水箱(304材质厚度2.0)</w:t>
            </w:r>
          </w:p>
        </w:tc>
        <w:tc>
          <w:tcPr>
            <w:tcW w:w="714" w:type="dxa"/>
            <w:noWrap w:val="0"/>
            <w:vAlign w:val="center"/>
          </w:tcPr>
          <w:p>
            <w:pPr>
              <w:keepNext w:val="0"/>
              <w:keepLines w:val="0"/>
              <w:pageBreakBefore w:val="0"/>
              <w:widowControl w:val="0"/>
              <w:kinsoku/>
              <w:overflowPunct/>
              <w:topLinePunct w:val="0"/>
              <w:autoSpaceDE/>
              <w:autoSpaceDN/>
              <w:bidi w:val="0"/>
              <w:spacing w:line="220" w:lineRule="exact"/>
              <w:jc w:val="both"/>
              <w:rPr>
                <w:rFonts w:hint="default" w:ascii="仿宋" w:hAnsi="仿宋" w:eastAsia="仿宋"/>
                <w:color w:val="000000"/>
                <w:szCs w:val="21"/>
                <w:lang w:val="en-US" w:eastAsia="zh-CN"/>
              </w:rPr>
            </w:pPr>
            <w:r>
              <w:rPr>
                <w:rFonts w:hint="eastAsia" w:ascii="仿宋" w:hAnsi="仿宋" w:eastAsia="仿宋"/>
                <w:color w:val="000000"/>
                <w:szCs w:val="21"/>
                <w:lang w:val="en-US" w:eastAsia="zh-CN"/>
              </w:rPr>
              <w:t>4</w:t>
            </w:r>
          </w:p>
        </w:tc>
        <w:tc>
          <w:tcPr>
            <w:tcW w:w="728" w:type="dxa"/>
            <w:noWrap w:val="0"/>
            <w:vAlign w:val="center"/>
          </w:tcPr>
          <w:p>
            <w:pPr>
              <w:keepNext w:val="0"/>
              <w:keepLines w:val="0"/>
              <w:pageBreakBefore w:val="0"/>
              <w:widowControl w:val="0"/>
              <w:kinsoku/>
              <w:overflowPunct/>
              <w:topLinePunct w:val="0"/>
              <w:autoSpaceDE/>
              <w:autoSpaceDN/>
              <w:bidi w:val="0"/>
              <w:spacing w:line="220" w:lineRule="exact"/>
              <w:jc w:val="both"/>
              <w:rPr>
                <w:rFonts w:hint="default" w:ascii="仿宋" w:hAnsi="仿宋" w:eastAsia="仿宋"/>
                <w:color w:val="000000"/>
                <w:szCs w:val="21"/>
                <w:lang w:val="en-US" w:eastAsia="zh-CN"/>
              </w:rPr>
            </w:pPr>
            <w:r>
              <w:rPr>
                <w:rFonts w:hint="eastAsia" w:ascii="仿宋" w:hAnsi="仿宋" w:eastAsia="仿宋"/>
                <w:color w:val="000000"/>
                <w:szCs w:val="21"/>
                <w:lang w:val="en-US" w:eastAsia="zh-CN"/>
              </w:rPr>
              <w:t>个</w:t>
            </w:r>
          </w:p>
        </w:tc>
        <w:tc>
          <w:tcPr>
            <w:tcW w:w="3568" w:type="dxa"/>
            <w:noWrap w:val="0"/>
            <w:vAlign w:val="center"/>
          </w:tcPr>
          <w:p>
            <w:pPr>
              <w:keepNext w:val="0"/>
              <w:keepLines w:val="0"/>
              <w:pageBreakBefore w:val="0"/>
              <w:widowControl w:val="0"/>
              <w:kinsoku/>
              <w:overflowPunct/>
              <w:topLinePunct w:val="0"/>
              <w:autoSpaceDE/>
              <w:autoSpaceDN/>
              <w:bidi w:val="0"/>
              <w:spacing w:line="220" w:lineRule="exact"/>
              <w:ind w:firstLine="420" w:firstLineChars="200"/>
              <w:jc w:val="left"/>
              <w:rPr>
                <w:rFonts w:hint="default" w:ascii="仿宋" w:hAnsi="仿宋" w:eastAsia="仿宋"/>
                <w:color w:val="000000"/>
                <w:szCs w:val="21"/>
                <w:lang w:val="en-US" w:eastAsia="zh-CN"/>
              </w:rPr>
            </w:pPr>
            <w:r>
              <w:rPr>
                <w:rFonts w:hint="eastAsia" w:ascii="仿宋" w:hAnsi="仿宋" w:eastAsia="仿宋"/>
                <w:color w:val="000000"/>
                <w:szCs w:val="21"/>
                <w:lang w:val="en-US" w:eastAsia="zh-CN"/>
              </w:rPr>
              <w:drawing>
                <wp:anchor distT="0" distB="0" distL="114300" distR="114300" simplePos="0" relativeHeight="251659264" behindDoc="0" locked="0" layoutInCell="1" allowOverlap="1">
                  <wp:simplePos x="0" y="0"/>
                  <wp:positionH relativeFrom="column">
                    <wp:posOffset>229235</wp:posOffset>
                  </wp:positionH>
                  <wp:positionV relativeFrom="paragraph">
                    <wp:posOffset>95885</wp:posOffset>
                  </wp:positionV>
                  <wp:extent cx="1530350" cy="1359535"/>
                  <wp:effectExtent l="0" t="0" r="12700" b="12065"/>
                  <wp:wrapSquare wrapText="bothSides"/>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4"/>
                          <a:stretch>
                            <a:fillRect/>
                          </a:stretch>
                        </pic:blipFill>
                        <pic:spPr>
                          <a:xfrm>
                            <a:off x="0" y="0"/>
                            <a:ext cx="1530350" cy="1359535"/>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7" w:hRule="atLeast"/>
        </w:trPr>
        <w:tc>
          <w:tcPr>
            <w:tcW w:w="903" w:type="dxa"/>
            <w:noWrap w:val="0"/>
            <w:vAlign w:val="center"/>
          </w:tcPr>
          <w:p>
            <w:pPr>
              <w:keepNext w:val="0"/>
              <w:keepLines w:val="0"/>
              <w:pageBreakBefore w:val="0"/>
              <w:widowControl w:val="0"/>
              <w:kinsoku/>
              <w:overflowPunct/>
              <w:topLinePunct w:val="0"/>
              <w:autoSpaceDE/>
              <w:autoSpaceDN/>
              <w:bidi w:val="0"/>
              <w:spacing w:line="220" w:lineRule="exact"/>
              <w:ind w:firstLine="420" w:firstLineChars="200"/>
              <w:jc w:val="left"/>
              <w:rPr>
                <w:rFonts w:hint="default" w:ascii="仿宋" w:hAnsi="仿宋" w:eastAsia="仿宋"/>
                <w:color w:val="000000"/>
                <w:szCs w:val="21"/>
                <w:lang w:val="en-US" w:eastAsia="zh-CN"/>
              </w:rPr>
            </w:pPr>
            <w:r>
              <w:rPr>
                <w:rFonts w:hint="eastAsia" w:ascii="仿宋" w:hAnsi="仿宋" w:eastAsia="仿宋"/>
                <w:color w:val="000000"/>
                <w:szCs w:val="21"/>
                <w:lang w:val="en-US" w:eastAsia="zh-CN"/>
              </w:rPr>
              <w:t>2</w:t>
            </w:r>
          </w:p>
        </w:tc>
        <w:tc>
          <w:tcPr>
            <w:tcW w:w="3072" w:type="dxa"/>
            <w:noWrap w:val="0"/>
            <w:vAlign w:val="center"/>
          </w:tcPr>
          <w:p>
            <w:pPr>
              <w:keepNext w:val="0"/>
              <w:keepLines w:val="0"/>
              <w:pageBreakBefore w:val="0"/>
              <w:widowControl w:val="0"/>
              <w:kinsoku/>
              <w:overflowPunct/>
              <w:topLinePunct w:val="0"/>
              <w:autoSpaceDE/>
              <w:autoSpaceDN/>
              <w:bidi w:val="0"/>
              <w:spacing w:line="220" w:lineRule="exact"/>
              <w:ind w:firstLine="420" w:firstLineChars="200"/>
              <w:jc w:val="center"/>
              <w:rPr>
                <w:rFonts w:hint="default" w:ascii="仿宋" w:hAnsi="仿宋" w:eastAsia="仿宋"/>
                <w:color w:val="000000"/>
                <w:szCs w:val="21"/>
                <w:lang w:val="en-US" w:eastAsia="zh-CN"/>
              </w:rPr>
            </w:pPr>
            <w:r>
              <w:rPr>
                <w:rFonts w:hint="eastAsia" w:ascii="仿宋" w:hAnsi="仿宋" w:eastAsia="仿宋"/>
                <w:color w:val="000000"/>
                <w:szCs w:val="21"/>
                <w:lang w:val="en-US" w:eastAsia="zh-CN"/>
              </w:rPr>
              <w:t>配套8kg消防工具箱(304材质厚度2.0)</w:t>
            </w:r>
          </w:p>
        </w:tc>
        <w:tc>
          <w:tcPr>
            <w:tcW w:w="714" w:type="dxa"/>
            <w:noWrap w:val="0"/>
            <w:vAlign w:val="center"/>
          </w:tcPr>
          <w:p>
            <w:pPr>
              <w:keepNext w:val="0"/>
              <w:keepLines w:val="0"/>
              <w:pageBreakBefore w:val="0"/>
              <w:widowControl w:val="0"/>
              <w:kinsoku/>
              <w:overflowPunct/>
              <w:topLinePunct w:val="0"/>
              <w:autoSpaceDE/>
              <w:autoSpaceDN/>
              <w:bidi w:val="0"/>
              <w:spacing w:line="220" w:lineRule="exact"/>
              <w:jc w:val="both"/>
              <w:rPr>
                <w:rFonts w:hint="default" w:ascii="仿宋" w:hAnsi="仿宋" w:eastAsia="仿宋"/>
                <w:color w:val="000000"/>
                <w:szCs w:val="21"/>
                <w:lang w:val="en-US" w:eastAsia="zh-CN"/>
              </w:rPr>
            </w:pPr>
            <w:r>
              <w:rPr>
                <w:rFonts w:hint="eastAsia" w:ascii="仿宋" w:hAnsi="仿宋" w:eastAsia="仿宋"/>
                <w:color w:val="000000"/>
                <w:szCs w:val="21"/>
                <w:lang w:val="en-US" w:eastAsia="zh-CN"/>
              </w:rPr>
              <w:t>21</w:t>
            </w:r>
          </w:p>
        </w:tc>
        <w:tc>
          <w:tcPr>
            <w:tcW w:w="728" w:type="dxa"/>
            <w:noWrap w:val="0"/>
            <w:vAlign w:val="center"/>
          </w:tcPr>
          <w:p>
            <w:pPr>
              <w:keepNext w:val="0"/>
              <w:keepLines w:val="0"/>
              <w:pageBreakBefore w:val="0"/>
              <w:widowControl w:val="0"/>
              <w:kinsoku/>
              <w:overflowPunct/>
              <w:topLinePunct w:val="0"/>
              <w:autoSpaceDE/>
              <w:autoSpaceDN/>
              <w:bidi w:val="0"/>
              <w:spacing w:line="220" w:lineRule="exact"/>
              <w:jc w:val="both"/>
              <w:rPr>
                <w:rFonts w:hint="default" w:ascii="仿宋" w:hAnsi="仿宋" w:eastAsia="仿宋"/>
                <w:color w:val="000000"/>
                <w:szCs w:val="21"/>
                <w:lang w:val="en-US" w:eastAsia="zh-CN"/>
              </w:rPr>
            </w:pPr>
            <w:r>
              <w:rPr>
                <w:rFonts w:hint="eastAsia" w:ascii="仿宋" w:hAnsi="仿宋" w:eastAsia="仿宋"/>
                <w:color w:val="000000"/>
                <w:szCs w:val="21"/>
                <w:lang w:val="en-US" w:eastAsia="zh-CN"/>
              </w:rPr>
              <w:t>个</w:t>
            </w:r>
          </w:p>
        </w:tc>
        <w:tc>
          <w:tcPr>
            <w:tcW w:w="3568" w:type="dxa"/>
            <w:noWrap w:val="0"/>
            <w:vAlign w:val="center"/>
          </w:tcPr>
          <w:p>
            <w:pPr>
              <w:keepNext w:val="0"/>
              <w:keepLines w:val="0"/>
              <w:pageBreakBefore w:val="0"/>
              <w:widowControl w:val="0"/>
              <w:kinsoku/>
              <w:overflowPunct/>
              <w:topLinePunct w:val="0"/>
              <w:autoSpaceDE/>
              <w:autoSpaceDN/>
              <w:bidi w:val="0"/>
              <w:spacing w:line="220" w:lineRule="exact"/>
              <w:ind w:firstLine="420" w:firstLineChars="200"/>
              <w:jc w:val="left"/>
              <w:rPr>
                <w:rFonts w:hint="default" w:ascii="仿宋" w:hAnsi="仿宋" w:eastAsia="仿宋"/>
                <w:color w:val="000000"/>
                <w:szCs w:val="21"/>
                <w:lang w:val="en-US" w:eastAsia="zh-CN"/>
              </w:rPr>
            </w:pPr>
            <w:r>
              <w:rPr>
                <w:rFonts w:hint="eastAsia" w:ascii="仿宋" w:hAnsi="仿宋" w:eastAsia="仿宋"/>
                <w:color w:val="000000"/>
                <w:szCs w:val="21"/>
                <w:lang w:val="en-US" w:eastAsia="zh-CN"/>
              </w:rPr>
              <w:drawing>
                <wp:anchor distT="0" distB="0" distL="114300" distR="114300" simplePos="0" relativeHeight="251660288" behindDoc="0" locked="0" layoutInCell="1" allowOverlap="1">
                  <wp:simplePos x="0" y="0"/>
                  <wp:positionH relativeFrom="column">
                    <wp:posOffset>266700</wp:posOffset>
                  </wp:positionH>
                  <wp:positionV relativeFrom="paragraph">
                    <wp:posOffset>-705485</wp:posOffset>
                  </wp:positionV>
                  <wp:extent cx="1275080" cy="1480820"/>
                  <wp:effectExtent l="0" t="0" r="1270" b="508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5"/>
                          <a:stretch>
                            <a:fillRect/>
                          </a:stretch>
                        </pic:blipFill>
                        <pic:spPr>
                          <a:xfrm>
                            <a:off x="0" y="0"/>
                            <a:ext cx="1275080" cy="1480820"/>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6" w:hRule="atLeast"/>
        </w:trPr>
        <w:tc>
          <w:tcPr>
            <w:tcW w:w="903" w:type="dxa"/>
            <w:noWrap w:val="0"/>
            <w:vAlign w:val="center"/>
          </w:tcPr>
          <w:p>
            <w:pPr>
              <w:keepNext w:val="0"/>
              <w:keepLines w:val="0"/>
              <w:pageBreakBefore w:val="0"/>
              <w:widowControl w:val="0"/>
              <w:kinsoku/>
              <w:overflowPunct/>
              <w:topLinePunct w:val="0"/>
              <w:autoSpaceDE/>
              <w:autoSpaceDN/>
              <w:bidi w:val="0"/>
              <w:spacing w:line="220" w:lineRule="exact"/>
              <w:ind w:firstLine="420" w:firstLineChars="200"/>
              <w:jc w:val="left"/>
              <w:rPr>
                <w:rFonts w:hint="default" w:ascii="仿宋" w:hAnsi="仿宋" w:eastAsia="仿宋"/>
                <w:color w:val="000000"/>
                <w:szCs w:val="21"/>
                <w:lang w:val="en-US" w:eastAsia="zh-CN"/>
              </w:rPr>
            </w:pPr>
            <w:r>
              <w:rPr>
                <w:rFonts w:hint="eastAsia" w:ascii="仿宋" w:hAnsi="仿宋" w:eastAsia="仿宋"/>
                <w:color w:val="000000"/>
                <w:szCs w:val="21"/>
                <w:lang w:val="en-US" w:eastAsia="zh-CN"/>
              </w:rPr>
              <w:t>3</w:t>
            </w:r>
          </w:p>
        </w:tc>
        <w:tc>
          <w:tcPr>
            <w:tcW w:w="3072" w:type="dxa"/>
            <w:noWrap w:val="0"/>
            <w:vAlign w:val="center"/>
          </w:tcPr>
          <w:p>
            <w:pPr>
              <w:keepNext w:val="0"/>
              <w:keepLines w:val="0"/>
              <w:pageBreakBefore w:val="0"/>
              <w:widowControl w:val="0"/>
              <w:kinsoku/>
              <w:overflowPunct/>
              <w:topLinePunct w:val="0"/>
              <w:autoSpaceDE/>
              <w:autoSpaceDN/>
              <w:bidi w:val="0"/>
              <w:spacing w:line="220" w:lineRule="exact"/>
              <w:ind w:firstLine="420" w:firstLineChars="200"/>
              <w:jc w:val="cente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配套1.5m不锈钢护栏(304材质厚度2.0)</w:t>
            </w:r>
          </w:p>
        </w:tc>
        <w:tc>
          <w:tcPr>
            <w:tcW w:w="714" w:type="dxa"/>
            <w:noWrap w:val="0"/>
            <w:vAlign w:val="center"/>
          </w:tcPr>
          <w:p>
            <w:pPr>
              <w:keepNext w:val="0"/>
              <w:keepLines w:val="0"/>
              <w:pageBreakBefore w:val="0"/>
              <w:widowControl w:val="0"/>
              <w:kinsoku/>
              <w:overflowPunct/>
              <w:topLinePunct w:val="0"/>
              <w:autoSpaceDE/>
              <w:autoSpaceDN/>
              <w:bidi w:val="0"/>
              <w:spacing w:line="220" w:lineRule="exact"/>
              <w:jc w:val="both"/>
              <w:rPr>
                <w:rFonts w:hint="default" w:ascii="仿宋" w:hAnsi="仿宋" w:eastAsia="仿宋"/>
                <w:color w:val="000000"/>
                <w:szCs w:val="21"/>
                <w:lang w:val="en-US" w:eastAsia="zh-CN"/>
              </w:rPr>
            </w:pPr>
            <w:r>
              <w:rPr>
                <w:rFonts w:hint="eastAsia" w:ascii="仿宋" w:hAnsi="仿宋" w:eastAsia="仿宋"/>
                <w:color w:val="000000"/>
                <w:szCs w:val="21"/>
                <w:lang w:val="en-US" w:eastAsia="zh-CN"/>
              </w:rPr>
              <w:t>4</w:t>
            </w:r>
          </w:p>
        </w:tc>
        <w:tc>
          <w:tcPr>
            <w:tcW w:w="728" w:type="dxa"/>
            <w:noWrap w:val="0"/>
            <w:vAlign w:val="center"/>
          </w:tcPr>
          <w:p>
            <w:pPr>
              <w:keepNext w:val="0"/>
              <w:keepLines w:val="0"/>
              <w:pageBreakBefore w:val="0"/>
              <w:widowControl w:val="0"/>
              <w:kinsoku/>
              <w:overflowPunct/>
              <w:topLinePunct w:val="0"/>
              <w:autoSpaceDE/>
              <w:autoSpaceDN/>
              <w:bidi w:val="0"/>
              <w:spacing w:line="220" w:lineRule="exact"/>
              <w:jc w:val="both"/>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套</w:t>
            </w:r>
          </w:p>
        </w:tc>
        <w:tc>
          <w:tcPr>
            <w:tcW w:w="3568" w:type="dxa"/>
            <w:noWrap w:val="0"/>
            <w:vAlign w:val="center"/>
          </w:tcPr>
          <w:p>
            <w:pPr>
              <w:keepNext w:val="0"/>
              <w:keepLines w:val="0"/>
              <w:pageBreakBefore w:val="0"/>
              <w:widowControl w:val="0"/>
              <w:kinsoku/>
              <w:overflowPunct/>
              <w:topLinePunct w:val="0"/>
              <w:autoSpaceDE/>
              <w:autoSpaceDN/>
              <w:bidi w:val="0"/>
              <w:spacing w:line="220" w:lineRule="exact"/>
              <w:ind w:firstLine="420" w:firstLineChars="200"/>
              <w:jc w:val="left"/>
              <w:rPr>
                <w:rFonts w:hint="eastAsia" w:ascii="仿宋" w:hAnsi="仿宋" w:eastAsia="仿宋"/>
                <w:color w:val="000000"/>
                <w:szCs w:val="21"/>
                <w:lang w:val="en-US" w:eastAsia="zh-CN"/>
              </w:rPr>
            </w:pPr>
            <w:r>
              <w:rPr>
                <w:rFonts w:hint="eastAsia" w:ascii="仿宋" w:hAnsi="仿宋" w:eastAsia="仿宋"/>
                <w:color w:val="000000"/>
                <w:szCs w:val="21"/>
                <w:lang w:val="en-US" w:eastAsia="zh-CN"/>
              </w:rPr>
              <w:drawing>
                <wp:anchor distT="0" distB="0" distL="114300" distR="114300" simplePos="0" relativeHeight="251661312" behindDoc="0" locked="0" layoutInCell="1" allowOverlap="1">
                  <wp:simplePos x="0" y="0"/>
                  <wp:positionH relativeFrom="column">
                    <wp:posOffset>266700</wp:posOffset>
                  </wp:positionH>
                  <wp:positionV relativeFrom="paragraph">
                    <wp:posOffset>-640715</wp:posOffset>
                  </wp:positionV>
                  <wp:extent cx="1530350" cy="1359535"/>
                  <wp:effectExtent l="0" t="0" r="12700" b="12065"/>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4"/>
                          <a:stretch>
                            <a:fillRect/>
                          </a:stretch>
                        </pic:blipFill>
                        <pic:spPr>
                          <a:xfrm>
                            <a:off x="0" y="0"/>
                            <a:ext cx="1530350" cy="1359535"/>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noWrap w:val="0"/>
            <w:vAlign w:val="center"/>
          </w:tcPr>
          <w:p>
            <w:pPr>
              <w:keepNext w:val="0"/>
              <w:keepLines w:val="0"/>
              <w:pageBreakBefore w:val="0"/>
              <w:widowControl w:val="0"/>
              <w:kinsoku/>
              <w:overflowPunct/>
              <w:topLinePunct w:val="0"/>
              <w:autoSpaceDE/>
              <w:autoSpaceDN/>
              <w:bidi w:val="0"/>
              <w:spacing w:line="220" w:lineRule="exact"/>
              <w:ind w:firstLine="420" w:firstLineChars="200"/>
              <w:jc w:val="left"/>
              <w:rPr>
                <w:rFonts w:hint="default" w:ascii="仿宋" w:hAnsi="仿宋" w:eastAsia="仿宋"/>
                <w:color w:val="000000"/>
                <w:szCs w:val="21"/>
                <w:lang w:val="en-US" w:eastAsia="zh-CN"/>
              </w:rPr>
            </w:pPr>
            <w:r>
              <w:rPr>
                <w:rFonts w:hint="eastAsia" w:ascii="仿宋" w:hAnsi="仿宋" w:eastAsia="仿宋"/>
                <w:color w:val="000000"/>
                <w:szCs w:val="21"/>
                <w:lang w:val="en-US" w:eastAsia="zh-CN"/>
              </w:rPr>
              <w:t>4</w:t>
            </w:r>
          </w:p>
        </w:tc>
        <w:tc>
          <w:tcPr>
            <w:tcW w:w="3072" w:type="dxa"/>
            <w:noWrap w:val="0"/>
            <w:vAlign w:val="center"/>
          </w:tcPr>
          <w:p>
            <w:pPr>
              <w:keepNext w:val="0"/>
              <w:keepLines w:val="0"/>
              <w:pageBreakBefore w:val="0"/>
              <w:widowControl w:val="0"/>
              <w:kinsoku/>
              <w:overflowPunct/>
              <w:topLinePunct w:val="0"/>
              <w:autoSpaceDE/>
              <w:autoSpaceDN/>
              <w:bidi w:val="0"/>
              <w:spacing w:line="220" w:lineRule="exact"/>
              <w:ind w:firstLine="420" w:firstLineChars="200"/>
              <w:jc w:val="cente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混凝土基座</w:t>
            </w:r>
          </w:p>
        </w:tc>
        <w:tc>
          <w:tcPr>
            <w:tcW w:w="714" w:type="dxa"/>
            <w:noWrap w:val="0"/>
            <w:vAlign w:val="center"/>
          </w:tcPr>
          <w:p>
            <w:pPr>
              <w:keepNext w:val="0"/>
              <w:keepLines w:val="0"/>
              <w:pageBreakBefore w:val="0"/>
              <w:widowControl w:val="0"/>
              <w:kinsoku/>
              <w:overflowPunct/>
              <w:topLinePunct w:val="0"/>
              <w:autoSpaceDE/>
              <w:autoSpaceDN/>
              <w:bidi w:val="0"/>
              <w:spacing w:line="220" w:lineRule="exact"/>
              <w:jc w:val="both"/>
              <w:rPr>
                <w:rFonts w:hint="default" w:ascii="仿宋" w:hAnsi="仿宋" w:eastAsia="仿宋"/>
                <w:color w:val="000000"/>
                <w:szCs w:val="21"/>
                <w:lang w:val="en-US" w:eastAsia="zh-CN"/>
              </w:rPr>
            </w:pPr>
            <w:r>
              <w:rPr>
                <w:rFonts w:hint="eastAsia" w:ascii="仿宋" w:hAnsi="仿宋" w:eastAsia="仿宋"/>
                <w:color w:val="000000"/>
                <w:szCs w:val="21"/>
                <w:lang w:val="en-US" w:eastAsia="zh-CN"/>
              </w:rPr>
              <w:t>4</w:t>
            </w:r>
          </w:p>
        </w:tc>
        <w:tc>
          <w:tcPr>
            <w:tcW w:w="728" w:type="dxa"/>
            <w:noWrap w:val="0"/>
            <w:vAlign w:val="center"/>
          </w:tcPr>
          <w:p>
            <w:pPr>
              <w:keepNext w:val="0"/>
              <w:keepLines w:val="0"/>
              <w:pageBreakBefore w:val="0"/>
              <w:widowControl w:val="0"/>
              <w:kinsoku/>
              <w:overflowPunct/>
              <w:topLinePunct w:val="0"/>
              <w:autoSpaceDE/>
              <w:autoSpaceDN/>
              <w:bidi w:val="0"/>
              <w:spacing w:line="220" w:lineRule="exact"/>
              <w:jc w:val="both"/>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项</w:t>
            </w:r>
          </w:p>
        </w:tc>
        <w:tc>
          <w:tcPr>
            <w:tcW w:w="3568" w:type="dxa"/>
            <w:noWrap w:val="0"/>
            <w:vAlign w:val="center"/>
          </w:tcPr>
          <w:p>
            <w:pPr>
              <w:keepNext w:val="0"/>
              <w:keepLines w:val="0"/>
              <w:pageBreakBefore w:val="0"/>
              <w:widowControl w:val="0"/>
              <w:kinsoku/>
              <w:overflowPunct/>
              <w:topLinePunct w:val="0"/>
              <w:autoSpaceDE/>
              <w:autoSpaceDN/>
              <w:bidi w:val="0"/>
              <w:spacing w:line="220" w:lineRule="exact"/>
              <w:jc w:val="left"/>
              <w:rPr>
                <w:rFonts w:hint="default" w:ascii="仿宋" w:hAnsi="仿宋" w:eastAsia="仿宋"/>
                <w:color w:val="000000"/>
                <w:szCs w:val="21"/>
                <w:lang w:val="en-US" w:eastAsia="zh-CN"/>
              </w:rPr>
            </w:pPr>
            <w:r>
              <w:rPr>
                <w:rFonts w:hint="eastAsia" w:ascii="仿宋" w:hAnsi="仿宋" w:eastAsia="仿宋"/>
                <w:color w:val="000000"/>
                <w:szCs w:val="21"/>
                <w:lang w:val="en-US" w:eastAsia="zh-CN"/>
              </w:rPr>
              <w:t>厚度30公分，10平以内，含材料上山施工搬运。</w:t>
            </w:r>
          </w:p>
        </w:tc>
      </w:tr>
    </w:tbl>
    <w:p>
      <w:pPr>
        <w:pStyle w:val="4"/>
      </w:pPr>
    </w:p>
    <w:p>
      <w:pPr>
        <w:pStyle w:val="4"/>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A32D8D"/>
    <w:rsid w:val="10CB1BC5"/>
    <w:rsid w:val="1567040D"/>
    <w:rsid w:val="22A32D8D"/>
    <w:rsid w:val="23A67448"/>
    <w:rsid w:val="419E1BAF"/>
    <w:rsid w:val="5C1C4FF8"/>
    <w:rsid w:val="6C6E6667"/>
    <w:rsid w:val="79694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rPr>
      <w:rFonts w:ascii="Calibri" w:hAnsi="Calibri" w:cs="宋体"/>
      <w:szCs w:val="24"/>
    </w:rPr>
  </w:style>
  <w:style w:type="paragraph" w:styleId="4">
    <w:name w:val="Body Text"/>
    <w:basedOn w:val="1"/>
    <w:next w:val="1"/>
    <w:qFormat/>
    <w:uiPriority w:val="0"/>
    <w:pPr>
      <w:tabs>
        <w:tab w:val="left" w:pos="5760"/>
      </w:tabs>
    </w:pPr>
    <w:rPr>
      <w:rFonts w:ascii="宋体" w:hAnsi="宋体"/>
      <w:sz w:val="28"/>
      <w:szCs w:val="20"/>
    </w:rPr>
  </w:style>
  <w:style w:type="paragraph" w:styleId="5">
    <w:name w:val="footnote text"/>
    <w:basedOn w:val="1"/>
    <w:qFormat/>
    <w:uiPriority w:val="0"/>
    <w:pPr>
      <w:snapToGrid w:val="0"/>
      <w:jc w:val="left"/>
    </w:pPr>
    <w:rPr>
      <w:sz w:val="18"/>
    </w:rPr>
  </w:style>
  <w:style w:type="paragraph" w:styleId="6">
    <w:name w:val="Title"/>
    <w:basedOn w:val="1"/>
    <w:next w:val="1"/>
    <w:qFormat/>
    <w:uiPriority w:val="0"/>
    <w:pPr>
      <w:spacing w:before="240" w:after="60" w:line="276" w:lineRule="auto"/>
      <w:jc w:val="center"/>
      <w:outlineLvl w:val="0"/>
    </w:pPr>
    <w:rPr>
      <w:rFonts w:ascii="Cambria" w:hAnsi="Cambria"/>
      <w:b/>
      <w:bCs/>
      <w:sz w:val="32"/>
      <w:szCs w:val="32"/>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1200</Words>
  <Characters>1268</Characters>
  <Lines>0</Lines>
  <Paragraphs>0</Paragraphs>
  <TotalTime>3</TotalTime>
  <ScaleCrop>false</ScaleCrop>
  <LinksUpToDate>false</LinksUpToDate>
  <CharactersWithSpaces>1269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2026-01-29T07:30:00Z</dcterms:created>
  <dc:creator>深圳地质公园</dc:creator>
  <cp:lastModifiedBy>admin</cp:lastModifiedBy>
  <cp:lastPrinted>2026-02-02T01:54:00Z</cp:lastPrinted>
  <dcterms:modified xsi:type="dcterms:W3CDTF">2026-03-25T01:55:49Z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43BFB1B014824C29B3340C2B67D10BFC_11</vt:lpwstr>
  </property>
  <property fmtid="{D5CDD505-2E9C-101B-9397-08002B2CF9AE}" pid="4" name="KSOTemplateDocerSaveRecord">
    <vt:lpwstr>eyJoZGlkIjoiMWFkMzdlZGYxZDRjYWM1NWZlZWRhYzg0OTE0NzA3MmYiLCJ1c2VySWQiOiIxNTk0MTIyNDM4In0=</vt:lpwstr>
  </property>
</Properties>
</file>