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：</w:t>
      </w:r>
    </w:p>
    <w:p>
      <w:pPr>
        <w:snapToGrid w:val="0"/>
        <w:spacing w:line="600" w:lineRule="exact"/>
        <w:jc w:val="center"/>
        <w:rPr>
          <w:rFonts w:hint="default" w:ascii="方正小标宋简体" w:hAnsi="黑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深圳市龙岗区</w:t>
      </w:r>
      <w:r>
        <w:rPr>
          <w:rFonts w:ascii="方正小标宋简体" w:hAnsi="黑体" w:eastAsia="方正小标宋简体"/>
          <w:sz w:val="44"/>
          <w:szCs w:val="44"/>
        </w:rPr>
        <w:t>[大运枢纽站及其周边地区]法定图则08-03、08-04等地块规划调整公众意见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处理情况</w:t>
      </w:r>
    </w:p>
    <w:p>
      <w:pPr>
        <w:snapToGrid w:val="0"/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深圳市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龙岗区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[大运枢纽站及其周边地区]法定图则08-03、08-04等地块规划调整于2025年11月27日至2025年12月26日公示，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收到规划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调整程序、公众参与、规划定位、规划功能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lang w:val="en-US" w:eastAsia="zh-CN"/>
        </w:rPr>
        <w:t>等方面的相关意见，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现答复如下：</w:t>
      </w: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1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关于调整程序。本次调整已根据《深圳市城市规划条例》完成前期审查，并依法启动了为期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30天的公开展示。</w:t>
      </w: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2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关于公众参与。我局已于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2026年1月9日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组织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召开本次规划调整听证会，并于2026年1月30日在深圳市规划和自然资源局网站公布听证报告。</w:t>
      </w: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3.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关于规划定位。规划围绕“体育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+商业”的创新消费模式，高标准引入商业商贸服务，将大运片区高标准打造为集品质居住、高端商业、星级酒店、中央公园及文化设施于一体的国际街区。</w:t>
      </w: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4.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关于规划功能。本次调整贯彻落实《深圳市国土空间总体规划（2021－2035年）》中“优民生、增居住、强工业、稳商办”的导向，降低原规划商业及办公空间占比，增加优质住房供给。</w:t>
      </w: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5.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关于文化设施。考虑到周边龙城广场片区已有“红立方”三馆一城、龙岗文化中心，国际大学园片区深圳音乐学院（建设中），本次调整方案保留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4.05万平方米文化设施规模，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并更加注重功能适配与创新引领。</w:t>
      </w: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6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.关于公共空间规模与布局。调整方案延续并优化了原方案的绿地结构脉络，在确保公园绿地及文体设施用地总量不减少的基础上，将多处分散绿地整合为连续贯通的中央带状公园，并围绕青春湖打造片区核心蓝绿开敞空间。</w:t>
      </w: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7.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关于城市设计。调整方案拟于D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Y01-06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地块规划一处地标建筑，后续工作将进一步优化、完善城市设计及风貌管控要求，以确保片区高品质的城市空间建设。</w:t>
      </w: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8.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关于教育设施。本次调整方案将原规划27班学校扩至54班，在保留12班幼儿园的基础上新增1处9班幼儿园及2处托育机构，提升了片区教育配套规模，能够满足片区学位需求。具体学校引进与建设后续将由教育部门负责实施。</w:t>
      </w: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9.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关于垃圾转运站。经核算，规划范围内需配建1座小型垃圾转运站，以保障生活垃圾就近转运。后续设计中将加强排污除臭及外观设计，进一步降低邻避效应。</w:t>
      </w:r>
      <w:bookmarkStart w:id="0" w:name="_GoBack"/>
      <w:bookmarkEnd w:id="0"/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1</w:t>
      </w:r>
      <w:r>
        <w:rPr>
          <w:rFonts w:ascii="CESI仿宋-GB2312" w:hAnsi="CESI仿宋-GB2312" w:eastAsia="CESI仿宋-GB2312" w:cs="CESI仿宋-GB2312"/>
          <w:color w:val="000000"/>
          <w:sz w:val="32"/>
          <w:szCs w:val="32"/>
        </w:rPr>
        <w:t>0.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</w:rPr>
        <w:t>关于北侧公寓业主的其他诉求。本次调整对象主要为已收回的国有储备用地及周边大运中心、绿地等。不属于规划调整方案相关问题的其它诉求，我局已详实记录，后续将反映至相关部门进一步研究处理。</w:t>
      </w:r>
    </w:p>
    <w:p>
      <w:pPr>
        <w:spacing w:line="540" w:lineRule="exact"/>
        <w:ind w:firstLine="640" w:firstLineChars="200"/>
        <w:jc w:val="right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CESI仿宋-GB2312" w:hAnsi="CESI仿宋-GB2312" w:eastAsia="CESI仿宋-GB2312" w:cs="CESI仿宋-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1F"/>
    <w:rsid w:val="000068CD"/>
    <w:rsid w:val="00010EB7"/>
    <w:rsid w:val="0001188C"/>
    <w:rsid w:val="00034488"/>
    <w:rsid w:val="0004078F"/>
    <w:rsid w:val="00063BDA"/>
    <w:rsid w:val="000660A5"/>
    <w:rsid w:val="00086229"/>
    <w:rsid w:val="00087092"/>
    <w:rsid w:val="00091E61"/>
    <w:rsid w:val="000A4354"/>
    <w:rsid w:val="000A4D07"/>
    <w:rsid w:val="000C3C33"/>
    <w:rsid w:val="0010362F"/>
    <w:rsid w:val="001040DC"/>
    <w:rsid w:val="0010452D"/>
    <w:rsid w:val="00120FC6"/>
    <w:rsid w:val="00143AD8"/>
    <w:rsid w:val="00150DDF"/>
    <w:rsid w:val="00151D40"/>
    <w:rsid w:val="0015643E"/>
    <w:rsid w:val="001656C3"/>
    <w:rsid w:val="00177A14"/>
    <w:rsid w:val="001A6E27"/>
    <w:rsid w:val="001A74F1"/>
    <w:rsid w:val="001B4767"/>
    <w:rsid w:val="001D5FC6"/>
    <w:rsid w:val="001D66F9"/>
    <w:rsid w:val="001D6B64"/>
    <w:rsid w:val="001E0740"/>
    <w:rsid w:val="001E1940"/>
    <w:rsid w:val="001F5898"/>
    <w:rsid w:val="001F7DBA"/>
    <w:rsid w:val="002003B9"/>
    <w:rsid w:val="0021720D"/>
    <w:rsid w:val="00227035"/>
    <w:rsid w:val="00247819"/>
    <w:rsid w:val="0025727A"/>
    <w:rsid w:val="00261C8A"/>
    <w:rsid w:val="00270870"/>
    <w:rsid w:val="002725BC"/>
    <w:rsid w:val="0027685E"/>
    <w:rsid w:val="00277041"/>
    <w:rsid w:val="002A04BA"/>
    <w:rsid w:val="002B5280"/>
    <w:rsid w:val="002C55BD"/>
    <w:rsid w:val="002D47EB"/>
    <w:rsid w:val="002D562F"/>
    <w:rsid w:val="002E0301"/>
    <w:rsid w:val="002F77FC"/>
    <w:rsid w:val="00303BCA"/>
    <w:rsid w:val="00304E8E"/>
    <w:rsid w:val="00306775"/>
    <w:rsid w:val="003248C0"/>
    <w:rsid w:val="003363BF"/>
    <w:rsid w:val="00362186"/>
    <w:rsid w:val="00366C3C"/>
    <w:rsid w:val="00370CD1"/>
    <w:rsid w:val="00375B6D"/>
    <w:rsid w:val="003848A4"/>
    <w:rsid w:val="00386117"/>
    <w:rsid w:val="0039110A"/>
    <w:rsid w:val="003A0574"/>
    <w:rsid w:val="003A3F31"/>
    <w:rsid w:val="003C4EE9"/>
    <w:rsid w:val="003D09C3"/>
    <w:rsid w:val="003D39CB"/>
    <w:rsid w:val="003D62E5"/>
    <w:rsid w:val="003F3588"/>
    <w:rsid w:val="00406688"/>
    <w:rsid w:val="00422DC5"/>
    <w:rsid w:val="00423623"/>
    <w:rsid w:val="00423729"/>
    <w:rsid w:val="004409A9"/>
    <w:rsid w:val="00446E32"/>
    <w:rsid w:val="00490AD9"/>
    <w:rsid w:val="004C4EB8"/>
    <w:rsid w:val="004D2C70"/>
    <w:rsid w:val="004F6BC9"/>
    <w:rsid w:val="00502407"/>
    <w:rsid w:val="005057A3"/>
    <w:rsid w:val="005063D8"/>
    <w:rsid w:val="005227F1"/>
    <w:rsid w:val="005275A8"/>
    <w:rsid w:val="00530C52"/>
    <w:rsid w:val="00540E20"/>
    <w:rsid w:val="00542922"/>
    <w:rsid w:val="00542CA5"/>
    <w:rsid w:val="00543C7F"/>
    <w:rsid w:val="005440BD"/>
    <w:rsid w:val="00560F00"/>
    <w:rsid w:val="005644DE"/>
    <w:rsid w:val="005737CB"/>
    <w:rsid w:val="00590B52"/>
    <w:rsid w:val="005B2C90"/>
    <w:rsid w:val="005B478B"/>
    <w:rsid w:val="005B666C"/>
    <w:rsid w:val="005C7549"/>
    <w:rsid w:val="005D5F76"/>
    <w:rsid w:val="005F042D"/>
    <w:rsid w:val="005F1687"/>
    <w:rsid w:val="00601137"/>
    <w:rsid w:val="00610E0C"/>
    <w:rsid w:val="00611878"/>
    <w:rsid w:val="00611D8D"/>
    <w:rsid w:val="00642C1D"/>
    <w:rsid w:val="006449EC"/>
    <w:rsid w:val="00647994"/>
    <w:rsid w:val="0065063F"/>
    <w:rsid w:val="00650B25"/>
    <w:rsid w:val="00650F30"/>
    <w:rsid w:val="006518CA"/>
    <w:rsid w:val="006615E4"/>
    <w:rsid w:val="006647B4"/>
    <w:rsid w:val="006813CF"/>
    <w:rsid w:val="00690C74"/>
    <w:rsid w:val="006A1D44"/>
    <w:rsid w:val="006B3C2C"/>
    <w:rsid w:val="006D216F"/>
    <w:rsid w:val="006D7ED7"/>
    <w:rsid w:val="006F3B93"/>
    <w:rsid w:val="007100D5"/>
    <w:rsid w:val="007210AD"/>
    <w:rsid w:val="00726654"/>
    <w:rsid w:val="00730140"/>
    <w:rsid w:val="00735D96"/>
    <w:rsid w:val="00740131"/>
    <w:rsid w:val="00741709"/>
    <w:rsid w:val="00750CA5"/>
    <w:rsid w:val="007531EC"/>
    <w:rsid w:val="0075707F"/>
    <w:rsid w:val="00757281"/>
    <w:rsid w:val="00760CBD"/>
    <w:rsid w:val="00775F64"/>
    <w:rsid w:val="00790B15"/>
    <w:rsid w:val="00796F37"/>
    <w:rsid w:val="007A0B24"/>
    <w:rsid w:val="007B0D91"/>
    <w:rsid w:val="007B67C9"/>
    <w:rsid w:val="007B6DFB"/>
    <w:rsid w:val="007E1410"/>
    <w:rsid w:val="007F413B"/>
    <w:rsid w:val="008030C5"/>
    <w:rsid w:val="0080436C"/>
    <w:rsid w:val="008047E5"/>
    <w:rsid w:val="00817F40"/>
    <w:rsid w:val="00825F9E"/>
    <w:rsid w:val="00826E7C"/>
    <w:rsid w:val="008308E5"/>
    <w:rsid w:val="0083353C"/>
    <w:rsid w:val="00841DD7"/>
    <w:rsid w:val="00850AB9"/>
    <w:rsid w:val="00856AF4"/>
    <w:rsid w:val="00863236"/>
    <w:rsid w:val="0088494B"/>
    <w:rsid w:val="008914D2"/>
    <w:rsid w:val="008A3C44"/>
    <w:rsid w:val="008A3E66"/>
    <w:rsid w:val="008A76C1"/>
    <w:rsid w:val="008C4CA7"/>
    <w:rsid w:val="008D17F9"/>
    <w:rsid w:val="008D28E8"/>
    <w:rsid w:val="008E2F2E"/>
    <w:rsid w:val="008E31E1"/>
    <w:rsid w:val="008E7CB3"/>
    <w:rsid w:val="008F75F8"/>
    <w:rsid w:val="00901B4D"/>
    <w:rsid w:val="009056B4"/>
    <w:rsid w:val="00934AF6"/>
    <w:rsid w:val="00953211"/>
    <w:rsid w:val="00973A89"/>
    <w:rsid w:val="009A28B2"/>
    <w:rsid w:val="009A43CC"/>
    <w:rsid w:val="009B1FB5"/>
    <w:rsid w:val="009D221B"/>
    <w:rsid w:val="009D2AE3"/>
    <w:rsid w:val="009F3D65"/>
    <w:rsid w:val="00A11B65"/>
    <w:rsid w:val="00A14749"/>
    <w:rsid w:val="00A21E80"/>
    <w:rsid w:val="00A23875"/>
    <w:rsid w:val="00A26425"/>
    <w:rsid w:val="00A4166B"/>
    <w:rsid w:val="00A62A33"/>
    <w:rsid w:val="00A770F1"/>
    <w:rsid w:val="00A9251C"/>
    <w:rsid w:val="00AA0349"/>
    <w:rsid w:val="00AB4D70"/>
    <w:rsid w:val="00AB6568"/>
    <w:rsid w:val="00AC0AA4"/>
    <w:rsid w:val="00AD1999"/>
    <w:rsid w:val="00AE5FA9"/>
    <w:rsid w:val="00AF2361"/>
    <w:rsid w:val="00B01E51"/>
    <w:rsid w:val="00B07ABB"/>
    <w:rsid w:val="00B14153"/>
    <w:rsid w:val="00B1688C"/>
    <w:rsid w:val="00B31AF8"/>
    <w:rsid w:val="00B354F2"/>
    <w:rsid w:val="00B53A72"/>
    <w:rsid w:val="00B561AE"/>
    <w:rsid w:val="00B5761E"/>
    <w:rsid w:val="00B843FF"/>
    <w:rsid w:val="00B92589"/>
    <w:rsid w:val="00BC4187"/>
    <w:rsid w:val="00BD2456"/>
    <w:rsid w:val="00BE370A"/>
    <w:rsid w:val="00BF4C80"/>
    <w:rsid w:val="00C00B13"/>
    <w:rsid w:val="00C7160F"/>
    <w:rsid w:val="00C7252B"/>
    <w:rsid w:val="00C87C31"/>
    <w:rsid w:val="00CA1CF1"/>
    <w:rsid w:val="00CC27EE"/>
    <w:rsid w:val="00CC49F8"/>
    <w:rsid w:val="00CC5E11"/>
    <w:rsid w:val="00CC748A"/>
    <w:rsid w:val="00CE6553"/>
    <w:rsid w:val="00CE747A"/>
    <w:rsid w:val="00D003B2"/>
    <w:rsid w:val="00D0117A"/>
    <w:rsid w:val="00D12CDC"/>
    <w:rsid w:val="00D3589A"/>
    <w:rsid w:val="00D7117E"/>
    <w:rsid w:val="00D74C99"/>
    <w:rsid w:val="00D77B1F"/>
    <w:rsid w:val="00D951BD"/>
    <w:rsid w:val="00DA0B14"/>
    <w:rsid w:val="00DB47A3"/>
    <w:rsid w:val="00DE0CC8"/>
    <w:rsid w:val="00DF0FE1"/>
    <w:rsid w:val="00E152D3"/>
    <w:rsid w:val="00E221BE"/>
    <w:rsid w:val="00E26496"/>
    <w:rsid w:val="00E42997"/>
    <w:rsid w:val="00E503C9"/>
    <w:rsid w:val="00E50922"/>
    <w:rsid w:val="00E54088"/>
    <w:rsid w:val="00E6742B"/>
    <w:rsid w:val="00E7177C"/>
    <w:rsid w:val="00E71E39"/>
    <w:rsid w:val="00EA27E8"/>
    <w:rsid w:val="00EA4277"/>
    <w:rsid w:val="00EB17F7"/>
    <w:rsid w:val="00EB496D"/>
    <w:rsid w:val="00EC17F2"/>
    <w:rsid w:val="00EE464C"/>
    <w:rsid w:val="00F10332"/>
    <w:rsid w:val="00F31964"/>
    <w:rsid w:val="00F47D85"/>
    <w:rsid w:val="00F51D30"/>
    <w:rsid w:val="00F67E4F"/>
    <w:rsid w:val="00F84EB3"/>
    <w:rsid w:val="00F94EA4"/>
    <w:rsid w:val="00F96585"/>
    <w:rsid w:val="00F96FAC"/>
    <w:rsid w:val="00FA5E35"/>
    <w:rsid w:val="00FA6A64"/>
    <w:rsid w:val="00FC344E"/>
    <w:rsid w:val="00FE11D5"/>
    <w:rsid w:val="00FF4525"/>
    <w:rsid w:val="1459605D"/>
    <w:rsid w:val="1A7C08E0"/>
    <w:rsid w:val="1ACC2EC5"/>
    <w:rsid w:val="289B4DD5"/>
    <w:rsid w:val="36B70D0F"/>
    <w:rsid w:val="44E56D05"/>
    <w:rsid w:val="4B0F1848"/>
    <w:rsid w:val="4F7305A7"/>
    <w:rsid w:val="64790AE0"/>
    <w:rsid w:val="6C6B37A0"/>
    <w:rsid w:val="70AA7F29"/>
    <w:rsid w:val="73486879"/>
    <w:rsid w:val="7D3F179E"/>
    <w:rsid w:val="7D59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3 字符"/>
    <w:basedOn w:val="9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909</Characters>
  <Lines>7</Lines>
  <Paragraphs>2</Paragraphs>
  <TotalTime>11</TotalTime>
  <ScaleCrop>false</ScaleCrop>
  <LinksUpToDate>false</LinksUpToDate>
  <CharactersWithSpaces>1066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2026-03-05T06:29:00Z</dcterms:created>
  <dc:creator>Administrator</dc:creator>
  <cp:lastModifiedBy>刘子慎</cp:lastModifiedBy>
  <cp:lastPrinted>2026-03-17T08:55:12Z</cp:lastPrinted>
  <dcterms:modified xsi:type="dcterms:W3CDTF">2026-03-17T09:04:49Z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eyJoZGlkIjoiNzIxNWE4OTZmNDI4MzI1YzYxNTRhNTQ4NWIzOWQ2MmQiLCJ1c2VySWQiOiIyODU1Njg4ODMifQ==</vt:lpwstr>
  </property>
  <property fmtid="{D5CDD505-2E9C-101B-9397-08002B2CF9AE}" pid="3" name="KSOProductBuildVer">
    <vt:lpwstr>2052-11.8.2.12094</vt:lpwstr>
  </property>
  <property fmtid="{D5CDD505-2E9C-101B-9397-08002B2CF9AE}" pid="4" name="ICV">
    <vt:lpwstr>045B8903307C4AB6A17F3A80AD17CA11</vt:lpwstr>
  </property>
</Properties>
</file>