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center"/>
        <w:textAlignment w:val="auto"/>
        <w:outlineLvl w:val="9"/>
        <w:rPr>
          <w:rFonts w:hint="eastAsia"/>
          <w:b/>
          <w:bCs w:val="0"/>
          <w:lang w:val="en-US" w:eastAsia="zh-CN"/>
        </w:rPr>
      </w:pPr>
      <w:r>
        <w:rPr>
          <w:rFonts w:hint="eastAsia" w:ascii="方正小标宋_GBK" w:hAnsi="方正小标宋_GBK" w:eastAsia="方正小标宋_GBK" w:cs="方正小标宋_GBK"/>
          <w:bCs/>
          <w:color w:val="000000"/>
          <w:kern w:val="2"/>
          <w:sz w:val="44"/>
          <w:szCs w:val="24"/>
          <w:lang w:val="en-US" w:eastAsia="zh-CN" w:bidi="ar-SA"/>
        </w:rPr>
        <w:t>《〈深圳市规划和自然资源行政处罚裁量基准适用规则〉〈深圳市规划和自然资源行政处罚裁量基准表（规划类、土地类、地名类）〉（征求意见稿）》社会公众意见处理情况表</w:t>
      </w:r>
    </w:p>
    <w:p>
      <w:pPr>
        <w:pStyle w:val="5"/>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center"/>
        <w:textAlignment w:val="auto"/>
        <w:outlineLvl w:val="9"/>
        <w:rPr>
          <w:rFonts w:hint="eastAsia"/>
          <w:b/>
          <w:bCs w:val="0"/>
          <w:lang w:val="en-US" w:eastAsia="zh-CN"/>
        </w:rPr>
      </w:pPr>
    </w:p>
    <w:tbl>
      <w:tblPr>
        <w:tblStyle w:val="12"/>
        <w:tblW w:w="54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933"/>
        <w:gridCol w:w="4509"/>
        <w:gridCol w:w="1616"/>
        <w:gridCol w:w="6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blHeader/>
          <w:jc w:val="center"/>
        </w:trPr>
        <w:tc>
          <w:tcPr>
            <w:tcW w:w="294" w:type="pct"/>
            <w:tcBorders>
              <w:top w:val="single" w:color="000000" w:sz="4" w:space="0"/>
              <w:left w:val="single" w:color="000000" w:sz="4" w:space="0"/>
              <w:bottom w:val="single" w:color="000000" w:sz="4" w:space="0"/>
              <w:right w:val="single" w:color="000000" w:sz="4" w:space="0"/>
              <w:tl2br w:val="nil"/>
            </w:tcBorders>
            <w:shd w:val="clear" w:color="auto" w:fill="BEBEBE" w:themeFill="background1" w:themeFillShade="BF"/>
            <w:noWrap w:val="0"/>
            <w:vAlign w:val="center"/>
          </w:tcPr>
          <w:p>
            <w:pPr>
              <w:keepNext w:val="0"/>
              <w:keepLines w:val="0"/>
              <w:pageBreakBefore w:val="0"/>
              <w:widowControl/>
              <w:kinsoku/>
              <w:wordWrap/>
              <w:overflowPunct/>
              <w:topLinePunct w:val="0"/>
              <w:autoSpaceDE/>
              <w:autoSpaceDN/>
              <w:bidi w:val="0"/>
              <w:spacing w:line="300" w:lineRule="exact"/>
              <w:jc w:val="center"/>
              <w:textAlignment w:val="auto"/>
              <w:rPr>
                <w:rFonts w:hint="eastAsia" w:ascii="黑体" w:hAnsi="黑体" w:eastAsia="黑体" w:cs="黑体"/>
                <w:b/>
                <w:bCs w:val="0"/>
                <w:color w:val="000000"/>
                <w:kern w:val="0"/>
                <w:sz w:val="22"/>
                <w:szCs w:val="22"/>
                <w:lang w:val="en-US" w:eastAsia="zh-CN"/>
              </w:rPr>
            </w:pPr>
            <w:r>
              <w:rPr>
                <w:rFonts w:hint="eastAsia" w:ascii="黑体" w:hAnsi="黑体" w:eastAsia="黑体" w:cs="黑体"/>
                <w:b/>
                <w:bCs w:val="0"/>
                <w:color w:val="000000"/>
                <w:kern w:val="0"/>
                <w:sz w:val="22"/>
                <w:szCs w:val="22"/>
                <w:lang w:val="en-US" w:eastAsia="zh-CN"/>
              </w:rPr>
              <w:t>序号</w:t>
            </w:r>
          </w:p>
        </w:tc>
        <w:tc>
          <w:tcPr>
            <w:tcW w:w="33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0"/>
            <w:vAlign w:val="center"/>
          </w:tcPr>
          <w:p>
            <w:pPr>
              <w:keepNext w:val="0"/>
              <w:keepLines w:val="0"/>
              <w:pageBreakBefore w:val="0"/>
              <w:widowControl/>
              <w:kinsoku/>
              <w:wordWrap/>
              <w:overflowPunct/>
              <w:topLinePunct w:val="0"/>
              <w:autoSpaceDE/>
              <w:autoSpaceDN/>
              <w:bidi w:val="0"/>
              <w:spacing w:line="300" w:lineRule="exact"/>
              <w:jc w:val="center"/>
              <w:textAlignment w:val="auto"/>
              <w:rPr>
                <w:rFonts w:hint="eastAsia" w:ascii="黑体" w:hAnsi="黑体" w:eastAsia="黑体" w:cs="黑体"/>
                <w:b/>
                <w:bCs w:val="0"/>
                <w:color w:val="000000"/>
                <w:kern w:val="0"/>
                <w:sz w:val="22"/>
                <w:szCs w:val="22"/>
                <w:lang w:val="en-US" w:eastAsia="zh-CN"/>
              </w:rPr>
            </w:pPr>
            <w:r>
              <w:rPr>
                <w:rFonts w:hint="eastAsia" w:ascii="黑体" w:hAnsi="黑体" w:eastAsia="黑体" w:cs="黑体"/>
                <w:b/>
                <w:bCs w:val="0"/>
                <w:color w:val="000000"/>
                <w:kern w:val="0"/>
                <w:sz w:val="22"/>
                <w:szCs w:val="22"/>
                <w:lang w:val="en-US" w:eastAsia="zh-CN"/>
              </w:rPr>
              <w:t>姓名</w:t>
            </w:r>
          </w:p>
        </w:tc>
        <w:tc>
          <w:tcPr>
            <w:tcW w:w="160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0"/>
            <w:vAlign w:val="center"/>
          </w:tcPr>
          <w:p>
            <w:pPr>
              <w:keepNext w:val="0"/>
              <w:keepLines w:val="0"/>
              <w:pageBreakBefore w:val="0"/>
              <w:widowControl/>
              <w:kinsoku/>
              <w:wordWrap/>
              <w:overflowPunct/>
              <w:topLinePunct w:val="0"/>
              <w:autoSpaceDE/>
              <w:autoSpaceDN/>
              <w:bidi w:val="0"/>
              <w:spacing w:line="300" w:lineRule="exact"/>
              <w:jc w:val="center"/>
              <w:textAlignment w:val="auto"/>
              <w:rPr>
                <w:rFonts w:hint="eastAsia" w:ascii="黑体" w:hAnsi="黑体" w:eastAsia="黑体" w:cs="黑体"/>
                <w:b/>
                <w:bCs w:val="0"/>
                <w:color w:val="000000"/>
                <w:kern w:val="0"/>
                <w:sz w:val="22"/>
                <w:szCs w:val="22"/>
                <w:lang w:val="zh-CN"/>
              </w:rPr>
            </w:pPr>
            <w:r>
              <w:rPr>
                <w:rFonts w:hint="eastAsia" w:ascii="黑体" w:hAnsi="黑体" w:eastAsia="黑体" w:cs="黑体"/>
                <w:b/>
                <w:bCs w:val="0"/>
                <w:color w:val="000000"/>
                <w:kern w:val="0"/>
                <w:sz w:val="22"/>
                <w:szCs w:val="22"/>
                <w:lang w:val="zh-CN"/>
              </w:rPr>
              <w:t>意见或建议</w:t>
            </w:r>
          </w:p>
        </w:tc>
        <w:tc>
          <w:tcPr>
            <w:tcW w:w="5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0"/>
            <w:vAlign w:val="center"/>
          </w:tcPr>
          <w:p>
            <w:pPr>
              <w:keepNext w:val="0"/>
              <w:keepLines w:val="0"/>
              <w:pageBreakBefore w:val="0"/>
              <w:widowControl/>
              <w:kinsoku/>
              <w:wordWrap/>
              <w:overflowPunct/>
              <w:topLinePunct w:val="0"/>
              <w:autoSpaceDE/>
              <w:autoSpaceDN/>
              <w:bidi w:val="0"/>
              <w:spacing w:line="300" w:lineRule="exact"/>
              <w:jc w:val="center"/>
              <w:textAlignment w:val="auto"/>
              <w:rPr>
                <w:rFonts w:hint="default" w:ascii="黑体" w:hAnsi="黑体" w:eastAsia="黑体" w:cs="黑体"/>
                <w:b/>
                <w:bCs w:val="0"/>
                <w:color w:val="000000"/>
                <w:kern w:val="0"/>
                <w:sz w:val="22"/>
                <w:szCs w:val="22"/>
                <w:lang w:val="en-US" w:eastAsia="zh-CN"/>
              </w:rPr>
            </w:pPr>
            <w:r>
              <w:rPr>
                <w:rFonts w:hint="eastAsia" w:ascii="黑体" w:hAnsi="黑体" w:eastAsia="黑体" w:cs="黑体"/>
                <w:b/>
                <w:bCs w:val="0"/>
                <w:color w:val="000000"/>
                <w:kern w:val="0"/>
                <w:sz w:val="22"/>
                <w:szCs w:val="22"/>
                <w:lang w:val="en-US" w:eastAsia="zh-CN"/>
              </w:rPr>
              <w:t>联系方式</w:t>
            </w:r>
          </w:p>
        </w:tc>
        <w:tc>
          <w:tcPr>
            <w:tcW w:w="21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0"/>
            <w:vAlign w:val="center"/>
          </w:tcPr>
          <w:p>
            <w:pPr>
              <w:keepNext w:val="0"/>
              <w:keepLines w:val="0"/>
              <w:pageBreakBefore w:val="0"/>
              <w:widowControl/>
              <w:kinsoku/>
              <w:wordWrap/>
              <w:overflowPunct/>
              <w:topLinePunct w:val="0"/>
              <w:autoSpaceDE/>
              <w:autoSpaceDN/>
              <w:bidi w:val="0"/>
              <w:spacing w:line="300" w:lineRule="exact"/>
              <w:jc w:val="center"/>
              <w:textAlignment w:val="auto"/>
              <w:rPr>
                <w:rFonts w:hint="default" w:ascii="黑体" w:hAnsi="黑体" w:eastAsia="黑体" w:cs="黑体"/>
                <w:b/>
                <w:bCs w:val="0"/>
                <w:color w:val="000000"/>
                <w:kern w:val="0"/>
                <w:sz w:val="22"/>
                <w:szCs w:val="22"/>
                <w:lang w:val="en-US" w:eastAsia="zh-CN"/>
              </w:rPr>
            </w:pPr>
            <w:r>
              <w:rPr>
                <w:rFonts w:hint="eastAsia" w:ascii="黑体" w:hAnsi="黑体" w:eastAsia="黑体" w:cs="黑体"/>
                <w:b/>
                <w:bCs w:val="0"/>
                <w:color w:val="000000"/>
                <w:kern w:val="0"/>
                <w:sz w:val="22"/>
                <w:szCs w:val="22"/>
                <w:lang w:val="en-US" w:eastAsia="zh-CN"/>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294" w:type="pct"/>
            <w:tcBorders>
              <w:top w:val="single" w:color="000000" w:sz="4" w:space="0"/>
              <w:left w:val="single" w:color="000000" w:sz="4" w:space="0"/>
              <w:bottom w:val="single" w:color="000000" w:sz="4" w:space="0"/>
              <w:right w:val="single" w:color="000000" w:sz="4" w:space="0"/>
              <w:tl2br w:val="nil"/>
            </w:tcBorders>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auto"/>
              <w:rPr>
                <w:rFonts w:hint="eastAsia" w:ascii="仿宋_GB2312" w:hAnsi="仿宋_GB2312" w:eastAsia="仿宋_GB2312" w:cs="仿宋_GB2312"/>
                <w:b w:val="0"/>
                <w:bCs/>
                <w:kern w:val="0"/>
                <w:szCs w:val="24"/>
                <w:lang w:val="en-US" w:eastAsia="zh-CN"/>
              </w:rPr>
            </w:pPr>
            <w:r>
              <w:rPr>
                <w:rFonts w:hint="eastAsia" w:ascii="仿宋_GB2312" w:hAnsi="仿宋_GB2312" w:eastAsia="仿宋_GB2312" w:cs="仿宋_GB2312"/>
                <w:b w:val="0"/>
                <w:bCs/>
                <w:kern w:val="0"/>
                <w:szCs w:val="24"/>
                <w:lang w:val="en-US" w:eastAsia="zh-CN"/>
              </w:rPr>
              <w:t>1</w:t>
            </w:r>
          </w:p>
        </w:tc>
        <w:tc>
          <w:tcPr>
            <w:tcW w:w="334" w:type="pc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auto"/>
              <w:rPr>
                <w:rFonts w:hint="default" w:ascii="仿宋_GB2312" w:hAnsi="仿宋_GB2312" w:eastAsia="仿宋_GB2312" w:cs="仿宋_GB2312"/>
                <w:b w:val="0"/>
                <w:bCs/>
                <w:kern w:val="0"/>
                <w:sz w:val="24"/>
                <w:szCs w:val="24"/>
                <w:u w:val="none"/>
                <w:lang w:val="en-US" w:eastAsia="zh-CN"/>
              </w:rPr>
            </w:pPr>
            <w:r>
              <w:rPr>
                <w:rFonts w:hint="eastAsia" w:ascii="仿宋_GB2312" w:hAnsi="仿宋_GB2312" w:eastAsia="仿宋_GB2312" w:cs="仿宋_GB2312"/>
                <w:b w:val="0"/>
                <w:bCs/>
                <w:kern w:val="0"/>
                <w:sz w:val="24"/>
                <w:szCs w:val="24"/>
                <w:u w:val="none"/>
                <w:lang w:val="en-US" w:eastAsia="zh-CN"/>
              </w:rPr>
              <w:t>g**9</w:t>
            </w:r>
          </w:p>
        </w:tc>
        <w:tc>
          <w:tcPr>
            <w:tcW w:w="16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line="280" w:lineRule="exact"/>
              <w:ind w:left="0" w:leftChars="0" w:right="0" w:rightChars="0" w:firstLine="420" w:firstLineChars="0"/>
              <w:jc w:val="both"/>
              <w:textAlignment w:val="auto"/>
              <w:rPr>
                <w:rFonts w:hint="default" w:ascii="仿宋_GB2312" w:hAnsi="仿宋_GB2312" w:eastAsia="仿宋_GB2312" w:cs="仿宋_GB2312"/>
                <w:b w:val="0"/>
                <w:bCs/>
                <w:kern w:val="0"/>
                <w:sz w:val="24"/>
                <w:szCs w:val="24"/>
                <w:u w:val="none"/>
                <w:lang w:val="en-US" w:eastAsia="zh-CN" w:bidi="ar-SA"/>
              </w:rPr>
            </w:pPr>
            <w:r>
              <w:rPr>
                <w:rFonts w:hint="eastAsia" w:ascii="仿宋_GB2312" w:hAnsi="仿宋_GB2312" w:eastAsia="仿宋_GB2312" w:cs="仿宋_GB2312"/>
                <w:bCs/>
                <w:kern w:val="0"/>
                <w:sz w:val="24"/>
                <w:szCs w:val="24"/>
                <w:u w:val="none"/>
                <w:lang w:val="en-US" w:eastAsia="zh-CN"/>
              </w:rPr>
              <w:t>征求意见稿</w:t>
            </w:r>
            <w:r>
              <w:rPr>
                <w:rFonts w:hint="eastAsia" w:ascii="仿宋_GB2312" w:hAnsi="仿宋_GB2312" w:eastAsia="仿宋_GB2312" w:cs="仿宋_GB2312"/>
                <w:bCs/>
                <w:kern w:val="0"/>
                <w:sz w:val="24"/>
                <w:szCs w:val="24"/>
                <w:u w:val="none"/>
                <w:lang w:val="zh-CN"/>
              </w:rPr>
              <w:t>适用规则</w:t>
            </w:r>
            <w:r>
              <w:rPr>
                <w:rFonts w:hint="eastAsia" w:ascii="仿宋_GB2312" w:hAnsi="仿宋_GB2312" w:eastAsia="仿宋_GB2312" w:cs="仿宋_GB2312"/>
                <w:bCs/>
                <w:kern w:val="0"/>
                <w:sz w:val="24"/>
                <w:szCs w:val="24"/>
                <w:u w:val="none"/>
                <w:lang w:val="en-US" w:eastAsia="zh-CN"/>
              </w:rPr>
              <w:t>中称，</w:t>
            </w:r>
            <w:r>
              <w:rPr>
                <w:rFonts w:hint="eastAsia" w:ascii="仿宋_GB2312" w:hAnsi="仿宋_GB2312" w:eastAsia="仿宋_GB2312" w:cs="仿宋_GB2312"/>
                <w:bCs/>
                <w:kern w:val="0"/>
                <w:sz w:val="24"/>
                <w:szCs w:val="24"/>
                <w:u w:val="none"/>
                <w:lang w:val="zh-CN"/>
              </w:rPr>
              <w:t>测绘地理信息类、地质矿产类行政处罚直接适用《广东省自然资源行政处罚自由裁量权实施办法》所附相应裁量基准，建议</w:t>
            </w:r>
            <w:r>
              <w:rPr>
                <w:rFonts w:hint="eastAsia" w:ascii="仿宋_GB2312" w:hAnsi="仿宋_GB2312" w:eastAsia="仿宋_GB2312" w:cs="仿宋_GB2312"/>
                <w:bCs/>
                <w:kern w:val="0"/>
                <w:sz w:val="24"/>
                <w:szCs w:val="24"/>
                <w:u w:val="none"/>
                <w:lang w:val="en-US" w:eastAsia="zh-CN"/>
              </w:rPr>
              <w:t>在深圳市的裁量基准表中也增加表格内容，方便查阅。</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auto"/>
              <w:rPr>
                <w:rFonts w:hint="default" w:ascii="仿宋_GB2312" w:hAnsi="仿宋_GB2312" w:eastAsia="仿宋_GB2312" w:cs="仿宋_GB2312"/>
                <w:b w:val="0"/>
                <w:bCs/>
                <w:kern w:val="0"/>
                <w:sz w:val="24"/>
                <w:szCs w:val="24"/>
                <w:u w:val="none"/>
                <w:lang w:val="en-US" w:eastAsia="zh-CN"/>
              </w:rPr>
            </w:pPr>
            <w:r>
              <w:rPr>
                <w:rFonts w:hint="eastAsia" w:ascii="仿宋_GB2312" w:hAnsi="仿宋_GB2312" w:eastAsia="仿宋_GB2312" w:cs="仿宋_GB2312"/>
                <w:b w:val="0"/>
                <w:bCs/>
                <w:kern w:val="0"/>
                <w:sz w:val="24"/>
                <w:szCs w:val="24"/>
                <w:u w:val="none"/>
                <w:lang w:val="en-US" w:eastAsia="zh-CN"/>
              </w:rPr>
              <w:t>g**9@163.com</w:t>
            </w: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62" w:firstLineChars="0"/>
              <w:jc w:val="both"/>
              <w:textAlignment w:val="auto"/>
              <w:rPr>
                <w:rFonts w:hint="eastAsia" w:ascii="仿宋_GB2312" w:hAnsi="仿宋_GB2312" w:eastAsia="仿宋_GB2312" w:cs="仿宋_GB2312"/>
                <w:b/>
                <w:bCs w:val="0"/>
                <w:kern w:val="0"/>
                <w:sz w:val="24"/>
                <w:szCs w:val="24"/>
                <w:u w:val="none"/>
                <w:lang w:val="en-US" w:eastAsia="zh-CN" w:bidi="ar-SA"/>
              </w:rPr>
            </w:pPr>
            <w:r>
              <w:rPr>
                <w:rFonts w:hint="eastAsia" w:ascii="仿宋_GB2312" w:hAnsi="仿宋_GB2312" w:eastAsia="仿宋_GB2312" w:cs="仿宋_GB2312"/>
                <w:b/>
                <w:bCs w:val="0"/>
                <w:kern w:val="0"/>
                <w:sz w:val="24"/>
                <w:szCs w:val="24"/>
                <w:u w:val="none"/>
                <w:lang w:val="en-US" w:eastAsia="zh-CN" w:bidi="ar-SA"/>
              </w:rPr>
              <w:t>解释。</w:t>
            </w:r>
          </w:p>
          <w:p>
            <w:pPr>
              <w:widowControl/>
              <w:spacing w:line="280" w:lineRule="exact"/>
              <w:ind w:firstLine="462"/>
              <w:jc w:val="both"/>
              <w:rPr>
                <w:rFonts w:hint="default" w:ascii="仿宋_GB2312" w:hAnsi="仿宋_GB2312" w:eastAsia="仿宋_GB2312" w:cs="仿宋_GB2312"/>
                <w:b w:val="0"/>
                <w:bCs/>
                <w:kern w:val="0"/>
                <w:sz w:val="24"/>
                <w:szCs w:val="24"/>
                <w:u w:val="none"/>
                <w:lang w:val="en-US" w:eastAsia="zh-CN" w:bidi="ar-SA"/>
              </w:rPr>
            </w:pPr>
            <w:r>
              <w:rPr>
                <w:rFonts w:hint="eastAsia" w:ascii="仿宋_GB2312" w:hAnsi="仿宋_GB2312" w:eastAsia="仿宋_GB2312" w:cs="仿宋_GB2312"/>
                <w:b w:val="0"/>
                <w:bCs/>
                <w:kern w:val="0"/>
                <w:sz w:val="24"/>
                <w:szCs w:val="24"/>
                <w:u w:val="none"/>
                <w:lang w:val="en-US" w:eastAsia="zh-CN" w:bidi="ar-SA"/>
              </w:rPr>
              <w:t>根据自然资源部《关于进一步严格规范自然资源领域涉企行政执法工作的通知》：“市、县级可以依据省级基准制定实施细则。省级已制定的行政处罚裁量基准，原则上应当适用”，故对于测绘、矿产类行政处罚裁量权的规范，应直接参照适用省裁量</w:t>
            </w:r>
            <w:bookmarkStart w:id="0" w:name="_GoBack"/>
            <w:bookmarkEnd w:id="0"/>
            <w:r>
              <w:rPr>
                <w:rFonts w:hint="eastAsia" w:ascii="仿宋_GB2312" w:hAnsi="仿宋_GB2312" w:eastAsia="仿宋_GB2312" w:cs="仿宋_GB2312"/>
                <w:b w:val="0"/>
                <w:bCs/>
                <w:kern w:val="0"/>
                <w:sz w:val="24"/>
                <w:szCs w:val="24"/>
                <w:u w:val="none"/>
                <w:lang w:val="en-US" w:eastAsia="zh-CN" w:bidi="ar-SA"/>
              </w:rPr>
              <w:t>权实施办法。同时，为避免省裁量权实施办法修订后需再次对本裁量基准表进行修订，因此未在本裁量基准表中增加测绘、矿产类相关内容。</w:t>
            </w:r>
          </w:p>
        </w:tc>
      </w:tr>
    </w:tbl>
    <w:p>
      <w:pPr>
        <w:pStyle w:val="3"/>
        <w:ind w:left="0" w:leftChars="0" w:firstLine="0" w:firstLineChars="0"/>
        <w:rPr>
          <w:rFonts w:hint="eastAsia"/>
          <w:lang w:eastAsia="zh-CN"/>
        </w:rPr>
      </w:pPr>
    </w:p>
    <w:sectPr>
      <w:footerReference r:id="rId5" w:type="first"/>
      <w:footerReference r:id="rId3" w:type="default"/>
      <w:footerReference r:id="rId4" w:type="even"/>
      <w:pgSz w:w="16838" w:h="11906" w:orient="landscape"/>
      <w:pgMar w:top="1587" w:right="2097" w:bottom="1474" w:left="1984" w:header="851" w:footer="1361" w:gutter="0"/>
      <w:pgNumType w:fmt="decimal" w:start="1"/>
      <w:cols w:space="720" w:num="1"/>
      <w:titlePg/>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420" w:rightChars="200" w:firstLine="0" w:firstLineChars="0"/>
      <w:jc w:val="right"/>
      <w:textAlignment w:val="auto"/>
      <w:outlineLvl w:val="9"/>
      <w:rPr>
        <w:rFonts w:hint="eastAsia" w:ascii="仿宋_GB2312" w:hAnsi="宋体" w:eastAsia="仿宋_GB2312"/>
        <w:sz w:val="28"/>
        <w:szCs w:val="28"/>
      </w:rPr>
    </w:pP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 xml:space="preserve"> </w:t>
    </w:r>
    <w:r>
      <w:rPr>
        <w:rFonts w:hint="eastAsia" w:ascii="宋体" w:hAnsi="宋体" w:eastAsia="宋体" w:cs="宋体"/>
        <w:sz w:val="28"/>
        <w:szCs w:val="28"/>
      </w:rPr>
      <w:fldChar w:fldCharType="begin"/>
    </w:r>
    <w:r>
      <w:rPr>
        <w:rStyle w:val="15"/>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15"/>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jc w:val="both"/>
      <w:textAlignment w:val="auto"/>
      <w:outlineLvl w:val="9"/>
      <w:rPr>
        <w:rFonts w:hint="eastAsia" w:ascii="仿宋_GB2312" w:eastAsia="仿宋_GB2312"/>
        <w:sz w:val="28"/>
        <w:szCs w:val="28"/>
      </w:rPr>
    </w:pP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 xml:space="preserve"> </w:t>
    </w:r>
    <w:r>
      <w:rPr>
        <w:rFonts w:hint="eastAsia" w:ascii="宋体" w:hAnsi="宋体" w:eastAsia="宋体" w:cs="宋体"/>
        <w:sz w:val="28"/>
        <w:szCs w:val="28"/>
      </w:rPr>
      <w:fldChar w:fldCharType="begin"/>
    </w:r>
    <w:r>
      <w:rPr>
        <w:rStyle w:val="15"/>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15"/>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kern w:val="0"/>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 xml:space="preserve"> </w:t>
    </w:r>
    <w:r>
      <w:rPr>
        <w:rFonts w:hint="eastAsia" w:ascii="宋体" w:hAnsi="宋体" w:eastAsia="宋体" w:cs="宋体"/>
        <w:sz w:val="28"/>
        <w:szCs w:val="28"/>
      </w:rPr>
      <w:fldChar w:fldCharType="begin"/>
    </w:r>
    <w:r>
      <w:rPr>
        <w:rStyle w:val="15"/>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15"/>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01"/>
  <w:drawingGridVerticalSpacing w:val="579"/>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NWI0ZDQ1NGI5NDg0ZDY5YTc3ZmZjNzhjNjhlYTAifQ=="/>
  </w:docVars>
  <w:rsids>
    <w:rsidRoot w:val="00172A27"/>
    <w:rsid w:val="00076D4B"/>
    <w:rsid w:val="019652AA"/>
    <w:rsid w:val="02EC6EE2"/>
    <w:rsid w:val="03062D2F"/>
    <w:rsid w:val="03AD37D7"/>
    <w:rsid w:val="03BF70E3"/>
    <w:rsid w:val="04CD4FB2"/>
    <w:rsid w:val="08FB0AD7"/>
    <w:rsid w:val="095023A6"/>
    <w:rsid w:val="09A02692"/>
    <w:rsid w:val="0A7D67C5"/>
    <w:rsid w:val="0A9535FB"/>
    <w:rsid w:val="0B040E20"/>
    <w:rsid w:val="0B2A298E"/>
    <w:rsid w:val="0C151B4E"/>
    <w:rsid w:val="0C5201E4"/>
    <w:rsid w:val="0C8A7D6D"/>
    <w:rsid w:val="0C973BE7"/>
    <w:rsid w:val="0D8FD3E3"/>
    <w:rsid w:val="0E686BFA"/>
    <w:rsid w:val="0EBF032A"/>
    <w:rsid w:val="0F3C162A"/>
    <w:rsid w:val="10F01DC4"/>
    <w:rsid w:val="112C23FE"/>
    <w:rsid w:val="12263342"/>
    <w:rsid w:val="1363535C"/>
    <w:rsid w:val="13EF092A"/>
    <w:rsid w:val="147A704D"/>
    <w:rsid w:val="14AD454C"/>
    <w:rsid w:val="14EE20FF"/>
    <w:rsid w:val="15B128DF"/>
    <w:rsid w:val="167E7D0A"/>
    <w:rsid w:val="16A11295"/>
    <w:rsid w:val="16D23887"/>
    <w:rsid w:val="16D37058"/>
    <w:rsid w:val="17B440CC"/>
    <w:rsid w:val="185F0FC1"/>
    <w:rsid w:val="187E5592"/>
    <w:rsid w:val="192B1175"/>
    <w:rsid w:val="19825DDC"/>
    <w:rsid w:val="1A191A4F"/>
    <w:rsid w:val="1A3D5812"/>
    <w:rsid w:val="1AB82EC8"/>
    <w:rsid w:val="1B4259EE"/>
    <w:rsid w:val="1B886491"/>
    <w:rsid w:val="1CC53102"/>
    <w:rsid w:val="1D604CCF"/>
    <w:rsid w:val="1E2A5FF9"/>
    <w:rsid w:val="1EBA27F8"/>
    <w:rsid w:val="1F4D75A7"/>
    <w:rsid w:val="1F7872FC"/>
    <w:rsid w:val="1F830E10"/>
    <w:rsid w:val="20F90443"/>
    <w:rsid w:val="21397AE6"/>
    <w:rsid w:val="223D7560"/>
    <w:rsid w:val="23700942"/>
    <w:rsid w:val="240247D2"/>
    <w:rsid w:val="24D79D73"/>
    <w:rsid w:val="24DC16EA"/>
    <w:rsid w:val="24ED56A6"/>
    <w:rsid w:val="25E94021"/>
    <w:rsid w:val="26257CC2"/>
    <w:rsid w:val="26C64400"/>
    <w:rsid w:val="26DA0CE5"/>
    <w:rsid w:val="27435493"/>
    <w:rsid w:val="27927594"/>
    <w:rsid w:val="2811393B"/>
    <w:rsid w:val="292B3798"/>
    <w:rsid w:val="29312005"/>
    <w:rsid w:val="295C68A8"/>
    <w:rsid w:val="297E27C9"/>
    <w:rsid w:val="29DE4E25"/>
    <w:rsid w:val="2A817AA6"/>
    <w:rsid w:val="2AD32AF9"/>
    <w:rsid w:val="2B0032DC"/>
    <w:rsid w:val="2BBF43F6"/>
    <w:rsid w:val="2BCF19D7"/>
    <w:rsid w:val="2BD22B95"/>
    <w:rsid w:val="2C1B0D4A"/>
    <w:rsid w:val="2C2A1662"/>
    <w:rsid w:val="2D5E10D4"/>
    <w:rsid w:val="2E580AF5"/>
    <w:rsid w:val="2E8B0409"/>
    <w:rsid w:val="2F205AED"/>
    <w:rsid w:val="2F416970"/>
    <w:rsid w:val="2F5E7B9F"/>
    <w:rsid w:val="2F7648CC"/>
    <w:rsid w:val="2FC07166"/>
    <w:rsid w:val="30870DB3"/>
    <w:rsid w:val="310B172A"/>
    <w:rsid w:val="324C670B"/>
    <w:rsid w:val="32BF8EC3"/>
    <w:rsid w:val="3324415B"/>
    <w:rsid w:val="33984BB2"/>
    <w:rsid w:val="33D6472E"/>
    <w:rsid w:val="3477378E"/>
    <w:rsid w:val="34CB07BC"/>
    <w:rsid w:val="360078B6"/>
    <w:rsid w:val="36554D46"/>
    <w:rsid w:val="37125F2E"/>
    <w:rsid w:val="37FD1EEA"/>
    <w:rsid w:val="38735211"/>
    <w:rsid w:val="38900C73"/>
    <w:rsid w:val="38C56AB8"/>
    <w:rsid w:val="395B564F"/>
    <w:rsid w:val="3B1D04EB"/>
    <w:rsid w:val="3B427CBA"/>
    <w:rsid w:val="3D48712A"/>
    <w:rsid w:val="3D5B5AC5"/>
    <w:rsid w:val="3D8910BB"/>
    <w:rsid w:val="3E0F4BCC"/>
    <w:rsid w:val="3E4203B8"/>
    <w:rsid w:val="3EBF1F1B"/>
    <w:rsid w:val="3EDD9215"/>
    <w:rsid w:val="3F066E07"/>
    <w:rsid w:val="3F8A6A30"/>
    <w:rsid w:val="3FBF484A"/>
    <w:rsid w:val="3FFB2A8F"/>
    <w:rsid w:val="404D586C"/>
    <w:rsid w:val="408D4346"/>
    <w:rsid w:val="40E623BA"/>
    <w:rsid w:val="422A2122"/>
    <w:rsid w:val="42656413"/>
    <w:rsid w:val="42C41CE4"/>
    <w:rsid w:val="42FE5940"/>
    <w:rsid w:val="4374650E"/>
    <w:rsid w:val="43A226FC"/>
    <w:rsid w:val="43D0673D"/>
    <w:rsid w:val="445626C7"/>
    <w:rsid w:val="445D4E8A"/>
    <w:rsid w:val="4476324C"/>
    <w:rsid w:val="455C033E"/>
    <w:rsid w:val="46B362F7"/>
    <w:rsid w:val="46EE3AEB"/>
    <w:rsid w:val="476971E1"/>
    <w:rsid w:val="477E2E2F"/>
    <w:rsid w:val="49104B6F"/>
    <w:rsid w:val="49916E11"/>
    <w:rsid w:val="499D3737"/>
    <w:rsid w:val="49C72107"/>
    <w:rsid w:val="4A344910"/>
    <w:rsid w:val="4A877A22"/>
    <w:rsid w:val="4AF3760A"/>
    <w:rsid w:val="4AF74789"/>
    <w:rsid w:val="4B6F2E3C"/>
    <w:rsid w:val="4C81593F"/>
    <w:rsid w:val="4CE76946"/>
    <w:rsid w:val="4F965AE2"/>
    <w:rsid w:val="505202B0"/>
    <w:rsid w:val="50D40063"/>
    <w:rsid w:val="51496F1C"/>
    <w:rsid w:val="51BF6626"/>
    <w:rsid w:val="5230227E"/>
    <w:rsid w:val="52BB0A15"/>
    <w:rsid w:val="52BC6E98"/>
    <w:rsid w:val="52CC4008"/>
    <w:rsid w:val="52F9662F"/>
    <w:rsid w:val="541507A0"/>
    <w:rsid w:val="548B3542"/>
    <w:rsid w:val="54B15291"/>
    <w:rsid w:val="54D60E36"/>
    <w:rsid w:val="54F03B61"/>
    <w:rsid w:val="552C5BF2"/>
    <w:rsid w:val="557F3D5E"/>
    <w:rsid w:val="56404B70"/>
    <w:rsid w:val="5792700F"/>
    <w:rsid w:val="58CB0488"/>
    <w:rsid w:val="599D5A8B"/>
    <w:rsid w:val="59C21BA7"/>
    <w:rsid w:val="5A0A4028"/>
    <w:rsid w:val="5A3F7F02"/>
    <w:rsid w:val="5A7F660F"/>
    <w:rsid w:val="5ABE43ED"/>
    <w:rsid w:val="5AF545F2"/>
    <w:rsid w:val="5B77F79A"/>
    <w:rsid w:val="5B841BB9"/>
    <w:rsid w:val="5BA67D81"/>
    <w:rsid w:val="5BC8130F"/>
    <w:rsid w:val="5C556A78"/>
    <w:rsid w:val="5C6E5297"/>
    <w:rsid w:val="5CBC1824"/>
    <w:rsid w:val="5D2C27E0"/>
    <w:rsid w:val="5DB75AC2"/>
    <w:rsid w:val="5DE030A9"/>
    <w:rsid w:val="5DF576DA"/>
    <w:rsid w:val="5EAB32EC"/>
    <w:rsid w:val="5F2136F4"/>
    <w:rsid w:val="5F6D308F"/>
    <w:rsid w:val="5F7F3B94"/>
    <w:rsid w:val="5FD369E0"/>
    <w:rsid w:val="604A45B2"/>
    <w:rsid w:val="60A33F9A"/>
    <w:rsid w:val="61B71B59"/>
    <w:rsid w:val="62BF6E6A"/>
    <w:rsid w:val="63333620"/>
    <w:rsid w:val="6407652B"/>
    <w:rsid w:val="641D3A4E"/>
    <w:rsid w:val="64677D8F"/>
    <w:rsid w:val="64C179D9"/>
    <w:rsid w:val="657FFC95"/>
    <w:rsid w:val="6582360D"/>
    <w:rsid w:val="66D31C21"/>
    <w:rsid w:val="675A3978"/>
    <w:rsid w:val="69057E94"/>
    <w:rsid w:val="69592CAA"/>
    <w:rsid w:val="695E3F01"/>
    <w:rsid w:val="69967687"/>
    <w:rsid w:val="69CEF1AE"/>
    <w:rsid w:val="6A082400"/>
    <w:rsid w:val="6AF36EC3"/>
    <w:rsid w:val="6B4849B1"/>
    <w:rsid w:val="6B54F4C4"/>
    <w:rsid w:val="6B564F76"/>
    <w:rsid w:val="6B7B3CF2"/>
    <w:rsid w:val="6B7F265D"/>
    <w:rsid w:val="6BBFFC0B"/>
    <w:rsid w:val="6BDF222E"/>
    <w:rsid w:val="6BFB0686"/>
    <w:rsid w:val="6C224DEB"/>
    <w:rsid w:val="6C353187"/>
    <w:rsid w:val="6CEE4880"/>
    <w:rsid w:val="6D2220E8"/>
    <w:rsid w:val="6D28144E"/>
    <w:rsid w:val="6D5FABE8"/>
    <w:rsid w:val="6D7D6244"/>
    <w:rsid w:val="6E6508B3"/>
    <w:rsid w:val="6E697C6D"/>
    <w:rsid w:val="6EEFB0C7"/>
    <w:rsid w:val="6EFBCFF6"/>
    <w:rsid w:val="6F7EC54A"/>
    <w:rsid w:val="6FBF327A"/>
    <w:rsid w:val="710C5DAD"/>
    <w:rsid w:val="71C96F68"/>
    <w:rsid w:val="72F17E67"/>
    <w:rsid w:val="73E62E27"/>
    <w:rsid w:val="740A6CA7"/>
    <w:rsid w:val="7422181B"/>
    <w:rsid w:val="742A10F7"/>
    <w:rsid w:val="744C168A"/>
    <w:rsid w:val="750A1D0F"/>
    <w:rsid w:val="75FB9EFB"/>
    <w:rsid w:val="761C76C8"/>
    <w:rsid w:val="76F15606"/>
    <w:rsid w:val="77DC109E"/>
    <w:rsid w:val="77F20518"/>
    <w:rsid w:val="77FA65DA"/>
    <w:rsid w:val="789D6FA1"/>
    <w:rsid w:val="7A173ECC"/>
    <w:rsid w:val="7A5C5D83"/>
    <w:rsid w:val="7B810F21"/>
    <w:rsid w:val="7C4924F5"/>
    <w:rsid w:val="7D3D0F43"/>
    <w:rsid w:val="7E5821E3"/>
    <w:rsid w:val="7E582D05"/>
    <w:rsid w:val="7E897845"/>
    <w:rsid w:val="7EEF4EAF"/>
    <w:rsid w:val="7F771705"/>
    <w:rsid w:val="7F7B5364"/>
    <w:rsid w:val="7F925691"/>
    <w:rsid w:val="7F9EB07F"/>
    <w:rsid w:val="7FBB3D0D"/>
    <w:rsid w:val="7FBF4F0B"/>
    <w:rsid w:val="7FCBF6C4"/>
    <w:rsid w:val="7FCE0B3C"/>
    <w:rsid w:val="97ABC0EB"/>
    <w:rsid w:val="9B5DD35D"/>
    <w:rsid w:val="ADFCDBC0"/>
    <w:rsid w:val="B77694FE"/>
    <w:rsid w:val="BAD29D0A"/>
    <w:rsid w:val="BEEBA666"/>
    <w:rsid w:val="BEFF95CC"/>
    <w:rsid w:val="C47A9A8C"/>
    <w:rsid w:val="CE255FDA"/>
    <w:rsid w:val="DB4E339B"/>
    <w:rsid w:val="DDDF2F39"/>
    <w:rsid w:val="DF6B7111"/>
    <w:rsid w:val="E5FF856C"/>
    <w:rsid w:val="ED7B07CA"/>
    <w:rsid w:val="EDED8245"/>
    <w:rsid w:val="EF3B0417"/>
    <w:rsid w:val="EFF7CCB0"/>
    <w:rsid w:val="EFFF095A"/>
    <w:rsid w:val="EFFF7A2E"/>
    <w:rsid w:val="F7BEE099"/>
    <w:rsid w:val="F97FA20E"/>
    <w:rsid w:val="F9FF1561"/>
    <w:rsid w:val="FAFAFBAA"/>
    <w:rsid w:val="FBBF1094"/>
    <w:rsid w:val="FDDDD9FE"/>
    <w:rsid w:val="FDFB3865"/>
    <w:rsid w:val="FDFBE69F"/>
    <w:rsid w:val="FDFFEE24"/>
    <w:rsid w:val="FEF7CF9E"/>
    <w:rsid w:val="FF497A93"/>
    <w:rsid w:val="FF6F3151"/>
    <w:rsid w:val="FF7BC2B2"/>
    <w:rsid w:val="FF7F3838"/>
    <w:rsid w:val="FF7F4DFB"/>
    <w:rsid w:val="FFBE743E"/>
    <w:rsid w:val="FFEE0059"/>
    <w:rsid w:val="FFEF2A89"/>
    <w:rsid w:val="FFF9CC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line="560" w:lineRule="exact"/>
      <w:jc w:val="center"/>
      <w:outlineLvl w:val="0"/>
    </w:pPr>
    <w:rPr>
      <w:rFonts w:ascii="方正小标宋简体" w:hAnsi="仿宋" w:eastAsia="方正小标宋简体"/>
      <w:kern w:val="44"/>
      <w:sz w:val="44"/>
      <w:szCs w:val="44"/>
    </w:rPr>
  </w:style>
  <w:style w:type="character" w:default="1" w:styleId="13">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r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jc w:val="center"/>
    </w:pPr>
    <w:rPr>
      <w:rFonts w:ascii="宋体"/>
      <w:sz w:val="44"/>
    </w:rPr>
  </w:style>
  <w:style w:type="paragraph" w:styleId="6">
    <w:name w:val="Body Text Indent"/>
    <w:basedOn w:val="1"/>
    <w:qFormat/>
    <w:uiPriority w:val="0"/>
    <w:pPr>
      <w:ind w:firstLine="640" w:firstLineChars="200"/>
    </w:pPr>
    <w:rPr>
      <w:rFonts w:ascii="仿宋_GB2312" w:eastAsia="仿宋_GB2312"/>
      <w:sz w:val="32"/>
    </w:rPr>
  </w:style>
  <w:style w:type="paragraph" w:styleId="7">
    <w:name w:val="Date"/>
    <w:basedOn w:val="1"/>
    <w:next w:val="1"/>
    <w:qFormat/>
    <w:uiPriority w:val="0"/>
    <w:pPr>
      <w:ind w:left="100" w:leftChars="2500"/>
    </w:pPr>
    <w:rPr>
      <w:rFonts w:ascii="仿宋_GB2312" w:eastAsia="仿宋_GB2312"/>
      <w:sz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Arial" w:hAnsi="Arial"/>
      <w:b/>
    </w:rPr>
  </w:style>
  <w:style w:type="table" w:styleId="12">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bCs/>
    </w:rPr>
  </w:style>
  <w:style w:type="character" w:styleId="15">
    <w:name w:val="page number"/>
    <w:basedOn w:val="13"/>
    <w:qFormat/>
    <w:uiPriority w:val="0"/>
  </w:style>
  <w:style w:type="paragraph" w:customStyle="1" w:styleId="16">
    <w:name w:val="纯文本1"/>
    <w:basedOn w:val="1"/>
    <w:qFormat/>
    <w:uiPriority w:val="0"/>
    <w:rPr>
      <w:rFonts w:ascii="宋体" w:hAnsi="Courier New" w:cs="Courier New"/>
    </w:rPr>
  </w:style>
  <w:style w:type="paragraph" w:customStyle="1" w:styleId="17">
    <w:name w:val="报告正文"/>
    <w:basedOn w:val="1"/>
    <w:qFormat/>
    <w:uiPriority w:val="0"/>
    <w:pPr>
      <w:spacing w:line="560" w:lineRule="exact"/>
      <w:ind w:firstLine="640" w:firstLineChars="200"/>
    </w:pPr>
    <w:rPr>
      <w:rFonts w:ascii="仿宋_GB2312" w:hAnsi="黑体" w:eastAsia="仿宋_GB2312"/>
      <w:sz w:val="32"/>
      <w:szCs w:val="32"/>
    </w:rPr>
  </w:style>
  <w:style w:type="paragraph" w:styleId="18">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315</Words>
  <Characters>329</Characters>
  <Lines>1</Lines>
  <Paragraphs>1</Paragraphs>
  <TotalTime>891</TotalTime>
  <ScaleCrop>false</ScaleCrop>
  <LinksUpToDate>false</LinksUpToDate>
  <CharactersWithSpaces>329</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2011-12-25T07:42:00Z</dcterms:created>
  <dc:creator>Default</dc:creator>
  <cp:lastModifiedBy>cxl</cp:lastModifiedBy>
  <cp:lastPrinted>2026-03-13T08:47:52Z</cp:lastPrinted>
  <dcterms:modified xsi:type="dcterms:W3CDTF">2026-03-13T09:05:45Z</dcterms:modified>
  <dc:title>中共深圳市委关于组织各级干部下基层驻社区深入推进固本强基工程的实施方案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6EFFAD200C624822B0E44B89DFFD6AF4_13</vt:lpwstr>
  </property>
  <property fmtid="{D5CDD505-2E9C-101B-9397-08002B2CF9AE}" pid="4" name="KSOTemplateDocerSaveRecord">
    <vt:lpwstr>eyJoZGlkIjoiZjJiYzRjZDg4ODIxMmZkMzVjYzYxNzIzMDEwYjJjY2IiLCJ1c2VySWQiOiIxMzU4NDg5Nzc4In0=</vt:lpwstr>
  </property>
</Properties>
</file>