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95" w:hanging="199" w:hangingChars="62"/>
        <w:jc w:val="center"/>
        <w:rPr>
          <w:rFonts w:hint="eastAsia" w:ascii="宋体" w:hAnsi="宋体" w:eastAsia="宋体" w:cs="宋体"/>
          <w:b/>
          <w:sz w:val="32"/>
          <w:szCs w:val="32"/>
        </w:rPr>
      </w:pPr>
      <w:r>
        <w:rPr>
          <w:rFonts w:hint="eastAsia" w:ascii="宋体" w:hAnsi="宋体" w:eastAsia="宋体" w:cs="宋体"/>
          <w:b/>
          <w:sz w:val="32"/>
          <w:szCs w:val="32"/>
        </w:rPr>
        <w:t>深圳大鹏半岛国家地质自然公园管理处</w:t>
      </w:r>
    </w:p>
    <w:p>
      <w:pPr>
        <w:ind w:left="0" w:leftChars="-95" w:hanging="199" w:hangingChars="62"/>
        <w:jc w:val="center"/>
        <w:rPr>
          <w:rFonts w:hint="default" w:ascii="黑体" w:hAnsi="黑体" w:eastAsia="宋体" w:cs="黑体"/>
          <w:b/>
          <w:sz w:val="44"/>
          <w:szCs w:val="44"/>
          <w:lang w:val="en-US" w:eastAsia="zh-CN"/>
        </w:rPr>
      </w:pPr>
      <w:r>
        <w:rPr>
          <w:rFonts w:hint="eastAsia" w:ascii="宋体" w:hAnsi="宋体" w:eastAsia="宋体" w:cs="宋体"/>
          <w:b/>
          <w:sz w:val="32"/>
          <w:szCs w:val="32"/>
          <w:lang w:val="en-US" w:eastAsia="zh-CN"/>
        </w:rPr>
        <w:t>博物馆展厅消防设施局部改造项目</w:t>
      </w:r>
      <w:r>
        <w:rPr>
          <w:rFonts w:hint="eastAsia" w:ascii="宋体" w:hAnsi="宋体" w:cs="宋体"/>
          <w:b/>
          <w:sz w:val="32"/>
          <w:szCs w:val="32"/>
          <w:lang w:val="en-US" w:eastAsia="zh-CN"/>
        </w:rPr>
        <w:t>需求</w:t>
      </w:r>
    </w:p>
    <w:p>
      <w:pPr>
        <w:jc w:val="left"/>
        <w:outlineLvl w:val="0"/>
        <w:rPr>
          <w:rFonts w:ascii="仿宋" w:hAnsi="仿宋" w:eastAsia="仿宋"/>
          <w:b/>
          <w:szCs w:val="21"/>
        </w:rPr>
      </w:pPr>
    </w:p>
    <w:tbl>
      <w:tblPr>
        <w:tblStyle w:val="5"/>
        <w:tblW w:w="9051"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3292"/>
        <w:gridCol w:w="1487"/>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w:t>
            </w:r>
          </w:p>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7713" w:type="dxa"/>
            <w:gridSpan w:val="3"/>
            <w:noWrap w:val="0"/>
            <w:vAlign w:val="center"/>
          </w:tcPr>
          <w:p>
            <w:pPr>
              <w:spacing w:line="320" w:lineRule="exact"/>
              <w:jc w:val="center"/>
              <w:rPr>
                <w:rFonts w:hint="default" w:ascii="仿宋" w:hAnsi="仿宋" w:eastAsia="仿宋" w:cs="仿宋"/>
                <w:sz w:val="24"/>
                <w:szCs w:val="24"/>
                <w:lang w:val="en-US"/>
              </w:rPr>
            </w:pPr>
            <w:r>
              <w:rPr>
                <w:rFonts w:hint="eastAsia" w:ascii="仿宋" w:hAnsi="仿宋" w:eastAsia="仿宋" w:cs="仿宋"/>
                <w:sz w:val="28"/>
                <w:szCs w:val="28"/>
                <w:lang w:val="en-US" w:eastAsia="zh-CN"/>
              </w:rPr>
              <w:t>博物馆展厅消防设施局部改造项目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采购单位名称</w:t>
            </w:r>
          </w:p>
        </w:tc>
        <w:tc>
          <w:tcPr>
            <w:tcW w:w="3292"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深圳大鹏半岛国家地质自然</w:t>
            </w:r>
          </w:p>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公园管理处</w:t>
            </w: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934"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292" w:type="dxa"/>
            <w:noWrap w:val="0"/>
            <w:vAlign w:val="center"/>
          </w:tcPr>
          <w:p>
            <w:pPr>
              <w:spacing w:line="360" w:lineRule="exact"/>
              <w:jc w:val="center"/>
              <w:rPr>
                <w:rFonts w:hint="eastAsia" w:ascii="仿宋" w:hAnsi="仿宋" w:eastAsia="仿宋" w:cs="仿宋"/>
                <w:sz w:val="24"/>
                <w:szCs w:val="24"/>
              </w:rPr>
            </w:pP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2934"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713" w:type="dxa"/>
            <w:gridSpan w:val="3"/>
            <w:noWrap w:val="0"/>
            <w:vAlign w:val="center"/>
          </w:tcPr>
          <w:p>
            <w:pPr>
              <w:spacing w:line="360" w:lineRule="exact"/>
              <w:jc w:val="center"/>
              <w:rPr>
                <w:rFonts w:hint="default" w:ascii="仿宋" w:hAnsi="仿宋" w:eastAsia="仿宋" w:cs="仿宋"/>
                <w:sz w:val="24"/>
                <w:szCs w:val="24"/>
                <w:lang w:val="en-US"/>
              </w:rPr>
            </w:pPr>
            <w:r>
              <w:rPr>
                <w:rFonts w:hint="eastAsia" w:ascii="仿宋" w:hAnsi="仿宋" w:eastAsia="仿宋" w:cs="仿宋"/>
                <w:color w:val="000000"/>
                <w:sz w:val="24"/>
                <w:szCs w:val="24"/>
                <w:lang w:val="en-US" w:eastAsia="zh-CN"/>
              </w:rPr>
              <w:t>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38"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713" w:type="dxa"/>
            <w:gridSpan w:val="3"/>
            <w:noWrap w:val="0"/>
            <w:vAlign w:val="center"/>
          </w:tcPr>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根据新区消防管理部门意见，为满足现行建筑消防规范与安全标准（《自动喷水灭火系统设计规范》GB50084-2017）要求，需对博物馆一楼增设下喷式喷淋25套，增加烟感探测器15套，烟感探测器编程入网1项。经查此项目内容不在消防维保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38"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713" w:type="dxa"/>
            <w:gridSpan w:val="3"/>
            <w:noWrap w:val="0"/>
            <w:vAlign w:val="center"/>
          </w:tcPr>
          <w:p>
            <w:pPr>
              <w:spacing w:line="3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38"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投标人</w:t>
            </w:r>
          </w:p>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资质要求</w:t>
            </w:r>
          </w:p>
        </w:tc>
        <w:tc>
          <w:tcPr>
            <w:tcW w:w="7713"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注意：提供明确、具体的资格要求（设置的投标人资格要求必须提交有法律法规依据，且不具备倾向性，否则，不予受理。）</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投标人必须是在中华人民共和国境内注册的、具有合法经营资格的独立法人单位，提供营业执照复印件（加盖公章）</w:t>
            </w:r>
            <w:r>
              <w:rPr>
                <w:rFonts w:hint="eastAsia" w:ascii="仿宋" w:hAnsi="仿宋" w:eastAsia="仿宋" w:cs="仿宋"/>
                <w:color w:val="auto"/>
                <w:kern w:val="0"/>
                <w:sz w:val="24"/>
                <w:szCs w:val="24"/>
                <w:lang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本项目不接受联合体投标，不允许分包，（不接受投标人选用进口产品参与投标）</w:t>
            </w:r>
            <w:r>
              <w:rPr>
                <w:rFonts w:hint="eastAsia" w:ascii="仿宋" w:hAnsi="仿宋" w:eastAsia="仿宋" w:cs="仿宋"/>
                <w:color w:val="auto"/>
                <w:kern w:val="0"/>
                <w:sz w:val="24"/>
                <w:szCs w:val="24"/>
                <w:lang w:val="en-US"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投标人须提供《政府采购投标及履约承诺函》（见附件），加盖投标人公章。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38" w:type="dxa"/>
            <w:noWrap w:val="0"/>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bCs/>
                <w:sz w:val="24"/>
                <w:szCs w:val="24"/>
              </w:rPr>
              <w:t>需求内容</w:t>
            </w:r>
          </w:p>
        </w:tc>
        <w:tc>
          <w:tcPr>
            <w:tcW w:w="7713"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*1、报价要求</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（2）投标供应商应当根据本企业的成本自行决定报价，但不得以低于其企业成本的报价投标。</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（3）投标供应商的报价不得超过项目预算金额。</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（4）投标供应商的报价，应当是本项目采购范围和采购文件及合同条款上所列的各项内容中所述的全部，不得以任何理由予以重复。</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除非采购人通过修改采购文件予以更正，否则，投标供应商应毫无例外地按响应文件所列的清单中项目和数量填报综合单价和合价。投标供应商未填综合单价或合价的项目，在项目实施后一律不予支付，并视作该项费用已包括在其它有价款的综合单价或合价内，</w:t>
            </w:r>
            <w:r>
              <w:rPr>
                <w:rFonts w:hint="eastAsia" w:ascii="仿宋" w:hAnsi="仿宋" w:eastAsia="仿宋" w:cs="仿宋"/>
                <w:color w:val="auto"/>
                <w:kern w:val="0"/>
                <w:sz w:val="24"/>
                <w:szCs w:val="24"/>
              </w:rPr>
              <w:t>投标方不得再以任何理由主张追加该部分费用</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相关损失由投标方自行承担</w:t>
            </w:r>
            <w:r>
              <w:rPr>
                <w:rFonts w:hint="eastAsia" w:ascii="仿宋" w:hAnsi="仿宋" w:eastAsia="仿宋" w:cs="仿宋"/>
                <w:color w:val="auto"/>
                <w:kern w:val="0"/>
                <w:sz w:val="24"/>
                <w:szCs w:val="24"/>
                <w:lang w:val="en-US" w:eastAsia="zh-CN"/>
              </w:rPr>
              <w:t>。</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（6）投标供应商应先到项目地点踏勘以充分了解项目的位置、情况、道路及任何其它足以影响投标报价的情况，任何因忽视或误解项目情况而导致的索赔或服务期限延长申请将不获批准。</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*2、付款方式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 xml:space="preserve">服务完成后由甲方验收合格，甲方收到乙方提供的发票后支付100%。 </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*3、履约保证金</w:t>
            </w:r>
            <w:r>
              <w:rPr>
                <w:rFonts w:hint="eastAsia" w:ascii="仿宋" w:hAnsi="仿宋" w:eastAsia="仿宋" w:cs="仿宋"/>
                <w:color w:val="auto"/>
                <w:kern w:val="0"/>
                <w:sz w:val="24"/>
                <w:szCs w:val="24"/>
                <w:lang w:val="en-US" w:eastAsia="zh-CN"/>
              </w:rPr>
              <w:t xml:space="preserve">  </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无。</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*4、违约责任</w:t>
            </w:r>
            <w:r>
              <w:rPr>
                <w:rFonts w:hint="eastAsia" w:ascii="仿宋" w:hAnsi="仿宋" w:eastAsia="仿宋" w:cs="仿宋"/>
                <w:color w:val="auto"/>
                <w:kern w:val="0"/>
                <w:sz w:val="24"/>
                <w:szCs w:val="24"/>
                <w:lang w:val="en-US" w:eastAsia="zh-CN"/>
              </w:rPr>
              <w:t xml:space="preserve">   </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具体以合同约定为准。</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*5、服务质量监督和项目验收要求</w:t>
            </w:r>
          </w:p>
          <w:p>
            <w:pPr>
              <w:spacing w:line="440" w:lineRule="exact"/>
              <w:jc w:val="left"/>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（1）严格按照新区消防管理部门意见及现行建筑消防规范与安全标准（《自动喷水灭火系统设计规范》GB50084-2017）组织实施。</w:t>
            </w:r>
          </w:p>
          <w:p>
            <w:pPr>
              <w:spacing w:line="440" w:lineRule="exact"/>
              <w:jc w:val="left"/>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（2）完成博物馆一楼增设下喷式喷淋25套，新增烟感15套，完成</w:t>
            </w:r>
            <w:bookmarkStart w:id="0" w:name="OLE_LINK2"/>
            <w:r>
              <w:rPr>
                <w:rFonts w:hint="eastAsia" w:ascii="仿宋" w:hAnsi="仿宋" w:eastAsia="仿宋" w:cs="仿宋_GB2312"/>
                <w:sz w:val="24"/>
                <w:szCs w:val="24"/>
                <w:lang w:val="en-US" w:eastAsia="zh-CN"/>
              </w:rPr>
              <w:t>烟感探测器编程入网</w:t>
            </w:r>
            <w:bookmarkEnd w:id="0"/>
            <w:r>
              <w:rPr>
                <w:rFonts w:hint="eastAsia" w:ascii="仿宋" w:hAnsi="仿宋" w:eastAsia="仿宋" w:cs="仿宋_GB2312"/>
                <w:sz w:val="24"/>
                <w:szCs w:val="24"/>
                <w:lang w:val="en-US" w:eastAsia="zh-CN"/>
              </w:rPr>
              <w:t>1项。</w:t>
            </w:r>
          </w:p>
          <w:p>
            <w:pPr>
              <w:spacing w:line="360" w:lineRule="exact"/>
              <w:jc w:val="left"/>
              <w:rPr>
                <w:rFonts w:hint="eastAsia" w:ascii="仿宋" w:hAnsi="仿宋" w:eastAsia="仿宋" w:cs="仿宋"/>
                <w:color w:val="auto"/>
                <w:sz w:val="24"/>
                <w:szCs w:val="24"/>
              </w:rPr>
            </w:pPr>
            <w:r>
              <w:rPr>
                <w:rFonts w:hint="eastAsia" w:ascii="仿宋" w:hAnsi="仿宋" w:eastAsia="仿宋" w:cs="仿宋_GB2312"/>
                <w:sz w:val="24"/>
                <w:szCs w:val="24"/>
                <w:lang w:val="en-US" w:eastAsia="zh-CN"/>
              </w:rPr>
              <w:t>（3）施工质量须符合国家及地方消防工程施工质量验收规范，所有设备须为合格产品，资料齐全。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38" w:type="dxa"/>
            <w:noWrap w:val="0"/>
            <w:vAlign w:val="center"/>
          </w:tcPr>
          <w:p>
            <w:pPr>
              <w:spacing w:line="36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服务内容清单</w:t>
            </w:r>
          </w:p>
        </w:tc>
        <w:tc>
          <w:tcPr>
            <w:tcW w:w="7713" w:type="dxa"/>
            <w:gridSpan w:val="3"/>
            <w:noWrap w:val="0"/>
            <w:vAlign w:val="top"/>
          </w:tcPr>
          <w:tbl>
            <w:tblPr>
              <w:tblStyle w:val="6"/>
              <w:tblW w:w="7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87"/>
              <w:gridCol w:w="1305"/>
              <w:gridCol w:w="124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序号</w:t>
                  </w:r>
                </w:p>
              </w:tc>
              <w:tc>
                <w:tcPr>
                  <w:tcW w:w="2487"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项目</w:t>
                  </w:r>
                </w:p>
              </w:tc>
              <w:tc>
                <w:tcPr>
                  <w:tcW w:w="13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数量</w:t>
                  </w:r>
                </w:p>
              </w:tc>
              <w:tc>
                <w:tcPr>
                  <w:tcW w:w="1240"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单位</w:t>
                  </w:r>
                </w:p>
              </w:tc>
              <w:tc>
                <w:tcPr>
                  <w:tcW w:w="1760"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2487" w:type="dxa"/>
                  <w:vAlign w:val="center"/>
                </w:tcPr>
                <w:p>
                  <w:pPr>
                    <w:spacing w:line="36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lang w:val="en-US" w:eastAsia="zh-CN"/>
                    </w:rPr>
                    <w:t>下喷式喷淋</w:t>
                  </w:r>
                </w:p>
              </w:tc>
              <w:tc>
                <w:tcPr>
                  <w:tcW w:w="13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25</w:t>
                  </w:r>
                </w:p>
              </w:tc>
              <w:tc>
                <w:tcPr>
                  <w:tcW w:w="1240" w:type="dxa"/>
                  <w:vAlign w:val="center"/>
                </w:tcPr>
                <w:p>
                  <w:pPr>
                    <w:spacing w:line="36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
                      <w:color w:val="auto"/>
                      <w:sz w:val="24"/>
                      <w:szCs w:val="24"/>
                      <w:lang w:val="en-US" w:eastAsia="zh-CN"/>
                    </w:rPr>
                    <w:t>套</w:t>
                  </w:r>
                </w:p>
              </w:tc>
              <w:tc>
                <w:tcPr>
                  <w:tcW w:w="1760" w:type="dxa"/>
                  <w:vAlign w:val="center"/>
                </w:tcPr>
                <w:p>
                  <w:pPr>
                    <w:spacing w:line="360" w:lineRule="exact"/>
                    <w:jc w:val="center"/>
                    <w:rPr>
                      <w:rFonts w:hint="eastAsia" w:ascii="仿宋" w:hAnsi="仿宋" w:eastAsia="仿宋"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2</w:t>
                  </w:r>
                </w:p>
              </w:tc>
              <w:tc>
                <w:tcPr>
                  <w:tcW w:w="2487" w:type="dxa"/>
                  <w:vAlign w:val="center"/>
                </w:tcPr>
                <w:p>
                  <w:pPr>
                    <w:spacing w:line="36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
                      <w:color w:val="auto"/>
                      <w:sz w:val="24"/>
                      <w:szCs w:val="24"/>
                      <w:lang w:val="en-US" w:eastAsia="zh-CN"/>
                    </w:rPr>
                    <w:t>烟感探测器</w:t>
                  </w:r>
                </w:p>
              </w:tc>
              <w:tc>
                <w:tcPr>
                  <w:tcW w:w="1305" w:type="dxa"/>
                  <w:vAlign w:val="center"/>
                </w:tcPr>
                <w:p>
                  <w:pPr>
                    <w:spacing w:line="36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
                      <w:color w:val="auto"/>
                      <w:sz w:val="24"/>
                      <w:szCs w:val="24"/>
                      <w:lang w:val="en-US" w:eastAsia="zh-CN"/>
                    </w:rPr>
                    <w:t>15</w:t>
                  </w:r>
                </w:p>
              </w:tc>
              <w:tc>
                <w:tcPr>
                  <w:tcW w:w="1240" w:type="dxa"/>
                  <w:vAlign w:val="center"/>
                </w:tcPr>
                <w:p>
                  <w:pPr>
                    <w:spacing w:line="36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
                      <w:color w:val="auto"/>
                      <w:sz w:val="24"/>
                      <w:szCs w:val="24"/>
                      <w:lang w:val="en-US" w:eastAsia="zh-CN"/>
                    </w:rPr>
                    <w:t>套</w:t>
                  </w:r>
                </w:p>
              </w:tc>
              <w:tc>
                <w:tcPr>
                  <w:tcW w:w="1760" w:type="dxa"/>
                  <w:vAlign w:val="center"/>
                </w:tcPr>
                <w:p>
                  <w:pPr>
                    <w:spacing w:line="360" w:lineRule="exact"/>
                    <w:jc w:val="center"/>
                    <w:rPr>
                      <w:rFonts w:hint="eastAsia" w:ascii="仿宋" w:hAnsi="仿宋" w:eastAsia="仿宋"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3</w:t>
                  </w:r>
                </w:p>
              </w:tc>
              <w:tc>
                <w:tcPr>
                  <w:tcW w:w="2487" w:type="dxa"/>
                  <w:vAlign w:val="center"/>
                </w:tcPr>
                <w:p>
                  <w:pPr>
                    <w:spacing w:line="360" w:lineRule="exact"/>
                    <w:jc w:val="center"/>
                    <w:rPr>
                      <w:rFonts w:hint="eastAsia" w:ascii="仿宋" w:hAnsi="仿宋" w:eastAsia="仿宋" w:cs="仿宋_GB2312"/>
                      <w:sz w:val="24"/>
                      <w:szCs w:val="24"/>
                      <w:vertAlign w:val="baseline"/>
                      <w:lang w:val="en-US" w:eastAsia="zh-CN"/>
                    </w:rPr>
                  </w:pPr>
                  <w:r>
                    <w:rPr>
                      <w:rFonts w:hint="eastAsia" w:ascii="仿宋" w:hAnsi="仿宋" w:eastAsia="仿宋" w:cs="仿宋_GB2312"/>
                      <w:sz w:val="24"/>
                      <w:szCs w:val="24"/>
                      <w:lang w:val="en-US" w:eastAsia="zh-CN"/>
                    </w:rPr>
                    <w:t>烟感探测器编程入网</w:t>
                  </w:r>
                </w:p>
              </w:tc>
              <w:tc>
                <w:tcPr>
                  <w:tcW w:w="1305"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1</w:t>
                  </w:r>
                </w:p>
              </w:tc>
              <w:tc>
                <w:tcPr>
                  <w:tcW w:w="1240" w:type="dxa"/>
                  <w:vAlign w:val="center"/>
                </w:tcPr>
                <w:p>
                  <w:pPr>
                    <w:spacing w:line="360" w:lineRule="exact"/>
                    <w:jc w:val="center"/>
                    <w:rPr>
                      <w:rFonts w:hint="default" w:ascii="仿宋" w:hAnsi="仿宋" w:eastAsia="仿宋" w:cs="仿宋_GB2312"/>
                      <w:sz w:val="24"/>
                      <w:szCs w:val="24"/>
                      <w:vertAlign w:val="baseline"/>
                      <w:lang w:val="en-US" w:eastAsia="zh-CN"/>
                    </w:rPr>
                  </w:pPr>
                  <w:r>
                    <w:rPr>
                      <w:rFonts w:hint="eastAsia" w:ascii="仿宋" w:hAnsi="仿宋" w:eastAsia="仿宋" w:cs="仿宋_GB2312"/>
                      <w:sz w:val="24"/>
                      <w:szCs w:val="24"/>
                      <w:vertAlign w:val="baseline"/>
                      <w:lang w:val="en-US" w:eastAsia="zh-CN"/>
                    </w:rPr>
                    <w:t>项</w:t>
                  </w:r>
                </w:p>
              </w:tc>
              <w:tc>
                <w:tcPr>
                  <w:tcW w:w="1760" w:type="dxa"/>
                  <w:vAlign w:val="center"/>
                </w:tcPr>
                <w:p>
                  <w:pPr>
                    <w:spacing w:line="360" w:lineRule="exact"/>
                    <w:jc w:val="center"/>
                    <w:rPr>
                      <w:rFonts w:hint="eastAsia" w:ascii="仿宋" w:hAnsi="仿宋" w:eastAsia="仿宋" w:cs="仿宋_GB2312"/>
                      <w:sz w:val="24"/>
                      <w:szCs w:val="24"/>
                      <w:vertAlign w:val="baseline"/>
                      <w:lang w:val="en-US" w:eastAsia="zh-CN"/>
                    </w:rPr>
                  </w:pPr>
                </w:p>
              </w:tc>
            </w:tr>
          </w:tbl>
          <w:p>
            <w:pPr>
              <w:spacing w:line="360" w:lineRule="exact"/>
              <w:jc w:val="left"/>
              <w:rPr>
                <w:rFonts w:hint="eastAsia" w:ascii="仿宋" w:hAnsi="仿宋" w:eastAsia="仿宋"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38" w:type="dxa"/>
            <w:noWrap w:val="0"/>
            <w:vAlign w:val="center"/>
          </w:tcPr>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具体技术要求</w:t>
            </w:r>
          </w:p>
        </w:tc>
        <w:tc>
          <w:tcPr>
            <w:tcW w:w="7713" w:type="dxa"/>
            <w:gridSpan w:val="3"/>
            <w:noWrap w:val="0"/>
            <w:vAlign w:val="top"/>
          </w:tcPr>
          <w:p>
            <w:pPr>
              <w:numPr>
                <w:ilvl w:val="0"/>
                <w:numId w:val="1"/>
              </w:numPr>
              <w:spacing w:line="320" w:lineRule="exact"/>
              <w:jc w:val="left"/>
              <w:rPr>
                <w:rFonts w:hint="eastAsia" w:ascii="仿宋" w:hAnsi="仿宋" w:eastAsia="仿宋" w:cs="仿宋_GB2312"/>
                <w:sz w:val="24"/>
                <w:szCs w:val="24"/>
                <w:lang w:val="en-US" w:eastAsia="zh-CN"/>
              </w:rPr>
            </w:pPr>
            <w:r>
              <w:rPr>
                <w:rFonts w:hint="eastAsia" w:ascii="仿宋" w:hAnsi="仿宋" w:eastAsia="仿宋" w:cs="仿宋"/>
                <w:color w:val="auto"/>
                <w:sz w:val="24"/>
                <w:szCs w:val="24"/>
                <w:lang w:val="en-US" w:eastAsia="zh-CN"/>
              </w:rPr>
              <w:t>按</w:t>
            </w:r>
            <w:r>
              <w:rPr>
                <w:rFonts w:hint="eastAsia" w:ascii="仿宋" w:hAnsi="仿宋" w:eastAsia="仿宋" w:cs="仿宋_GB2312"/>
                <w:sz w:val="24"/>
                <w:szCs w:val="24"/>
                <w:lang w:val="en-US" w:eastAsia="zh-CN"/>
              </w:rPr>
              <w:t>GB50084-2017规范，在博物馆一楼新增下喷式喷淋头25套，含配套管件、安装、试压、接入原有喷淋系统。</w:t>
            </w:r>
          </w:p>
          <w:p>
            <w:pPr>
              <w:numPr>
                <w:ilvl w:val="0"/>
                <w:numId w:val="1"/>
              </w:num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新增烟感探测器15套，设备与原消防报警系统兼容，含底座、安装布线。</w:t>
            </w:r>
          </w:p>
          <w:p>
            <w:pPr>
              <w:numPr>
                <w:ilvl w:val="0"/>
                <w:numId w:val="1"/>
              </w:num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完成烟感编码、编程、入网调试，确保报警、联动、显示正常。</w:t>
            </w:r>
          </w:p>
          <w:p>
            <w:pPr>
              <w:numPr>
                <w:ilvl w:val="0"/>
                <w:numId w:val="1"/>
              </w:numPr>
              <w:spacing w:line="320" w:lineRule="exact"/>
              <w:ind w:left="0" w:leftChars="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供货商负责供货、安装、调试、验收合格及质保服务。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38"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商务</w:t>
            </w:r>
          </w:p>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需求</w:t>
            </w:r>
          </w:p>
        </w:tc>
        <w:tc>
          <w:tcPr>
            <w:tcW w:w="7713" w:type="dxa"/>
            <w:gridSpan w:val="3"/>
            <w:noWrap w:val="0"/>
            <w:vAlign w:val="top"/>
          </w:tcPr>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1、服务地点：深圳市大鹏新区南澳街道新大社区地质公园路1号。</w:t>
            </w:r>
          </w:p>
          <w:p>
            <w:pPr>
              <w:numPr>
                <w:ilvl w:val="0"/>
                <w:numId w:val="0"/>
              </w:num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2、服务时间：合同签订后30个日历日内完成服务内容。</w:t>
            </w:r>
          </w:p>
          <w:p>
            <w:pPr>
              <w:numPr>
                <w:ilvl w:val="0"/>
                <w:numId w:val="0"/>
              </w:num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_GB2312"/>
                <w:sz w:val="24"/>
                <w:szCs w:val="24"/>
                <w:lang w:val="en-US" w:eastAsia="zh-CN"/>
              </w:rPr>
              <w:t>严格按照现行建筑消防规范与安全标准（《自动喷水灭火系统设计规范》GB50084-2017）组织实施。</w:t>
            </w:r>
            <w:bookmarkStart w:id="2" w:name="_GoBack"/>
            <w:bookmarkEnd w:id="2"/>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4、项目成果：</w:t>
            </w:r>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（1）完成</w:t>
            </w:r>
            <w:r>
              <w:rPr>
                <w:rFonts w:hint="eastAsia" w:ascii="仿宋" w:hAnsi="仿宋" w:eastAsia="仿宋" w:cs="仿宋_GB2312"/>
                <w:sz w:val="24"/>
                <w:szCs w:val="24"/>
                <w:lang w:val="en-US" w:eastAsia="zh-CN"/>
              </w:rPr>
              <w:t>博物馆一楼新增下喷式喷淋头25套，安装、试压并正常投入使用。</w:t>
            </w:r>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（2）完成烟感探测器15套，安装、接线及系统调试。</w:t>
            </w:r>
          </w:p>
          <w:p>
            <w:pPr>
              <w:spacing w:line="32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（3）完成</w:t>
            </w:r>
            <w:bookmarkStart w:id="1" w:name="OLE_LINK1"/>
            <w:r>
              <w:rPr>
                <w:rFonts w:hint="eastAsia" w:ascii="仿宋" w:hAnsi="仿宋" w:eastAsia="仿宋" w:cs="仿宋"/>
                <w:color w:val="auto"/>
                <w:sz w:val="24"/>
                <w:szCs w:val="24"/>
                <w:lang w:val="en-US" w:eastAsia="zh-CN"/>
              </w:rPr>
              <w:t>烟感编码、编程、入网接入原有消防系统并正常联动</w:t>
            </w:r>
            <w:bookmarkEnd w:id="1"/>
            <w:r>
              <w:rPr>
                <w:rFonts w:hint="eastAsia" w:ascii="仿宋" w:hAnsi="仿宋" w:eastAsia="仿宋" w:cs="仿宋"/>
                <w:color w:val="auto"/>
                <w:sz w:val="24"/>
                <w:szCs w:val="24"/>
                <w:lang w:val="en-US" w:eastAsia="zh-CN"/>
              </w:rPr>
              <w:t>。</w:t>
            </w:r>
          </w:p>
          <w:p>
            <w:pPr>
              <w:spacing w:line="320" w:lineRule="exact"/>
              <w:jc w:val="left"/>
              <w:rPr>
                <w:rFonts w:hint="eastAsia" w:ascii="仿宋" w:hAnsi="仿宋" w:eastAsia="仿宋" w:cs="仿宋"/>
                <w:color w:val="auto"/>
                <w:sz w:val="24"/>
                <w:szCs w:val="24"/>
              </w:rPr>
            </w:pPr>
          </w:p>
        </w:tc>
      </w:tr>
    </w:tbl>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258DD"/>
    <w:multiLevelType w:val="singleLevel"/>
    <w:tmpl w:val="FAD258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7DF419B8"/>
    <w:rsid w:val="000801D6"/>
    <w:rsid w:val="02C76C9E"/>
    <w:rsid w:val="02D80E4A"/>
    <w:rsid w:val="03880C19"/>
    <w:rsid w:val="058451D8"/>
    <w:rsid w:val="05B16FE4"/>
    <w:rsid w:val="075C7020"/>
    <w:rsid w:val="082B55BE"/>
    <w:rsid w:val="092A0515"/>
    <w:rsid w:val="095C1FE8"/>
    <w:rsid w:val="096F2804"/>
    <w:rsid w:val="0C28597F"/>
    <w:rsid w:val="0CE52937"/>
    <w:rsid w:val="0F1D46D8"/>
    <w:rsid w:val="12AE23B5"/>
    <w:rsid w:val="12BB03C6"/>
    <w:rsid w:val="131E2669"/>
    <w:rsid w:val="133F6421"/>
    <w:rsid w:val="14160BB3"/>
    <w:rsid w:val="14856738"/>
    <w:rsid w:val="15CE400A"/>
    <w:rsid w:val="16AF0347"/>
    <w:rsid w:val="16EC5336"/>
    <w:rsid w:val="19782D58"/>
    <w:rsid w:val="19A57BD3"/>
    <w:rsid w:val="1A032E57"/>
    <w:rsid w:val="1D13223F"/>
    <w:rsid w:val="1E352E48"/>
    <w:rsid w:val="1E40742E"/>
    <w:rsid w:val="1EF92460"/>
    <w:rsid w:val="2021575F"/>
    <w:rsid w:val="2229215A"/>
    <w:rsid w:val="23723533"/>
    <w:rsid w:val="23D16BA0"/>
    <w:rsid w:val="24466D8E"/>
    <w:rsid w:val="264C74E4"/>
    <w:rsid w:val="266E04A3"/>
    <w:rsid w:val="28B7048D"/>
    <w:rsid w:val="29D76730"/>
    <w:rsid w:val="2B6B7E4B"/>
    <w:rsid w:val="2C9D01BD"/>
    <w:rsid w:val="2D0C1674"/>
    <w:rsid w:val="2D8F684C"/>
    <w:rsid w:val="310061F3"/>
    <w:rsid w:val="32A35663"/>
    <w:rsid w:val="36327D7A"/>
    <w:rsid w:val="378E4F91"/>
    <w:rsid w:val="38A51D7C"/>
    <w:rsid w:val="3AB85F64"/>
    <w:rsid w:val="3B5817B8"/>
    <w:rsid w:val="3C8F00E9"/>
    <w:rsid w:val="3CD045EF"/>
    <w:rsid w:val="3FFF87A0"/>
    <w:rsid w:val="41636052"/>
    <w:rsid w:val="41C163EC"/>
    <w:rsid w:val="42D975C5"/>
    <w:rsid w:val="46890388"/>
    <w:rsid w:val="47BF1C45"/>
    <w:rsid w:val="489973AA"/>
    <w:rsid w:val="49295994"/>
    <w:rsid w:val="493D1461"/>
    <w:rsid w:val="4A4473E5"/>
    <w:rsid w:val="4AEB3076"/>
    <w:rsid w:val="4C445E1B"/>
    <w:rsid w:val="4C572A08"/>
    <w:rsid w:val="4CEE4DC5"/>
    <w:rsid w:val="50E955CA"/>
    <w:rsid w:val="53481C31"/>
    <w:rsid w:val="53DF697E"/>
    <w:rsid w:val="53ED65D0"/>
    <w:rsid w:val="54A540EC"/>
    <w:rsid w:val="55EC1E85"/>
    <w:rsid w:val="57E35015"/>
    <w:rsid w:val="58472064"/>
    <w:rsid w:val="58884A0E"/>
    <w:rsid w:val="5A051DDA"/>
    <w:rsid w:val="5B770AB5"/>
    <w:rsid w:val="5C2458BC"/>
    <w:rsid w:val="5D13395A"/>
    <w:rsid w:val="5E785D0C"/>
    <w:rsid w:val="5F1A7A93"/>
    <w:rsid w:val="5FFB8D46"/>
    <w:rsid w:val="600C0321"/>
    <w:rsid w:val="62115573"/>
    <w:rsid w:val="653B6D24"/>
    <w:rsid w:val="653C47A6"/>
    <w:rsid w:val="658D0EC6"/>
    <w:rsid w:val="65C8438A"/>
    <w:rsid w:val="673FC3BF"/>
    <w:rsid w:val="6783053E"/>
    <w:rsid w:val="69BCBCD5"/>
    <w:rsid w:val="6A3B6B8B"/>
    <w:rsid w:val="6AC83AF3"/>
    <w:rsid w:val="6AD53752"/>
    <w:rsid w:val="6B7248D5"/>
    <w:rsid w:val="6CA3330D"/>
    <w:rsid w:val="6CC6267F"/>
    <w:rsid w:val="6E2860C8"/>
    <w:rsid w:val="6E7D3CA6"/>
    <w:rsid w:val="6EE66EE3"/>
    <w:rsid w:val="706F5BB2"/>
    <w:rsid w:val="7387538D"/>
    <w:rsid w:val="752C594B"/>
    <w:rsid w:val="759F4605"/>
    <w:rsid w:val="760011A7"/>
    <w:rsid w:val="77C23986"/>
    <w:rsid w:val="79FFC352"/>
    <w:rsid w:val="7A5073C6"/>
    <w:rsid w:val="7C5B3A94"/>
    <w:rsid w:val="7DB85FFB"/>
    <w:rsid w:val="7DF419B8"/>
    <w:rsid w:val="DFFF9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1635</Words>
  <Characters>1745</Characters>
  <Lines>0</Lines>
  <Paragraphs>0</Paragraphs>
  <TotalTime>50</TotalTime>
  <ScaleCrop>false</ScaleCrop>
  <LinksUpToDate>false</LinksUpToDate>
  <CharactersWithSpaces>1760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2023-05-16T19:05:00Z</dcterms:created>
  <dc:creator>admin</dc:creator>
  <cp:lastModifiedBy>王建</cp:lastModifiedBy>
  <cp:lastPrinted>2025-11-25T18:33:00Z</cp:lastPrinted>
  <dcterms:modified xsi:type="dcterms:W3CDTF">2026-03-16T07:19:59Z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ACBC63DE6D0D44FBAB7FD300A0901070</vt:lpwstr>
  </property>
</Properties>
</file>