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Verdana" w:hAnsi="Verdana"/>
          <w:b/>
          <w:color w:val="000000" w:themeColor="text1"/>
          <w:sz w:val="36"/>
          <w:szCs w:val="36"/>
          <w14:textFill>
            <w14:solidFill>
              <w14:schemeClr w14:val="tx1"/>
            </w14:solidFill>
          </w14:textFill>
        </w:rPr>
      </w:pPr>
    </w:p>
    <w:p>
      <w:pPr>
        <w:jc w:val="center"/>
        <w:rPr>
          <w:rFonts w:ascii="Verdana" w:hAnsi="Verdana"/>
          <w:b/>
          <w:color w:val="000000" w:themeColor="text1"/>
          <w:sz w:val="36"/>
          <w:szCs w:val="36"/>
          <w14:textFill>
            <w14:solidFill>
              <w14:schemeClr w14:val="tx1"/>
            </w14:solidFill>
          </w14:textFill>
        </w:rPr>
      </w:pPr>
      <w:r>
        <w:rPr>
          <w:rFonts w:ascii="Verdana" w:hAnsi="Verdana"/>
          <w:b/>
          <w:color w:val="000000" w:themeColor="text1"/>
          <w:sz w:val="36"/>
          <w:szCs w:val="36"/>
          <w14:textFill>
            <w14:solidFill>
              <w14:schemeClr w14:val="tx1"/>
            </w14:solidFill>
          </w14:textFill>
        </w:rPr>
        <w:t>非公开招标方式采购公示表</w:t>
      </w:r>
    </w:p>
    <w:p>
      <w:pPr>
        <w:rPr>
          <w:rFonts w:ascii="Verdana" w:hAnsi="Verdana"/>
          <w:color w:val="000000" w:themeColor="text1"/>
          <w:szCs w:val="21"/>
          <w14:textFill>
            <w14:solidFill>
              <w14:schemeClr w14:val="tx1"/>
            </w14:solidFill>
          </w14:textFill>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highlight w:val="none"/>
                <w:lang w:eastAsia="zh-CN"/>
                <w14:textFill>
                  <w14:solidFill>
                    <w14:schemeClr w14:val="tx1"/>
                  </w14:solidFill>
                </w14:textFill>
              </w:rPr>
              <w:t>依照《深圳经济特区政府采购条例》第二十、二十一条规定，深圳市规划和自然资源局龙岗管理局就</w:t>
            </w:r>
            <w:r>
              <w:rPr>
                <w:rFonts w:hint="eastAsia" w:ascii="仿宋_GB2312" w:eastAsia="仿宋_GB2312"/>
                <w:bCs/>
                <w:color w:val="000000" w:themeColor="text1"/>
                <w:sz w:val="24"/>
                <w:szCs w:val="24"/>
                <w:highlight w:val="none"/>
                <w14:textFill>
                  <w14:solidFill>
                    <w14:schemeClr w14:val="tx1"/>
                  </w14:solidFill>
                </w14:textFill>
              </w:rPr>
              <w:t>《202</w:t>
            </w:r>
            <w:r>
              <w:rPr>
                <w:rFonts w:hint="eastAsia" w:ascii="仿宋_GB2312" w:eastAsia="仿宋_GB2312"/>
                <w:bCs/>
                <w:color w:val="000000" w:themeColor="text1"/>
                <w:sz w:val="24"/>
                <w:szCs w:val="24"/>
                <w:highlight w:val="none"/>
                <w:lang w:val="en-US" w:eastAsia="zh-CN"/>
                <w14:textFill>
                  <w14:solidFill>
                    <w14:schemeClr w14:val="tx1"/>
                  </w14:solidFill>
                </w14:textFill>
              </w:rPr>
              <w:t>6</w:t>
            </w:r>
            <w:r>
              <w:rPr>
                <w:rFonts w:hint="eastAsia" w:ascii="仿宋_GB2312" w:eastAsia="仿宋_GB2312"/>
                <w:bCs/>
                <w:color w:val="000000" w:themeColor="text1"/>
                <w:sz w:val="24"/>
                <w:szCs w:val="24"/>
                <w:highlight w:val="none"/>
                <w14:textFill>
                  <w14:solidFill>
                    <w14:schemeClr w14:val="tx1"/>
                  </w14:solidFill>
                </w14:textFill>
              </w:rPr>
              <w:t>年龙岗区招拍挂出让地块地质灾害</w:t>
            </w:r>
            <w:r>
              <w:rPr>
                <w:rFonts w:hint="eastAsia" w:ascii="仿宋_GB2312" w:eastAsia="仿宋_GB2312"/>
                <w:bCs/>
                <w:color w:val="000000" w:themeColor="text1"/>
                <w:sz w:val="24"/>
                <w:szCs w:val="24"/>
                <w14:textFill>
                  <w14:solidFill>
                    <w14:schemeClr w14:val="tx1"/>
                  </w14:solidFill>
                </w14:textFill>
              </w:rPr>
              <w:t>危险性评估报告编制》项目采用</w:t>
            </w:r>
            <w:r>
              <w:rPr>
                <w:rFonts w:hint="eastAsia" w:ascii="仿宋_GB2312" w:eastAsia="仿宋_GB2312"/>
                <w:bCs/>
                <w:color w:val="000000" w:themeColor="text1"/>
                <w:sz w:val="24"/>
                <w:szCs w:val="24"/>
                <w:lang w:val="en-US" w:eastAsia="zh-CN"/>
                <w14:textFill>
                  <w14:solidFill>
                    <w14:schemeClr w14:val="tx1"/>
                  </w14:solidFill>
                </w14:textFill>
              </w:rPr>
              <w:t>询价</w:t>
            </w:r>
            <w:r>
              <w:rPr>
                <w:rFonts w:hint="eastAsia" w:ascii="仿宋_GB2312" w:eastAsia="仿宋_GB2312"/>
                <w:bCs/>
                <w:color w:val="000000" w:themeColor="text1"/>
                <w:sz w:val="24"/>
                <w:szCs w:val="24"/>
                <w14:textFill>
                  <w14:solidFill>
                    <w14:schemeClr w14:val="tx1"/>
                  </w14:solidFill>
                </w14:textFill>
              </w:rPr>
              <w:t>方式采购，现将有关情况向潜在政府采购供应商征求意见：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eastAsia" w:ascii="仿宋_GB2312" w:eastAsia="仿宋_GB2312"/>
                <w:bCs/>
                <w:color w:val="000000" w:themeColor="text1"/>
                <w:sz w:val="24"/>
                <w:szCs w:val="24"/>
                <w:lang w:eastAsia="zh-CN"/>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采购项目名称：202</w:t>
            </w:r>
            <w:r>
              <w:rPr>
                <w:rFonts w:hint="eastAsia" w:ascii="仿宋_GB2312" w:eastAsia="仿宋_GB2312"/>
                <w:bCs/>
                <w:color w:val="000000" w:themeColor="text1"/>
                <w:sz w:val="24"/>
                <w:szCs w:val="24"/>
                <w:lang w:val="en-US" w:eastAsia="zh-CN"/>
                <w14:textFill>
                  <w14:solidFill>
                    <w14:schemeClr w14:val="tx1"/>
                  </w14:solidFill>
                </w14:textFill>
              </w:rPr>
              <w:t>6</w:t>
            </w:r>
            <w:r>
              <w:rPr>
                <w:rFonts w:hint="eastAsia" w:ascii="仿宋_GB2312" w:eastAsia="仿宋_GB2312"/>
                <w:bCs/>
                <w:color w:val="000000" w:themeColor="text1"/>
                <w:sz w:val="24"/>
                <w:szCs w:val="24"/>
                <w14:textFill>
                  <w14:solidFill>
                    <w14:schemeClr w14:val="tx1"/>
                  </w14:solidFill>
                </w14:textFill>
              </w:rPr>
              <w:t>年龙岗区招拍挂出让地块地质灾害危险性评估报告编制</w:t>
            </w:r>
          </w:p>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项目预算金额：</w:t>
            </w:r>
            <w:r>
              <w:rPr>
                <w:rFonts w:hint="eastAsia" w:ascii="仿宋_GB2312" w:eastAsia="仿宋_GB2312"/>
                <w:bCs/>
                <w:color w:val="000000" w:themeColor="text1"/>
                <w:sz w:val="24"/>
                <w:szCs w:val="24"/>
                <w:lang w:val="en-US" w:eastAsia="zh-CN"/>
                <w14:textFill>
                  <w14:solidFill>
                    <w14:schemeClr w14:val="tx1"/>
                  </w14:solidFill>
                </w14:textFill>
              </w:rPr>
              <w:t>6.45</w:t>
            </w:r>
            <w:r>
              <w:rPr>
                <w:rFonts w:hint="eastAsia" w:ascii="仿宋_GB2312" w:eastAsia="仿宋_GB2312"/>
                <w:bCs/>
                <w:color w:val="000000" w:themeColor="text1"/>
                <w:sz w:val="24"/>
                <w:szCs w:val="24"/>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采购项目描述：</w:t>
            </w:r>
          </w:p>
          <w:p>
            <w:pPr>
              <w:spacing w:line="440" w:lineRule="exact"/>
              <w:rPr>
                <w:rFonts w:hint="default"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lang w:val="zh-TW" w:eastAsia="zh-TW"/>
                <w14:textFill>
                  <w14:solidFill>
                    <w14:schemeClr w14:val="tx1"/>
                  </w14:solidFill>
                </w14:textFill>
              </w:rPr>
              <w:t>一、项目所依据及参考的标准</w:t>
            </w:r>
          </w:p>
          <w:p>
            <w:pPr>
              <w:spacing w:line="440" w:lineRule="exact"/>
              <w:rPr>
                <w:rFonts w:hint="default"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1</w:t>
            </w:r>
            <w:r>
              <w:rPr>
                <w:rFonts w:hint="eastAsia" w:ascii="仿宋_GB2312" w:eastAsia="仿宋_GB2312"/>
                <w:bCs/>
                <w:color w:val="000000" w:themeColor="text1"/>
                <w:sz w:val="24"/>
                <w:szCs w:val="24"/>
                <w:lang w:val="zh-TW" w:eastAsia="zh-TW"/>
                <w14:textFill>
                  <w14:solidFill>
                    <w14:schemeClr w14:val="tx1"/>
                  </w14:solidFill>
                </w14:textFill>
              </w:rPr>
              <w:t>．《地质灾害防治条例》国土资源部</w:t>
            </w:r>
            <w:r>
              <w:rPr>
                <w:rFonts w:hint="eastAsia" w:ascii="仿宋_GB2312" w:eastAsia="仿宋_GB2312"/>
                <w:bCs/>
                <w:color w:val="000000" w:themeColor="text1"/>
                <w:sz w:val="24"/>
                <w:szCs w:val="24"/>
                <w14:textFill>
                  <w14:solidFill>
                    <w14:schemeClr w14:val="tx1"/>
                  </w14:solidFill>
                </w14:textFill>
              </w:rPr>
              <w:t>2004</w:t>
            </w:r>
            <w:r>
              <w:rPr>
                <w:rFonts w:hint="eastAsia" w:ascii="仿宋_GB2312" w:eastAsia="仿宋_GB2312"/>
                <w:bCs/>
                <w:color w:val="000000" w:themeColor="text1"/>
                <w:sz w:val="24"/>
                <w:szCs w:val="24"/>
                <w:lang w:val="zh-TW" w:eastAsia="zh-TW"/>
                <w14:textFill>
                  <w14:solidFill>
                    <w14:schemeClr w14:val="tx1"/>
                  </w14:solidFill>
                </w14:textFill>
              </w:rPr>
              <w:t>年</w:t>
            </w:r>
            <w:r>
              <w:rPr>
                <w:rFonts w:hint="eastAsia" w:ascii="仿宋_GB2312" w:eastAsia="仿宋_GB2312"/>
                <w:bCs/>
                <w:color w:val="000000" w:themeColor="text1"/>
                <w:sz w:val="24"/>
                <w:szCs w:val="24"/>
                <w14:textFill>
                  <w14:solidFill>
                    <w14:schemeClr w14:val="tx1"/>
                  </w14:solidFill>
                </w14:textFill>
              </w:rPr>
              <w:t>3</w:t>
            </w:r>
            <w:r>
              <w:rPr>
                <w:rFonts w:hint="eastAsia" w:ascii="仿宋_GB2312" w:eastAsia="仿宋_GB2312"/>
                <w:bCs/>
                <w:color w:val="000000" w:themeColor="text1"/>
                <w:sz w:val="24"/>
                <w:szCs w:val="24"/>
                <w:lang w:val="zh-TW" w:eastAsia="zh-TW"/>
                <w14:textFill>
                  <w14:solidFill>
                    <w14:schemeClr w14:val="tx1"/>
                  </w14:solidFill>
                </w14:textFill>
              </w:rPr>
              <w:t>月</w:t>
            </w:r>
            <w:r>
              <w:rPr>
                <w:rFonts w:hint="eastAsia" w:ascii="仿宋_GB2312" w:eastAsia="仿宋_GB2312"/>
                <w:bCs/>
                <w:color w:val="000000" w:themeColor="text1"/>
                <w:sz w:val="24"/>
                <w:szCs w:val="24"/>
                <w14:textFill>
                  <w14:solidFill>
                    <w14:schemeClr w14:val="tx1"/>
                  </w14:solidFill>
                </w14:textFill>
              </w:rPr>
              <w:t>1</w:t>
            </w:r>
            <w:r>
              <w:rPr>
                <w:rFonts w:hint="eastAsia" w:ascii="仿宋_GB2312" w:eastAsia="仿宋_GB2312"/>
                <w:bCs/>
                <w:color w:val="000000" w:themeColor="text1"/>
                <w:sz w:val="24"/>
                <w:szCs w:val="24"/>
                <w:lang w:val="zh-TW" w:eastAsia="zh-TW"/>
                <w14:textFill>
                  <w14:solidFill>
                    <w14:schemeClr w14:val="tx1"/>
                  </w14:solidFill>
                </w14:textFill>
              </w:rPr>
              <w:t>日；</w:t>
            </w:r>
          </w:p>
          <w:p>
            <w:pPr>
              <w:spacing w:line="440" w:lineRule="exact"/>
              <w:rPr>
                <w:rFonts w:hint="default"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2</w:t>
            </w:r>
            <w:r>
              <w:rPr>
                <w:rFonts w:hint="eastAsia" w:ascii="仿宋_GB2312" w:eastAsia="仿宋_GB2312"/>
                <w:bCs/>
                <w:color w:val="000000" w:themeColor="text1"/>
                <w:sz w:val="24"/>
                <w:szCs w:val="24"/>
                <w:lang w:val="zh-TW" w:eastAsia="zh-TW"/>
                <w14:textFill>
                  <w14:solidFill>
                    <w14:schemeClr w14:val="tx1"/>
                  </w14:solidFill>
                </w14:textFill>
              </w:rPr>
              <w:t>．《深圳市地质灾害防治管理办法》市人民政府令第</w:t>
            </w:r>
            <w:r>
              <w:rPr>
                <w:rFonts w:hint="eastAsia" w:ascii="仿宋_GB2312" w:eastAsia="仿宋_GB2312"/>
                <w:bCs/>
                <w:color w:val="000000" w:themeColor="text1"/>
                <w:sz w:val="24"/>
                <w:szCs w:val="24"/>
                <w14:textFill>
                  <w14:solidFill>
                    <w14:schemeClr w14:val="tx1"/>
                  </w14:solidFill>
                </w14:textFill>
              </w:rPr>
              <w:t>241</w:t>
            </w:r>
            <w:r>
              <w:rPr>
                <w:rFonts w:hint="eastAsia" w:ascii="仿宋_GB2312" w:eastAsia="仿宋_GB2312"/>
                <w:bCs/>
                <w:color w:val="000000" w:themeColor="text1"/>
                <w:sz w:val="24"/>
                <w:szCs w:val="24"/>
                <w:lang w:val="zh-TW" w:eastAsia="zh-TW"/>
                <w14:textFill>
                  <w14:solidFill>
                    <w14:schemeClr w14:val="tx1"/>
                  </w14:solidFill>
                </w14:textFill>
              </w:rPr>
              <w:t>号；</w:t>
            </w:r>
          </w:p>
          <w:p>
            <w:pPr>
              <w:spacing w:line="440" w:lineRule="exact"/>
              <w:rPr>
                <w:rFonts w:hint="eastAsia"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3</w:t>
            </w:r>
            <w:r>
              <w:rPr>
                <w:rFonts w:hint="eastAsia" w:ascii="仿宋_GB2312" w:eastAsia="仿宋_GB2312"/>
                <w:bCs/>
                <w:color w:val="000000" w:themeColor="text1"/>
                <w:sz w:val="24"/>
                <w:szCs w:val="24"/>
                <w:lang w:val="zh-TW" w:eastAsia="zh-TW"/>
                <w14:textFill>
                  <w14:solidFill>
                    <w14:schemeClr w14:val="tx1"/>
                  </w14:solidFill>
                </w14:textFill>
              </w:rPr>
              <w:t>．《广东省地质灾害危险性评估实施细则》粤国土资发[2004]237号；</w:t>
            </w:r>
          </w:p>
          <w:p>
            <w:pPr>
              <w:spacing w:line="440" w:lineRule="exact"/>
              <w:rPr>
                <w:rFonts w:hint="eastAsia" w:ascii="仿宋_GB2312" w:eastAsia="仿宋_GB2312"/>
                <w:bCs/>
                <w:color w:val="000000" w:themeColor="text1"/>
                <w:sz w:val="24"/>
                <w:szCs w:val="24"/>
                <w:lang w:val="zh-TW"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4</w:t>
            </w:r>
            <w:r>
              <w:rPr>
                <w:rFonts w:hint="eastAsia" w:ascii="仿宋_GB2312" w:eastAsia="仿宋_GB2312"/>
                <w:bCs/>
                <w:color w:val="000000" w:themeColor="text1"/>
                <w:sz w:val="24"/>
                <w:szCs w:val="24"/>
                <w:lang w:val="zh-TW" w:eastAsia="zh-TW"/>
                <w14:textFill>
                  <w14:solidFill>
                    <w14:schemeClr w14:val="tx1"/>
                  </w14:solidFill>
                </w14:textFill>
              </w:rPr>
              <w:t>．《广东省地质灾害危险性评估取费指导价格》广东省地质灾害防治协会2017年3月9日</w:t>
            </w:r>
            <w:r>
              <w:rPr>
                <w:rFonts w:hint="eastAsia" w:ascii="仿宋_GB2312" w:eastAsia="仿宋_GB2312"/>
                <w:bCs/>
                <w:color w:val="000000" w:themeColor="text1"/>
                <w:sz w:val="24"/>
                <w:szCs w:val="24"/>
                <w:lang w:val="zh-TW" w:eastAsia="zh-CN"/>
                <w14:textFill>
                  <w14:solidFill>
                    <w14:schemeClr w14:val="tx1"/>
                  </w14:solidFill>
                </w14:textFill>
              </w:rPr>
              <w:t>。</w:t>
            </w:r>
          </w:p>
          <w:p>
            <w:pPr>
              <w:spacing w:line="440" w:lineRule="exact"/>
              <w:rPr>
                <w:rFonts w:hint="default"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5</w:t>
            </w:r>
            <w:r>
              <w:rPr>
                <w:rFonts w:hint="eastAsia" w:ascii="仿宋_GB2312" w:eastAsia="仿宋_GB2312"/>
                <w:bCs/>
                <w:color w:val="000000" w:themeColor="text1"/>
                <w:sz w:val="24"/>
                <w:szCs w:val="24"/>
                <w:lang w:val="zh-TW" w:eastAsia="zh-TW"/>
                <w14:textFill>
                  <w14:solidFill>
                    <w14:schemeClr w14:val="tx1"/>
                  </w14:solidFill>
                </w14:textFill>
              </w:rPr>
              <w:t>．其它有关规范等。</w:t>
            </w:r>
          </w:p>
          <w:p>
            <w:pPr>
              <w:spacing w:line="440" w:lineRule="exact"/>
              <w:rPr>
                <w:rFonts w:hint="default"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zh-TW" w:eastAsia="zh-TW"/>
                <w14:textFill>
                  <w14:solidFill>
                    <w14:schemeClr w14:val="tx1"/>
                  </w14:solidFill>
                </w14:textFill>
              </w:rPr>
              <w:t>二、人员安排</w:t>
            </w:r>
          </w:p>
          <w:p>
            <w:pPr>
              <w:spacing w:line="440" w:lineRule="exact"/>
              <w:rPr>
                <w:rFonts w:hint="eastAsia"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zh-TW" w:eastAsia="zh-TW"/>
                <w14:textFill>
                  <w14:solidFill>
                    <w14:schemeClr w14:val="tx1"/>
                  </w14:solidFill>
                </w14:textFill>
              </w:rPr>
              <w:t>1.中标单位应成立项目组，具体负责本项目的实施、管理等工作，项目组至少包括相关专业的</w:t>
            </w:r>
            <w:r>
              <w:rPr>
                <w:rFonts w:hint="eastAsia" w:ascii="仿宋_GB2312" w:eastAsia="仿宋_GB2312"/>
                <w:bCs/>
                <w:color w:val="000000" w:themeColor="text1"/>
                <w:sz w:val="24"/>
                <w:szCs w:val="24"/>
                <w:lang w:val="en-US" w:eastAsia="zh-CN"/>
                <w14:textFill>
                  <w14:solidFill>
                    <w14:schemeClr w14:val="tx1"/>
                  </w14:solidFill>
                </w14:textFill>
              </w:rPr>
              <w:t>1</w:t>
            </w:r>
            <w:r>
              <w:rPr>
                <w:rFonts w:hint="eastAsia" w:ascii="仿宋_GB2312" w:eastAsia="仿宋_GB2312"/>
                <w:bCs/>
                <w:color w:val="000000" w:themeColor="text1"/>
                <w:sz w:val="24"/>
                <w:szCs w:val="24"/>
                <w:lang w:val="zh-TW" w:eastAsia="zh-TW"/>
                <w14:textFill>
                  <w14:solidFill>
                    <w14:schemeClr w14:val="tx1"/>
                  </w14:solidFill>
                </w14:textFill>
              </w:rPr>
              <w:t>名高级工程师和3名工程师。</w:t>
            </w:r>
          </w:p>
          <w:p>
            <w:pPr>
              <w:spacing w:line="440" w:lineRule="exact"/>
              <w:rPr>
                <w:rFonts w:hint="default"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2</w:t>
            </w:r>
            <w:r>
              <w:rPr>
                <w:rFonts w:hint="eastAsia" w:ascii="仿宋_GB2312" w:eastAsia="仿宋_GB2312"/>
                <w:bCs/>
                <w:color w:val="000000" w:themeColor="text1"/>
                <w:sz w:val="24"/>
                <w:szCs w:val="24"/>
                <w:lang w:val="zh-TW" w:eastAsia="zh-TW"/>
                <w14:textFill>
                  <w14:solidFill>
                    <w14:schemeClr w14:val="tx1"/>
                  </w14:solidFill>
                </w14:textFill>
              </w:rPr>
              <w:t>.在投标文件中列出的参与人员名单，在项目实施过程中不能随意更换，如确需更换，必须得到采购方的同意。</w:t>
            </w:r>
          </w:p>
          <w:p>
            <w:pPr>
              <w:spacing w:line="440" w:lineRule="exact"/>
              <w:rPr>
                <w:rFonts w:hint="default"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zh-TW" w:eastAsia="zh-TW"/>
                <w14:textFill>
                  <w14:solidFill>
                    <w14:schemeClr w14:val="tx1"/>
                  </w14:solidFill>
                </w14:textFill>
              </w:rPr>
              <w:t>三、主要工作内容</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1.招拍挂地块预计为3块（根据供地部门需求）收集相关资料</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评估工作首先收集或购买已有的区域地质、区域地貌、区域稳定性、区域地震和建筑区地形、规划设计方案等资料。</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2.现场调查</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以1:1000地形图为底图，调查区内地质环境条件；调查区内地质灾害的发育程度及危害程度；调查和访问。</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3.钻探</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此项工作根据项目工作需要，如果能够在周边场地收集到相关的钻探资料或场地内能够收集到相关钻孔资料，不需要进行钻探工作。</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4.物探</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根据场地地质环境复杂程度及收集整理情况，选择采用高密度电法、地质雷达、跨孔CT等方法开展工作。</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5.室内测试</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（1）室内试验项目包括岩土物理力学性质试验（根据情况考虑）、水质分析试验等。</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（2）上述测试可获取土的各种物理力学和变形参数，经分析和统计，以提供边坡支护设计和滑坡治理所需的各种有关参数，水质分析结果用以判定地下水质对混凝土结构等建筑材料的腐蚀性。</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6.室内综合分析与研究</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（1）确定评估范围和等级</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按照《广东省地质灾害危险性评估实施细则》的有关标准划分评估范围和地质灾害评估等级。</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（2）评估区地质环境复杂程度判定</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根据评估区地貌特征、地层岩性、地质构造、水文地质条件，场地稳定性及地震危险性等，对评估区地质环境复杂程度进行综合判定。</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（3）地质灾害危险性现状评估</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对已有地质灾害类型及特征进行危险性评估。</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（4）地质灾害危险性预测评估</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根据工程项目类型、规模，预测工程项目在建设过程中和建成后，对工程建设造成地质环境条件的改变和影响，可能诱发或加剧的地质灾害，以及建设工程本身可能遭受地质灾害的危险性进行预测评估。</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（5）地质灾害危险性综合评估</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在现状评估和预测评估的基础上，对潜在的地质灾害危险性进行综合评估。任务是对地质灾害危害程度做出全面评估，建立评估区地质灾害危险性分区标准，进行地质灾害危险性分区和分区评价。</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（6）绘制相关图件。</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根据项目工作要求，结合地质灾害评估细则要求，绘制相应图件。</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7.建设项目土地利用适宜性评估</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根据各区地质环境复杂程度、工程建设可能遭受地质灾害危害和诱发加剧地质灾害的可能性、危险性、处理难易程度和费用以及项目规划方案等，进行项目规划适宜性和建设适宜性分区及评价。</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8.提出地质灾害防治措施建议</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根据地质灾害危险性和建设适宜性分区，指针对不同地质灾害特点，遵循“预防为主，避让与治理相结合”的方针，提出技术可行，经济合理的相应防治措施，供防治设计和施工单位进行参考。</w:t>
            </w:r>
          </w:p>
          <w:p>
            <w:pPr>
              <w:spacing w:line="440" w:lineRule="exact"/>
              <w:rPr>
                <w:rFonts w:hint="eastAsia" w:ascii="仿宋_GB2312" w:eastAsia="仿宋_GB2312"/>
                <w:bCs/>
                <w:color w:val="000000" w:themeColor="text1"/>
                <w:sz w:val="24"/>
                <w:szCs w:val="24"/>
                <w:lang w:val="zh-TW" w:eastAsia="zh-TW"/>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四</w:t>
            </w:r>
            <w:r>
              <w:rPr>
                <w:rFonts w:hint="eastAsia" w:ascii="仿宋_GB2312" w:eastAsia="仿宋_GB2312"/>
                <w:bCs/>
                <w:color w:val="000000" w:themeColor="text1"/>
                <w:sz w:val="24"/>
                <w:szCs w:val="24"/>
                <w:lang w:val="zh-TW" w:eastAsia="zh-TW"/>
                <w14:textFill>
                  <w14:solidFill>
                    <w14:schemeClr w14:val="tx1"/>
                  </w14:solidFill>
                </w14:textFill>
              </w:rPr>
              <w:t>、投标人资质要求</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1.投标人必须是在中华人民共和国境内注册的具有合法经营资格的国内独立法人；</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2.投标人必须具有深圳市政府采购注册供应商资格；</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3.投标人必须具有自然资源部颁发的地质灾害危险性评估甲级资质和地质灾害治理工程勘查甲级资质。</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4.本项目不接受联合体投标，不得分包、转包。</w:t>
            </w:r>
          </w:p>
          <w:p>
            <w:pPr>
              <w:pStyle w:val="19"/>
              <w:numPr>
                <w:ilvl w:val="0"/>
                <w:numId w:val="0"/>
              </w:numPr>
              <w:spacing w:line="360" w:lineRule="auto"/>
              <w:rPr>
                <w:rFonts w:hint="eastAsia" w:ascii="仿宋_GB2312" w:eastAsia="仿宋_GB2312" w:hAnsiTheme="minorHAnsi" w:cstheme="minorBidi"/>
                <w:bCs/>
                <w:color w:val="000000" w:themeColor="text1"/>
                <w:kern w:val="2"/>
                <w:sz w:val="24"/>
                <w:szCs w:val="24"/>
                <w:lang w:val="en-US" w:eastAsia="zh-CN" w:bidi="ar-SA"/>
                <w14:textFill>
                  <w14:solidFill>
                    <w14:schemeClr w14:val="tx1"/>
                  </w14:solidFill>
                </w14:textFill>
              </w:rPr>
            </w:pPr>
            <w:r>
              <w:rPr>
                <w:rFonts w:hint="eastAsia" w:ascii="仿宋_GB2312" w:eastAsia="仿宋_GB2312" w:hAnsiTheme="minorHAnsi" w:cstheme="minorBidi"/>
                <w:bCs/>
                <w:color w:val="000000" w:themeColor="text1"/>
                <w:kern w:val="2"/>
                <w:sz w:val="24"/>
                <w:szCs w:val="24"/>
                <w:lang w:val="en-US" w:eastAsia="zh-CN" w:bidi="ar-SA"/>
                <w14:textFill>
                  <w14:solidFill>
                    <w14:schemeClr w14:val="tx1"/>
                  </w14:solidFill>
                </w14:textFill>
              </w:rPr>
              <w:t>五、成果要求</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1.中标方需按采购方的招标技术及时间要求完成相应工作；成果全部提交后，采购方将对中标方进行项目成果验收。</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2.工作量为服务期限内根据土地出让工作实际需要开展3个地块地质灾害危险性评估工作。</w:t>
            </w:r>
          </w:p>
          <w:p>
            <w:pPr>
              <w:spacing w:line="440" w:lineRule="exact"/>
              <w:rPr>
                <w:rFonts w:hint="eastAsia"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lang w:val="en-US" w:eastAsia="zh-CN"/>
                <w14:textFill>
                  <w14:solidFill>
                    <w14:schemeClr w14:val="tx1"/>
                  </w14:solidFill>
                </w14:textFill>
              </w:rPr>
              <w:t>3.本项目正式成果主要包括：经专家评审通过的《深圳市龙岗区2026年****地块地质灾害危险性评估报告》及《深圳市龙岗区2026年****地块地质灾害分布图和地质灾害危险性综合分区评估图》纸质件8份，电子光盘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default" w:ascii="仿宋_GB2312" w:eastAsia="仿宋_GB2312"/>
                <w:bCs/>
                <w:color w:val="000000" w:themeColor="text1"/>
                <w:sz w:val="24"/>
                <w:szCs w:val="24"/>
                <w:lang w:val="en-US" w:eastAsia="zh-CN"/>
                <w14:textFill>
                  <w14:solidFill>
                    <w14:schemeClr w14:val="tx1"/>
                  </w14:solidFill>
                </w14:textFill>
              </w:rPr>
            </w:pPr>
            <w:r>
              <w:rPr>
                <w:rFonts w:hint="default" w:ascii="仿宋_GB2312" w:eastAsia="仿宋_GB2312"/>
                <w:bCs/>
                <w:color w:val="000000" w:themeColor="text1"/>
                <w:sz w:val="24"/>
                <w:szCs w:val="24"/>
                <w:lang w:val="en-US" w:eastAsia="zh-CN"/>
                <w14:textFill>
                  <w14:solidFill>
                    <w14:schemeClr w14:val="tx1"/>
                  </w14:solidFill>
                </w14:textFill>
              </w:rPr>
              <w:t>所有供应商名称：深圳市岩土综合勘察设计有限公司、中国有色金属工业昆明勘察设计研究院有限公司、建设综合勘察研究设计院有限公司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8522" w:type="dxa"/>
          </w:tcPr>
          <w:p>
            <w:pPr>
              <w:spacing w:line="440" w:lineRule="exact"/>
              <w:rPr>
                <w:rFonts w:hint="eastAsia" w:ascii="仿宋_GB2312" w:eastAsia="仿宋_GB2312"/>
                <w:bCs/>
                <w:color w:val="000000" w:themeColor="text1"/>
                <w:sz w:val="24"/>
                <w:szCs w:val="24"/>
                <w:highlight w:val="none"/>
                <w14:textFill>
                  <w14:solidFill>
                    <w14:schemeClr w14:val="tx1"/>
                  </w14:solidFill>
                </w14:textFill>
              </w:rPr>
            </w:pPr>
            <w:r>
              <w:rPr>
                <w:rFonts w:hint="eastAsia" w:ascii="仿宋_GB2312" w:eastAsia="仿宋_GB2312"/>
                <w:bCs/>
                <w:color w:val="000000" w:themeColor="text1"/>
                <w:sz w:val="24"/>
                <w:szCs w:val="24"/>
                <w:highlight w:val="none"/>
                <w14:textFill>
                  <w14:solidFill>
                    <w14:schemeClr w14:val="tx1"/>
                  </w14:solidFill>
                </w14:textFill>
              </w:rPr>
              <w:t>申请理由及相关说明：</w:t>
            </w:r>
          </w:p>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仿宋_GB2312" w:eastAsia="仿宋_GB2312"/>
                <w:bCs/>
                <w:color w:val="000000" w:themeColor="text1"/>
                <w:sz w:val="24"/>
                <w:szCs w:val="24"/>
                <w:highlight w:val="none"/>
                <w:lang w:eastAsia="zh-CN"/>
                <w14:textFill>
                  <w14:solidFill>
                    <w14:schemeClr w14:val="tx1"/>
                  </w14:solidFill>
                </w14:textFill>
              </w:rPr>
            </w:pPr>
            <w:r>
              <w:rPr>
                <w:rFonts w:hint="eastAsia" w:ascii="仿宋_GB2312" w:eastAsia="仿宋_GB2312"/>
                <w:bCs/>
                <w:color w:val="000000" w:themeColor="text1"/>
                <w:sz w:val="24"/>
                <w:szCs w:val="24"/>
                <w:highlight w:val="none"/>
                <w:lang w:eastAsia="zh-CN"/>
                <w14:textFill>
                  <w14:solidFill>
                    <w14:schemeClr w14:val="tx1"/>
                  </w14:solidFill>
                </w14:textFill>
              </w:rPr>
              <w:t>依据</w:t>
            </w:r>
            <w:r>
              <w:rPr>
                <w:rFonts w:hint="default" w:ascii="仿宋_GB2312" w:eastAsia="仿宋_GB2312"/>
                <w:bCs/>
                <w:color w:val="000000" w:themeColor="text1"/>
                <w:sz w:val="24"/>
                <w:szCs w:val="24"/>
                <w:highlight w:val="none"/>
                <w:lang w:val="en" w:eastAsia="zh-CN"/>
                <w14:textFill>
                  <w14:solidFill>
                    <w14:schemeClr w14:val="tx1"/>
                  </w14:solidFill>
                </w14:textFill>
              </w:rPr>
              <w:t>《深圳市规划和自然资源局龙岗管理局政府采购管理制度（2025版）》第十六条第（四）款</w:t>
            </w:r>
            <w:r>
              <w:rPr>
                <w:rFonts w:hint="eastAsia" w:ascii="仿宋_GB2312" w:eastAsia="仿宋_GB2312"/>
                <w:bCs/>
                <w:color w:val="000000" w:themeColor="text1"/>
                <w:sz w:val="24"/>
                <w:szCs w:val="24"/>
                <w:highlight w:val="none"/>
                <w:lang w:val="en" w:eastAsia="zh-CN"/>
                <w14:textFill>
                  <w14:solidFill>
                    <w14:schemeClr w14:val="tx1"/>
                  </w14:solidFill>
                </w14:textFill>
              </w:rPr>
              <w:t>规定，本项目属于“标准统一、现货货源充足、</w:t>
            </w:r>
            <w:r>
              <w:rPr>
                <w:rFonts w:hint="default" w:ascii="仿宋_GB2312" w:eastAsia="仿宋_GB2312"/>
                <w:bCs/>
                <w:color w:val="000000" w:themeColor="text1"/>
                <w:sz w:val="24"/>
                <w:szCs w:val="24"/>
                <w:highlight w:val="none"/>
                <w:lang w:val="en" w:eastAsia="zh-CN"/>
                <w14:textFill>
                  <w14:solidFill>
                    <w14:schemeClr w14:val="tx1"/>
                  </w14:solidFill>
                </w14:textFill>
              </w:rPr>
              <w:t>价格变化幅度小</w:t>
            </w:r>
            <w:r>
              <w:rPr>
                <w:rFonts w:hint="eastAsia" w:ascii="仿宋_GB2312" w:eastAsia="仿宋_GB2312"/>
                <w:bCs/>
                <w:color w:val="000000" w:themeColor="text1"/>
                <w:sz w:val="24"/>
                <w:szCs w:val="24"/>
                <w:highlight w:val="none"/>
                <w:lang w:val="en" w:eastAsia="zh-CN"/>
                <w14:textFill>
                  <w14:solidFill>
                    <w14:schemeClr w14:val="tx1"/>
                  </w14:solidFill>
                </w14:textFill>
              </w:rPr>
              <w:t>”的情形，可采用询价的方式。</w:t>
            </w:r>
          </w:p>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仿宋_GB2312" w:eastAsia="仿宋_GB2312"/>
                <w:bCs/>
                <w:color w:val="000000" w:themeColor="text1"/>
                <w:sz w:val="24"/>
                <w:szCs w:val="24"/>
                <w:highlight w:val="none"/>
                <w:lang w:val="en-US" w:eastAsia="zh-CN"/>
                <w14:textFill>
                  <w14:solidFill>
                    <w14:schemeClr w14:val="tx1"/>
                  </w14:solidFill>
                </w14:textFill>
              </w:rPr>
            </w:pPr>
            <w:r>
              <w:rPr>
                <w:rFonts w:hint="eastAsia" w:ascii="仿宋_GB2312" w:eastAsia="仿宋_GB2312"/>
                <w:bCs/>
                <w:color w:val="000000" w:themeColor="text1"/>
                <w:sz w:val="24"/>
                <w:szCs w:val="24"/>
                <w:highlight w:val="none"/>
                <w:lang w:eastAsia="zh-CN"/>
                <w14:textFill>
                  <w14:solidFill>
                    <w14:schemeClr w14:val="tx1"/>
                  </w14:solidFill>
                </w14:textFill>
              </w:rPr>
              <w:t>（</w:t>
            </w:r>
            <w:r>
              <w:rPr>
                <w:rFonts w:hint="eastAsia" w:ascii="仿宋_GB2312" w:eastAsia="仿宋_GB2312"/>
                <w:bCs/>
                <w:color w:val="000000" w:themeColor="text1"/>
                <w:sz w:val="24"/>
                <w:szCs w:val="24"/>
                <w:highlight w:val="none"/>
                <w:lang w:val="en-US" w:eastAsia="zh-CN"/>
                <w14:textFill>
                  <w14:solidFill>
                    <w14:schemeClr w14:val="tx1"/>
                  </w14:solidFill>
                </w14:textFill>
              </w:rPr>
              <w:t>1</w:t>
            </w:r>
            <w:r>
              <w:rPr>
                <w:rFonts w:hint="eastAsia" w:ascii="仿宋_GB2312" w:eastAsia="仿宋_GB2312"/>
                <w:bCs/>
                <w:color w:val="000000" w:themeColor="text1"/>
                <w:sz w:val="24"/>
                <w:szCs w:val="24"/>
                <w:highlight w:val="none"/>
                <w:lang w:eastAsia="zh-CN"/>
                <w14:textFill>
                  <w14:solidFill>
                    <w14:schemeClr w14:val="tx1"/>
                  </w14:solidFill>
                </w14:textFill>
              </w:rPr>
              <w:t>）本项目为地质灾害危险性评估报告编制，技术内容、编制深度、成果格式等均严格遵循相关技术规范与导则，成果要求明确。本项目所需服务在技术规格、质量、服务内容等方面基本无差异，符合“标准统一”的要求，三家拟定供应商均为具备地质灾害危险性评估相应资质的专业机构，在技术能力、服务标准和成果质量方面处于同等水平，能够提供符合规范的评估报告</w:t>
            </w:r>
            <w:r>
              <w:rPr>
                <w:rFonts w:hint="eastAsia" w:ascii="仿宋_GB2312" w:eastAsia="仿宋_GB2312"/>
                <w:bCs/>
                <w:color w:val="000000" w:themeColor="text1"/>
                <w:sz w:val="24"/>
                <w:szCs w:val="24"/>
                <w:highlight w:val="none"/>
                <w:lang w:val="en-US"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val="0"/>
              <w:snapToGrid/>
              <w:ind w:left="0" w:leftChars="0" w:firstLine="480" w:firstLineChars="200"/>
              <w:textAlignment w:val="auto"/>
              <w:rPr>
                <w:rFonts w:hint="default" w:ascii="仿宋_GB2312" w:eastAsia="仿宋_GB2312" w:hAnsiTheme="minorHAnsi" w:cstheme="minorBidi"/>
                <w:bCs/>
                <w:color w:val="000000" w:themeColor="text1"/>
                <w:kern w:val="2"/>
                <w:sz w:val="24"/>
                <w:szCs w:val="24"/>
                <w:highlight w:val="none"/>
                <w:lang w:val="en-US" w:eastAsia="zh-CN" w:bidi="ar-SA"/>
                <w14:textFill>
                  <w14:solidFill>
                    <w14:schemeClr w14:val="tx1"/>
                  </w14:solidFill>
                </w14:textFill>
              </w:rPr>
            </w:pPr>
            <w:r>
              <w:rPr>
                <w:rFonts w:hint="eastAsia" w:ascii="仿宋_GB2312" w:eastAsia="仿宋_GB2312" w:hAnsiTheme="minorHAnsi" w:cstheme="minorBidi"/>
                <w:bCs/>
                <w:color w:val="000000" w:themeColor="text1"/>
                <w:kern w:val="2"/>
                <w:sz w:val="24"/>
                <w:szCs w:val="24"/>
                <w:highlight w:val="none"/>
                <w:lang w:val="en-US" w:eastAsia="zh-CN" w:bidi="ar-SA"/>
                <w14:textFill>
                  <w14:solidFill>
                    <w14:schemeClr w14:val="tx1"/>
                  </w14:solidFill>
                </w14:textFill>
              </w:rPr>
              <w:t>（2）本项目系年度常规技术服务工作，《龙岗区2025年招拍挂出让地块地质灾害危险性评估报告编制》合同金额为6.44万元，本年度该项目预算为6.45万元，预算变动幅度极小。地质灾害危险性评估属于市场价格相对透明、竞争充分的服务类别，三家供应商报价差异可控，不存在价格剧烈波动的风险，符合“价格变化幅度小”的要求。</w:t>
            </w:r>
          </w:p>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default" w:ascii="仿宋_GB2312" w:eastAsia="仿宋_GB2312"/>
                <w:bCs/>
                <w:color w:val="000000" w:themeColor="text1"/>
                <w:sz w:val="24"/>
                <w:szCs w:val="24"/>
                <w:lang w:val="en" w:eastAsia="zh-CN"/>
                <w14:textFill>
                  <w14:solidFill>
                    <w14:schemeClr w14:val="tx1"/>
                  </w14:solidFill>
                </w14:textFill>
              </w:rPr>
            </w:pPr>
            <w:r>
              <w:rPr>
                <w:rFonts w:hint="default" w:ascii="仿宋_GB2312" w:eastAsia="仿宋_GB2312"/>
                <w:bCs/>
                <w:color w:val="000000" w:themeColor="text1"/>
                <w:sz w:val="24"/>
                <w:szCs w:val="24"/>
                <w:highlight w:val="none"/>
                <w:lang w:val="en" w:eastAsia="zh-CN"/>
                <w14:textFill>
                  <w14:solidFill>
                    <w14:schemeClr w14:val="tx1"/>
                  </w14:solidFill>
                </w14:textFill>
              </w:rPr>
              <w:t>综上，拟</w:t>
            </w:r>
            <w:r>
              <w:rPr>
                <w:rFonts w:hint="eastAsia" w:ascii="仿宋_GB2312" w:eastAsia="仿宋_GB2312"/>
                <w:bCs/>
                <w:color w:val="000000" w:themeColor="text1"/>
                <w:sz w:val="24"/>
                <w:szCs w:val="24"/>
                <w:highlight w:val="none"/>
                <w:lang w:val="en" w:eastAsia="zh-CN"/>
                <w14:textFill>
                  <w14:solidFill>
                    <w14:schemeClr w14:val="tx1"/>
                  </w14:solidFill>
                </w14:textFill>
              </w:rPr>
              <w:t>根据</w:t>
            </w:r>
            <w:r>
              <w:rPr>
                <w:rFonts w:hint="default" w:ascii="仿宋_GB2312" w:eastAsia="仿宋_GB2312"/>
                <w:bCs/>
                <w:color w:val="000000" w:themeColor="text1"/>
                <w:sz w:val="24"/>
                <w:szCs w:val="24"/>
                <w:highlight w:val="none"/>
                <w:lang w:val="en" w:eastAsia="zh-CN"/>
                <w14:textFill>
                  <w14:solidFill>
                    <w14:schemeClr w14:val="tx1"/>
                  </w14:solidFill>
                </w14:textFill>
              </w:rPr>
              <w:t>《深圳市规划和自然资源局龙岗管理局政府采购管理制度（2025版）》第十六条第（四）款规定</w:t>
            </w:r>
            <w:r>
              <w:rPr>
                <w:rFonts w:hint="eastAsia" w:ascii="仿宋_GB2312" w:eastAsia="仿宋_GB2312"/>
                <w:bCs/>
                <w:color w:val="000000" w:themeColor="text1"/>
                <w:sz w:val="24"/>
                <w:szCs w:val="24"/>
                <w:highlight w:val="none"/>
                <w:lang w:val="en" w:eastAsia="zh-CN"/>
                <w14:textFill>
                  <w14:solidFill>
                    <w14:schemeClr w14:val="tx1"/>
                  </w14:solidFill>
                </w14:textFill>
              </w:rPr>
              <w:t>，拟</w:t>
            </w:r>
            <w:r>
              <w:rPr>
                <w:rFonts w:hint="default" w:ascii="仿宋_GB2312" w:eastAsia="仿宋_GB2312"/>
                <w:bCs/>
                <w:color w:val="000000" w:themeColor="text1"/>
                <w:sz w:val="24"/>
                <w:szCs w:val="24"/>
                <w:highlight w:val="none"/>
                <w:lang w:val="en" w:eastAsia="zh-CN"/>
                <w14:textFill>
                  <w14:solidFill>
                    <w14:schemeClr w14:val="tx1"/>
                  </w14:solidFill>
                </w14:textFill>
              </w:rPr>
              <w:t>采用</w:t>
            </w:r>
            <w:r>
              <w:rPr>
                <w:rFonts w:hint="eastAsia" w:ascii="仿宋_GB2312" w:eastAsia="仿宋_GB2312"/>
                <w:bCs/>
                <w:color w:val="000000" w:themeColor="text1"/>
                <w:sz w:val="24"/>
                <w:szCs w:val="24"/>
                <w:highlight w:val="none"/>
                <w:lang w:val="en" w:eastAsia="zh-CN"/>
                <w14:textFill>
                  <w14:solidFill>
                    <w14:schemeClr w14:val="tx1"/>
                  </w14:solidFill>
                </w14:textFill>
              </w:rPr>
              <w:t>询价</w:t>
            </w:r>
            <w:r>
              <w:rPr>
                <w:rFonts w:hint="default" w:ascii="仿宋_GB2312" w:eastAsia="仿宋_GB2312"/>
                <w:bCs/>
                <w:color w:val="000000" w:themeColor="text1"/>
                <w:sz w:val="24"/>
                <w:szCs w:val="24"/>
                <w:highlight w:val="none"/>
                <w:lang w:val="en" w:eastAsia="zh-CN"/>
                <w14:textFill>
                  <w14:solidFill>
                    <w14:schemeClr w14:val="tx1"/>
                  </w14:solidFill>
                </w14:textFill>
              </w:rPr>
              <w:t>的</w:t>
            </w:r>
            <w:r>
              <w:rPr>
                <w:rFonts w:hint="eastAsia" w:ascii="仿宋_GB2312" w:eastAsia="仿宋_GB2312"/>
                <w:bCs/>
                <w:color w:val="000000" w:themeColor="text1"/>
                <w:sz w:val="24"/>
                <w:szCs w:val="24"/>
                <w:highlight w:val="none"/>
                <w:lang w:val="en" w:eastAsia="zh-CN"/>
                <w14:textFill>
                  <w14:solidFill>
                    <w14:schemeClr w14:val="tx1"/>
                  </w14:solidFill>
                </w14:textFill>
              </w:rPr>
              <w:t>采购</w:t>
            </w:r>
            <w:r>
              <w:rPr>
                <w:rFonts w:hint="default" w:ascii="仿宋_GB2312" w:eastAsia="仿宋_GB2312"/>
                <w:bCs/>
                <w:color w:val="000000" w:themeColor="text1"/>
                <w:sz w:val="24"/>
                <w:szCs w:val="24"/>
                <w:highlight w:val="none"/>
                <w:lang w:val="en" w:eastAsia="zh-CN"/>
                <w14:textFill>
                  <w14:solidFill>
                    <w14:schemeClr w14:val="tx1"/>
                  </w14:solidFill>
                </w14:textFill>
              </w:rPr>
              <w:t>方</w:t>
            </w:r>
            <w:r>
              <w:rPr>
                <w:rFonts w:hint="eastAsia" w:ascii="仿宋_GB2312" w:eastAsia="仿宋_GB2312"/>
                <w:bCs/>
                <w:color w:val="000000" w:themeColor="text1"/>
                <w:sz w:val="24"/>
                <w:szCs w:val="24"/>
                <w:highlight w:val="none"/>
                <w:lang w:val="en" w:eastAsia="zh-CN"/>
                <w14:textFill>
                  <w14:solidFill>
                    <w14:schemeClr w14:val="tx1"/>
                  </w14:solidFill>
                </w14:textFill>
              </w:rPr>
              <w:t>式</w:t>
            </w:r>
            <w:r>
              <w:rPr>
                <w:rFonts w:hint="default" w:ascii="仿宋_GB2312" w:eastAsia="仿宋_GB2312"/>
                <w:bCs/>
                <w:color w:val="000000" w:themeColor="text1"/>
                <w:sz w:val="24"/>
                <w:szCs w:val="24"/>
                <w:highlight w:val="none"/>
                <w:lang w:val="en" w:eastAsia="zh-CN"/>
                <w14:textFill>
                  <w14:solidFill>
                    <w14:schemeClr w14:val="tx1"/>
                  </w14:solidFill>
                </w14:textFill>
              </w:rPr>
              <w:t>确定</w:t>
            </w:r>
            <w:r>
              <w:rPr>
                <w:rFonts w:hint="eastAsia" w:ascii="仿宋_GB2312" w:eastAsia="仿宋_GB2312"/>
                <w:bCs/>
                <w:color w:val="000000" w:themeColor="text1"/>
                <w:sz w:val="24"/>
                <w:szCs w:val="24"/>
                <w:highlight w:val="none"/>
                <w:lang w:val="en" w:eastAsia="zh-CN"/>
                <w14:textFill>
                  <w14:solidFill>
                    <w14:schemeClr w14:val="tx1"/>
                  </w14:solidFill>
                </w14:textFill>
              </w:rPr>
              <w:t>本项目</w:t>
            </w:r>
            <w:r>
              <w:rPr>
                <w:rFonts w:hint="default" w:ascii="仿宋_GB2312" w:eastAsia="仿宋_GB2312"/>
                <w:bCs/>
                <w:color w:val="000000" w:themeColor="text1"/>
                <w:sz w:val="24"/>
                <w:szCs w:val="24"/>
                <w:highlight w:val="none"/>
                <w:lang w:val="en" w:eastAsia="zh-CN"/>
                <w14:textFill>
                  <w14:solidFill>
                    <w14:schemeClr w14:val="tx1"/>
                  </w14:solidFill>
                </w14:textFill>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征求意见期限：</w:t>
            </w:r>
            <w:r>
              <w:rPr>
                <w:rFonts w:hint="eastAsia" w:ascii="仿宋_GB2312" w:eastAsia="仿宋_GB2312"/>
                <w:bCs/>
                <w:color w:val="000000" w:themeColor="text1"/>
                <w:sz w:val="24"/>
                <w:szCs w:val="24"/>
                <w:lang w:val="en-US" w:eastAsia="zh-CN"/>
                <w14:textFill>
                  <w14:solidFill>
                    <w14:schemeClr w14:val="tx1"/>
                  </w14:solidFill>
                </w14:textFill>
              </w:rPr>
              <w:t>5</w:t>
            </w:r>
            <w:r>
              <w:rPr>
                <w:rFonts w:hint="eastAsia" w:ascii="仿宋_GB2312" w:eastAsia="仿宋_GB2312"/>
                <w:bCs/>
                <w:color w:val="000000" w:themeColor="text1"/>
                <w:sz w:val="24"/>
                <w:szCs w:val="24"/>
                <w14:textFill>
                  <w14:solidFill>
                    <w14:schemeClr w14:val="tx1"/>
                  </w14:solidFill>
                </w14:textFill>
              </w:rPr>
              <w:t>个工作日</w:t>
            </w:r>
          </w:p>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从</w:t>
            </w:r>
            <w:r>
              <w:rPr>
                <w:rFonts w:hint="eastAsia" w:ascii="仿宋_GB2312" w:eastAsia="仿宋_GB2312"/>
                <w:bCs/>
                <w:color w:val="000000" w:themeColor="text1"/>
                <w:sz w:val="24"/>
                <w:szCs w:val="24"/>
                <w:lang w:eastAsia="zh-CN"/>
                <w14:textFill>
                  <w14:solidFill>
                    <w14:schemeClr w14:val="tx1"/>
                  </w14:solidFill>
                </w14:textFill>
              </w:rPr>
              <w:t>202</w:t>
            </w:r>
            <w:r>
              <w:rPr>
                <w:rFonts w:hint="eastAsia" w:ascii="仿宋_GB2312" w:eastAsia="仿宋_GB2312"/>
                <w:bCs/>
                <w:color w:val="000000" w:themeColor="text1"/>
                <w:sz w:val="24"/>
                <w:szCs w:val="24"/>
                <w:lang w:val="en-US" w:eastAsia="zh-CN"/>
                <w14:textFill>
                  <w14:solidFill>
                    <w14:schemeClr w14:val="tx1"/>
                  </w14:solidFill>
                </w14:textFill>
              </w:rPr>
              <w:t>6</w:t>
            </w:r>
            <w:r>
              <w:rPr>
                <w:rFonts w:hint="eastAsia" w:ascii="仿宋_GB2312" w:eastAsia="仿宋_GB2312"/>
                <w:bCs/>
                <w:color w:val="000000" w:themeColor="text1"/>
                <w:sz w:val="24"/>
                <w:szCs w:val="24"/>
                <w14:textFill>
                  <w14:solidFill>
                    <w14:schemeClr w14:val="tx1"/>
                  </w14:solidFill>
                </w14:textFill>
              </w:rPr>
              <w:t>年</w:t>
            </w:r>
            <w:r>
              <w:rPr>
                <w:rFonts w:hint="eastAsia" w:ascii="仿宋_GB2312" w:eastAsia="仿宋_GB2312"/>
                <w:bCs/>
                <w:color w:val="000000" w:themeColor="text1"/>
                <w:sz w:val="24"/>
                <w:szCs w:val="24"/>
                <w:lang w:val="en-US" w:eastAsia="zh-CN"/>
                <w14:textFill>
                  <w14:solidFill>
                    <w14:schemeClr w14:val="tx1"/>
                  </w14:solidFill>
                </w14:textFill>
              </w:rPr>
              <w:t xml:space="preserve"> 3 </w:t>
            </w:r>
            <w:r>
              <w:rPr>
                <w:rFonts w:hint="eastAsia" w:ascii="仿宋_GB2312" w:eastAsia="仿宋_GB2312"/>
                <w:bCs/>
                <w:color w:val="000000" w:themeColor="text1"/>
                <w:sz w:val="24"/>
                <w:szCs w:val="24"/>
                <w14:textFill>
                  <w14:solidFill>
                    <w14:schemeClr w14:val="tx1"/>
                  </w14:solidFill>
                </w14:textFill>
              </w:rPr>
              <w:t>月</w:t>
            </w:r>
            <w:r>
              <w:rPr>
                <w:rFonts w:hint="eastAsia" w:ascii="仿宋_GB2312" w:eastAsia="仿宋_GB2312"/>
                <w:bCs/>
                <w:color w:val="000000" w:themeColor="text1"/>
                <w:sz w:val="24"/>
                <w:szCs w:val="24"/>
                <w:lang w:val="en-US" w:eastAsia="zh-CN"/>
                <w14:textFill>
                  <w14:solidFill>
                    <w14:schemeClr w14:val="tx1"/>
                  </w14:solidFill>
                </w14:textFill>
              </w:rPr>
              <w:t xml:space="preserve"> 6 </w:t>
            </w:r>
            <w:r>
              <w:rPr>
                <w:rFonts w:hint="eastAsia" w:ascii="仿宋_GB2312" w:eastAsia="仿宋_GB2312"/>
                <w:bCs/>
                <w:color w:val="000000" w:themeColor="text1"/>
                <w:sz w:val="24"/>
                <w:szCs w:val="24"/>
                <w14:textFill>
                  <w14:solidFill>
                    <w14:schemeClr w14:val="tx1"/>
                  </w14:solidFill>
                </w14:textFill>
              </w:rPr>
              <w:t>日起至</w:t>
            </w:r>
            <w:r>
              <w:rPr>
                <w:rFonts w:hint="eastAsia" w:ascii="仿宋_GB2312" w:eastAsia="仿宋_GB2312"/>
                <w:bCs/>
                <w:color w:val="000000" w:themeColor="text1"/>
                <w:sz w:val="24"/>
                <w:szCs w:val="24"/>
                <w:lang w:eastAsia="zh-CN"/>
                <w14:textFill>
                  <w14:solidFill>
                    <w14:schemeClr w14:val="tx1"/>
                  </w14:solidFill>
                </w14:textFill>
              </w:rPr>
              <w:t>202</w:t>
            </w:r>
            <w:r>
              <w:rPr>
                <w:rFonts w:hint="eastAsia" w:ascii="仿宋_GB2312" w:eastAsia="仿宋_GB2312"/>
                <w:bCs/>
                <w:color w:val="000000" w:themeColor="text1"/>
                <w:sz w:val="24"/>
                <w:szCs w:val="24"/>
                <w:lang w:val="en-US" w:eastAsia="zh-CN"/>
                <w14:textFill>
                  <w14:solidFill>
                    <w14:schemeClr w14:val="tx1"/>
                  </w14:solidFill>
                </w14:textFill>
              </w:rPr>
              <w:t>6</w:t>
            </w:r>
            <w:r>
              <w:rPr>
                <w:rFonts w:hint="eastAsia" w:ascii="仿宋_GB2312" w:eastAsia="仿宋_GB2312"/>
                <w:bCs/>
                <w:color w:val="000000" w:themeColor="text1"/>
                <w:sz w:val="24"/>
                <w:szCs w:val="24"/>
                <w14:textFill>
                  <w14:solidFill>
                    <w14:schemeClr w14:val="tx1"/>
                  </w14:solidFill>
                </w14:textFill>
              </w:rPr>
              <w:t>年</w:t>
            </w:r>
            <w:r>
              <w:rPr>
                <w:rFonts w:hint="eastAsia" w:ascii="仿宋_GB2312" w:eastAsia="仿宋_GB2312"/>
                <w:bCs/>
                <w:color w:val="000000" w:themeColor="text1"/>
                <w:sz w:val="24"/>
                <w:szCs w:val="24"/>
                <w:lang w:val="en-US" w:eastAsia="zh-CN"/>
                <w14:textFill>
                  <w14:solidFill>
                    <w14:schemeClr w14:val="tx1"/>
                  </w14:solidFill>
                </w14:textFill>
              </w:rPr>
              <w:t xml:space="preserve"> 3 </w:t>
            </w:r>
            <w:r>
              <w:rPr>
                <w:rFonts w:hint="eastAsia" w:ascii="仿宋_GB2312" w:eastAsia="仿宋_GB2312"/>
                <w:bCs/>
                <w:color w:val="000000" w:themeColor="text1"/>
                <w:sz w:val="24"/>
                <w:szCs w:val="24"/>
                <w14:textFill>
                  <w14:solidFill>
                    <w14:schemeClr w14:val="tx1"/>
                  </w14:solidFill>
                </w14:textFill>
              </w:rPr>
              <w:t>月</w:t>
            </w:r>
            <w:r>
              <w:rPr>
                <w:rFonts w:hint="eastAsia" w:ascii="仿宋_GB2312" w:eastAsia="仿宋_GB2312"/>
                <w:bCs/>
                <w:color w:val="000000" w:themeColor="text1"/>
                <w:sz w:val="24"/>
                <w:szCs w:val="24"/>
                <w:lang w:val="en-US" w:eastAsia="zh-CN"/>
                <w14:textFill>
                  <w14:solidFill>
                    <w14:schemeClr w14:val="tx1"/>
                  </w14:solidFill>
                </w14:textFill>
              </w:rPr>
              <w:t xml:space="preserve"> 12 </w:t>
            </w:r>
            <w:r>
              <w:rPr>
                <w:rFonts w:hint="eastAsia" w:ascii="仿宋_GB2312" w:eastAsia="仿宋_GB2312"/>
                <w:bCs/>
                <w:color w:val="000000" w:themeColor="text1"/>
                <w:sz w:val="24"/>
                <w:szCs w:val="24"/>
                <w14:textFill>
                  <w14:solidFill>
                    <w14:schemeClr w14:val="tx1"/>
                  </w14:solidFill>
                </w14:textFill>
              </w:rPr>
              <w:t>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联系方式：</w:t>
            </w:r>
          </w:p>
          <w:p>
            <w:pPr>
              <w:spacing w:line="440" w:lineRule="exact"/>
              <w:rPr>
                <w:rFonts w:hint="eastAsia" w:ascii="仿宋_GB2312" w:eastAsia="仿宋_GB2312"/>
                <w:bCs/>
                <w:color w:val="000000" w:themeColor="text1"/>
                <w:sz w:val="24"/>
                <w:szCs w:val="24"/>
                <w:lang w:eastAsia="zh-CN"/>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采购人:</w:t>
            </w:r>
            <w:r>
              <w:rPr>
                <w:rFonts w:hint="eastAsia" w:ascii="仿宋_GB2312" w:eastAsia="仿宋_GB2312"/>
                <w:bCs/>
                <w:color w:val="000000" w:themeColor="text1"/>
                <w:sz w:val="24"/>
                <w:szCs w:val="24"/>
                <w:lang w:eastAsia="zh-CN"/>
                <w14:textFill>
                  <w14:solidFill>
                    <w14:schemeClr w14:val="tx1"/>
                  </w14:solidFill>
                </w14:textFill>
              </w:rPr>
              <w:t>市规划和自然资源局龙岗管理局</w:t>
            </w:r>
          </w:p>
          <w:p>
            <w:pPr>
              <w:spacing w:line="440" w:lineRule="exact"/>
              <w:rPr>
                <w:rFonts w:hint="default"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联系人：</w:t>
            </w:r>
            <w:r>
              <w:rPr>
                <w:rFonts w:hint="eastAsia" w:ascii="仿宋_GB2312" w:eastAsia="仿宋_GB2312"/>
                <w:bCs/>
                <w:color w:val="000000" w:themeColor="text1"/>
                <w:sz w:val="24"/>
                <w:szCs w:val="24"/>
                <w:lang w:val="en-US" w:eastAsia="zh-CN"/>
                <w14:textFill>
                  <w14:solidFill>
                    <w14:schemeClr w14:val="tx1"/>
                  </w14:solidFill>
                </w14:textFill>
              </w:rPr>
              <w:t>陈志鹏</w:t>
            </w:r>
          </w:p>
          <w:p>
            <w:pPr>
              <w:spacing w:line="440" w:lineRule="exact"/>
              <w:rPr>
                <w:rFonts w:hint="default"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地址：</w:t>
            </w:r>
            <w:r>
              <w:rPr>
                <w:rFonts w:hint="eastAsia" w:ascii="仿宋_GB2312" w:eastAsia="仿宋_GB2312"/>
                <w:bCs/>
                <w:color w:val="000000" w:themeColor="text1"/>
                <w:sz w:val="24"/>
                <w:szCs w:val="24"/>
                <w:lang w:val="en-US" w:eastAsia="zh-CN"/>
                <w14:textFill>
                  <w14:solidFill>
                    <w14:schemeClr w14:val="tx1"/>
                  </w14:solidFill>
                </w14:textFill>
              </w:rPr>
              <w:t>深圳市龙岗区龙岗中心城</w:t>
            </w:r>
            <w:bookmarkStart w:id="0" w:name="_GoBack"/>
            <w:bookmarkEnd w:id="0"/>
            <w:r>
              <w:rPr>
                <w:rFonts w:hint="eastAsia" w:ascii="仿宋_GB2312" w:eastAsia="仿宋_GB2312"/>
                <w:bCs/>
                <w:color w:val="000000" w:themeColor="text1"/>
                <w:sz w:val="24"/>
                <w:szCs w:val="24"/>
                <w:lang w:val="en-US" w:eastAsia="zh-CN"/>
                <w14:textFill>
                  <w14:solidFill>
                    <w14:schemeClr w14:val="tx1"/>
                  </w14:solidFill>
                </w14:textFill>
              </w:rPr>
              <w:t>行政路2号建设大厦6楼</w:t>
            </w:r>
          </w:p>
          <w:p>
            <w:pPr>
              <w:spacing w:line="440" w:lineRule="exact"/>
              <w:rPr>
                <w:rFonts w:hint="default" w:ascii="仿宋_GB2312" w:eastAsia="仿宋_GB2312"/>
                <w:bCs/>
                <w:color w:val="000000" w:themeColor="text1"/>
                <w:sz w:val="24"/>
                <w:szCs w:val="24"/>
                <w:lang w:val="en-US" w:eastAsia="zh-CN"/>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联系电话：</w:t>
            </w:r>
            <w:r>
              <w:rPr>
                <w:rFonts w:hint="eastAsia" w:ascii="仿宋_GB2312" w:eastAsia="仿宋_GB2312"/>
                <w:bCs/>
                <w:color w:val="000000" w:themeColor="text1"/>
                <w:sz w:val="24"/>
                <w:szCs w:val="24"/>
                <w:lang w:val="en-US" w:eastAsia="zh-CN"/>
                <w14:textFill>
                  <w14:solidFill>
                    <w14:schemeClr w14:val="tx1"/>
                  </w14:solidFill>
                </w14:textFill>
              </w:rPr>
              <w:t>28918663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40" w:lineRule="exact"/>
              <w:rPr>
                <w:rFonts w:hint="eastAsia"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备注：潜在政府采购供应商对公示内容有异议的，请于公示之日起至期满后两个工作日内以实名书面（包括联系人、地址、联系电话）形式将意见反馈至</w:t>
            </w:r>
            <w:r>
              <w:rPr>
                <w:rFonts w:hint="eastAsia" w:ascii="仿宋_GB2312" w:eastAsia="仿宋_GB2312"/>
                <w:bCs/>
                <w:color w:val="000000" w:themeColor="text1"/>
                <w:sz w:val="24"/>
                <w:szCs w:val="24"/>
                <w:lang w:eastAsia="zh-CN"/>
                <w14:textFill>
                  <w14:solidFill>
                    <w14:schemeClr w14:val="tx1"/>
                  </w14:solidFill>
                </w14:textFill>
              </w:rPr>
              <w:t>市规划和自然资源局龙岗管理局</w:t>
            </w:r>
            <w:r>
              <w:rPr>
                <w:rFonts w:hint="eastAsia" w:ascii="仿宋_GB2312" w:eastAsia="仿宋_GB2312"/>
                <w:bCs/>
                <w:color w:val="000000" w:themeColor="text1"/>
                <w:sz w:val="24"/>
                <w:szCs w:val="24"/>
                <w14:textFill>
                  <w14:solidFill>
                    <w14:schemeClr w14:val="tx1"/>
                  </w14:solidFill>
                </w14:textFill>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Verdana">
    <w:altName w:val="Ubuntu"/>
    <w:panose1 w:val="020B0604030504040204"/>
    <w:charset w:val="00"/>
    <w:family w:val="swiss"/>
    <w:pitch w:val="default"/>
    <w:sig w:usb0="00000000" w:usb1="00000000" w:usb2="0000001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Ubuntu">
    <w:panose1 w:val="020B0604030602030204"/>
    <w:charset w:val="00"/>
    <w:family w:val="auto"/>
    <w:pitch w:val="default"/>
    <w:sig w:usb0="E00002FF" w:usb1="5000205B" w:usb2="00000000" w:usb3="00000000" w:csb0="2000009F" w:csb1="5601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A2D"/>
    <w:rsid w:val="00003BAE"/>
    <w:rsid w:val="00023C84"/>
    <w:rsid w:val="0002517F"/>
    <w:rsid w:val="0003350E"/>
    <w:rsid w:val="00065DC9"/>
    <w:rsid w:val="000A1C68"/>
    <w:rsid w:val="000C2468"/>
    <w:rsid w:val="000D4263"/>
    <w:rsid w:val="000E1D3D"/>
    <w:rsid w:val="000E6942"/>
    <w:rsid w:val="000F33C0"/>
    <w:rsid w:val="00110D0C"/>
    <w:rsid w:val="001275B2"/>
    <w:rsid w:val="001808EF"/>
    <w:rsid w:val="00183C6F"/>
    <w:rsid w:val="001A050D"/>
    <w:rsid w:val="001C050B"/>
    <w:rsid w:val="001C2B67"/>
    <w:rsid w:val="001C5906"/>
    <w:rsid w:val="001E77E3"/>
    <w:rsid w:val="001F578C"/>
    <w:rsid w:val="002449EF"/>
    <w:rsid w:val="00294FA1"/>
    <w:rsid w:val="002A0838"/>
    <w:rsid w:val="002A45A9"/>
    <w:rsid w:val="002F6C0C"/>
    <w:rsid w:val="003009D2"/>
    <w:rsid w:val="003C3933"/>
    <w:rsid w:val="003E6383"/>
    <w:rsid w:val="003F26BA"/>
    <w:rsid w:val="00406403"/>
    <w:rsid w:val="00475FC1"/>
    <w:rsid w:val="00492B94"/>
    <w:rsid w:val="004C01A1"/>
    <w:rsid w:val="004D5F78"/>
    <w:rsid w:val="00532AA1"/>
    <w:rsid w:val="00551306"/>
    <w:rsid w:val="00571BB3"/>
    <w:rsid w:val="005729E3"/>
    <w:rsid w:val="0057615F"/>
    <w:rsid w:val="005B71CA"/>
    <w:rsid w:val="005D5398"/>
    <w:rsid w:val="0062021B"/>
    <w:rsid w:val="00661C52"/>
    <w:rsid w:val="00697188"/>
    <w:rsid w:val="006C6C8A"/>
    <w:rsid w:val="006F4109"/>
    <w:rsid w:val="0072780C"/>
    <w:rsid w:val="00735475"/>
    <w:rsid w:val="00757D2D"/>
    <w:rsid w:val="007B5684"/>
    <w:rsid w:val="007E3768"/>
    <w:rsid w:val="00831201"/>
    <w:rsid w:val="0083373B"/>
    <w:rsid w:val="008441DB"/>
    <w:rsid w:val="008C0E59"/>
    <w:rsid w:val="008C6FD2"/>
    <w:rsid w:val="008C739A"/>
    <w:rsid w:val="008D78D5"/>
    <w:rsid w:val="0092159E"/>
    <w:rsid w:val="009246AA"/>
    <w:rsid w:val="00955719"/>
    <w:rsid w:val="009B2BAA"/>
    <w:rsid w:val="009D77B8"/>
    <w:rsid w:val="009F68C0"/>
    <w:rsid w:val="00A17F7A"/>
    <w:rsid w:val="00A27765"/>
    <w:rsid w:val="00A35FE8"/>
    <w:rsid w:val="00A54248"/>
    <w:rsid w:val="00AA4257"/>
    <w:rsid w:val="00AC2A2D"/>
    <w:rsid w:val="00B07CB5"/>
    <w:rsid w:val="00B958FC"/>
    <w:rsid w:val="00BA0970"/>
    <w:rsid w:val="00BA5B12"/>
    <w:rsid w:val="00BE5C91"/>
    <w:rsid w:val="00C01BEC"/>
    <w:rsid w:val="00C21260"/>
    <w:rsid w:val="00C3793C"/>
    <w:rsid w:val="00C84029"/>
    <w:rsid w:val="00C8719A"/>
    <w:rsid w:val="00CD0109"/>
    <w:rsid w:val="00CF164A"/>
    <w:rsid w:val="00D169EE"/>
    <w:rsid w:val="00D26C39"/>
    <w:rsid w:val="00D4603E"/>
    <w:rsid w:val="00D504DA"/>
    <w:rsid w:val="00D61DBA"/>
    <w:rsid w:val="00DC2E3D"/>
    <w:rsid w:val="00DC45B6"/>
    <w:rsid w:val="00DF13A1"/>
    <w:rsid w:val="00E02BF4"/>
    <w:rsid w:val="00E1161C"/>
    <w:rsid w:val="00E2002F"/>
    <w:rsid w:val="00E26498"/>
    <w:rsid w:val="00E31190"/>
    <w:rsid w:val="00E36826"/>
    <w:rsid w:val="00E43138"/>
    <w:rsid w:val="00E45E30"/>
    <w:rsid w:val="00E65467"/>
    <w:rsid w:val="00E7574E"/>
    <w:rsid w:val="00EB2EAE"/>
    <w:rsid w:val="00EB6EFD"/>
    <w:rsid w:val="00EC0AA1"/>
    <w:rsid w:val="00F0022B"/>
    <w:rsid w:val="00F13D3B"/>
    <w:rsid w:val="00F32B4F"/>
    <w:rsid w:val="00F402A5"/>
    <w:rsid w:val="00F75E01"/>
    <w:rsid w:val="00F86A64"/>
    <w:rsid w:val="00FB5D41"/>
    <w:rsid w:val="00FD6863"/>
    <w:rsid w:val="00FE0CA5"/>
    <w:rsid w:val="00FE0E31"/>
    <w:rsid w:val="00FE1793"/>
    <w:rsid w:val="011A025C"/>
    <w:rsid w:val="0268233A"/>
    <w:rsid w:val="02FD4498"/>
    <w:rsid w:val="05407675"/>
    <w:rsid w:val="073833F1"/>
    <w:rsid w:val="08D37178"/>
    <w:rsid w:val="094B76C4"/>
    <w:rsid w:val="0AD7032E"/>
    <w:rsid w:val="0AD82409"/>
    <w:rsid w:val="1105416F"/>
    <w:rsid w:val="12677457"/>
    <w:rsid w:val="144856FA"/>
    <w:rsid w:val="149659DC"/>
    <w:rsid w:val="17757633"/>
    <w:rsid w:val="19FA50BF"/>
    <w:rsid w:val="1CB2284B"/>
    <w:rsid w:val="1DED3EFE"/>
    <w:rsid w:val="20091758"/>
    <w:rsid w:val="21034664"/>
    <w:rsid w:val="23720A7E"/>
    <w:rsid w:val="2967026A"/>
    <w:rsid w:val="2A084B83"/>
    <w:rsid w:val="2C4904CB"/>
    <w:rsid w:val="2CEA3273"/>
    <w:rsid w:val="313B7FE9"/>
    <w:rsid w:val="32661DC7"/>
    <w:rsid w:val="331D0CB1"/>
    <w:rsid w:val="35340379"/>
    <w:rsid w:val="359FA622"/>
    <w:rsid w:val="374B2462"/>
    <w:rsid w:val="38E25CEE"/>
    <w:rsid w:val="3AEF7D7A"/>
    <w:rsid w:val="3C292EC9"/>
    <w:rsid w:val="3D1751D2"/>
    <w:rsid w:val="3DE73314"/>
    <w:rsid w:val="3F690AF4"/>
    <w:rsid w:val="40675541"/>
    <w:rsid w:val="46411586"/>
    <w:rsid w:val="475251D7"/>
    <w:rsid w:val="47EE9E4E"/>
    <w:rsid w:val="48AD0B9F"/>
    <w:rsid w:val="4A4E794F"/>
    <w:rsid w:val="4AD27FFA"/>
    <w:rsid w:val="4D6FB736"/>
    <w:rsid w:val="4DA8462C"/>
    <w:rsid w:val="567A4947"/>
    <w:rsid w:val="56C5665F"/>
    <w:rsid w:val="580E4F06"/>
    <w:rsid w:val="597451C1"/>
    <w:rsid w:val="59774A0E"/>
    <w:rsid w:val="59D65F85"/>
    <w:rsid w:val="5AE93ADC"/>
    <w:rsid w:val="5C455A87"/>
    <w:rsid w:val="5C5F333A"/>
    <w:rsid w:val="5D4C2B73"/>
    <w:rsid w:val="5EFF63A3"/>
    <w:rsid w:val="5F32139F"/>
    <w:rsid w:val="5F89AB7B"/>
    <w:rsid w:val="604D1429"/>
    <w:rsid w:val="62F54F3F"/>
    <w:rsid w:val="655A33DF"/>
    <w:rsid w:val="6773F942"/>
    <w:rsid w:val="68F85D05"/>
    <w:rsid w:val="6A1521ED"/>
    <w:rsid w:val="6DF78494"/>
    <w:rsid w:val="6E1A1003"/>
    <w:rsid w:val="6E8D3FE2"/>
    <w:rsid w:val="6E9021A0"/>
    <w:rsid w:val="6FFD4FE2"/>
    <w:rsid w:val="703C1FFD"/>
    <w:rsid w:val="70C5674D"/>
    <w:rsid w:val="71BD07C7"/>
    <w:rsid w:val="755401E7"/>
    <w:rsid w:val="77F797E9"/>
    <w:rsid w:val="797F1AE7"/>
    <w:rsid w:val="798E5507"/>
    <w:rsid w:val="7ABB67E1"/>
    <w:rsid w:val="7D7AD038"/>
    <w:rsid w:val="7DFFC0E2"/>
    <w:rsid w:val="7F3708D3"/>
    <w:rsid w:val="7F3F5B5D"/>
    <w:rsid w:val="7FF5D333"/>
    <w:rsid w:val="7FF75A19"/>
    <w:rsid w:val="ADD5F17F"/>
    <w:rsid w:val="BB9FF19E"/>
    <w:rsid w:val="D37D29D9"/>
    <w:rsid w:val="DCA064CF"/>
    <w:rsid w:val="DDBF46CB"/>
    <w:rsid w:val="DFF6211B"/>
    <w:rsid w:val="EAFC1F02"/>
    <w:rsid w:val="EDD31AFF"/>
    <w:rsid w:val="F73AA541"/>
    <w:rsid w:val="F7CD87CD"/>
    <w:rsid w:val="FA7FAE26"/>
    <w:rsid w:val="FBEF6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2"/>
    <w:link w:val="18"/>
    <w:qFormat/>
    <w:uiPriority w:val="0"/>
    <w:pPr>
      <w:keepNext/>
      <w:keepLines/>
      <w:spacing w:before="120" w:after="120" w:line="360" w:lineRule="auto"/>
      <w:outlineLvl w:val="1"/>
    </w:pPr>
    <w:rPr>
      <w:rFonts w:ascii="黑体" w:hAnsi="Times New Roman" w:eastAsia="黑体" w:cs="Times New Roman"/>
      <w:sz w:val="30"/>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semiHidden/>
    <w:unhideWhenUsed/>
    <w:qFormat/>
    <w:uiPriority w:val="99"/>
    <w:pPr>
      <w:ind w:firstLine="420" w:firstLineChars="200"/>
    </w:pPr>
  </w:style>
  <w:style w:type="paragraph" w:styleId="3">
    <w:name w:val="Body Text"/>
    <w:basedOn w:val="1"/>
    <w:next w:val="4"/>
    <w:qFormat/>
    <w:uiPriority w:val="0"/>
    <w:pPr>
      <w:spacing w:line="360" w:lineRule="auto"/>
    </w:pPr>
    <w:rPr>
      <w:b/>
      <w:bCs/>
      <w:sz w:val="24"/>
    </w:rPr>
  </w:style>
  <w:style w:type="paragraph" w:styleId="4">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7">
    <w:name w:val="Balloon Text"/>
    <w:basedOn w:val="1"/>
    <w:link w:val="20"/>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semiHidden/>
    <w:unhideWhenUsed/>
    <w:qFormat/>
    <w:uiPriority w:val="99"/>
    <w:rPr>
      <w:color w:val="800080"/>
      <w:u w:val="none"/>
    </w:rPr>
  </w:style>
  <w:style w:type="character" w:styleId="15">
    <w:name w:val="Hyperlink"/>
    <w:basedOn w:val="13"/>
    <w:semiHidden/>
    <w:unhideWhenUsed/>
    <w:qFormat/>
    <w:uiPriority w:val="99"/>
    <w:rPr>
      <w:color w:val="0000FF"/>
      <w:u w:val="none"/>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character" w:customStyle="1" w:styleId="18">
    <w:name w:val="标题 2 Char"/>
    <w:basedOn w:val="13"/>
    <w:link w:val="6"/>
    <w:qFormat/>
    <w:uiPriority w:val="0"/>
    <w:rPr>
      <w:rFonts w:ascii="黑体" w:hAnsi="Times New Roman" w:eastAsia="黑体" w:cs="Times New Roman"/>
      <w:sz w:val="30"/>
      <w:szCs w:val="20"/>
    </w:rPr>
  </w:style>
  <w:style w:type="paragraph" w:styleId="19">
    <w:name w:val="List Paragraph"/>
    <w:basedOn w:val="1"/>
    <w:qFormat/>
    <w:uiPriority w:val="34"/>
    <w:pPr>
      <w:ind w:firstLine="420" w:firstLineChars="200"/>
    </w:pPr>
  </w:style>
  <w:style w:type="character" w:customStyle="1" w:styleId="20">
    <w:name w:val="批注框文本 Char"/>
    <w:basedOn w:val="13"/>
    <w:link w:val="7"/>
    <w:semiHidden/>
    <w:qFormat/>
    <w:uiPriority w:val="99"/>
    <w:rPr>
      <w:sz w:val="18"/>
      <w:szCs w:val="18"/>
    </w:rPr>
  </w:style>
  <w:style w:type="character" w:customStyle="1" w:styleId="21">
    <w:name w:val="标题 3 Char1"/>
    <w:qFormat/>
    <w:uiPriority w:val="0"/>
    <w:rPr>
      <w:rFonts w:hint="default" w:ascii="Times New Roman" w:hAnsi="Times New Roman" w:cs="Times New Roman"/>
      <w:b/>
      <w:bCs/>
      <w:kern w:val="2"/>
      <w:sz w:val="32"/>
      <w:szCs w:val="32"/>
    </w:rPr>
  </w:style>
  <w:style w:type="character" w:customStyle="1" w:styleId="22">
    <w:name w:val="l-btn-empty"/>
    <w:basedOn w:val="13"/>
    <w:qFormat/>
    <w:uiPriority w:val="0"/>
  </w:style>
  <w:style w:type="character" w:customStyle="1" w:styleId="23">
    <w:name w:val="zip"/>
    <w:basedOn w:val="13"/>
    <w:qFormat/>
    <w:uiPriority w:val="0"/>
  </w:style>
  <w:style w:type="character" w:customStyle="1" w:styleId="24">
    <w:name w:val="xlsx"/>
    <w:basedOn w:val="13"/>
    <w:qFormat/>
    <w:uiPriority w:val="0"/>
  </w:style>
  <w:style w:type="character" w:customStyle="1" w:styleId="25">
    <w:name w:val="ppt"/>
    <w:basedOn w:val="13"/>
    <w:qFormat/>
    <w:uiPriority w:val="0"/>
  </w:style>
  <w:style w:type="character" w:customStyle="1" w:styleId="26">
    <w:name w:val="l-btn-left"/>
    <w:basedOn w:val="13"/>
    <w:qFormat/>
    <w:uiPriority w:val="0"/>
  </w:style>
  <w:style w:type="character" w:customStyle="1" w:styleId="27">
    <w:name w:val="l-btn-left1"/>
    <w:basedOn w:val="13"/>
    <w:qFormat/>
    <w:uiPriority w:val="0"/>
  </w:style>
  <w:style w:type="character" w:customStyle="1" w:styleId="28">
    <w:name w:val="l-btn-left2"/>
    <w:basedOn w:val="13"/>
    <w:qFormat/>
    <w:uiPriority w:val="0"/>
  </w:style>
  <w:style w:type="character" w:customStyle="1" w:styleId="29">
    <w:name w:val="l-btn-left3"/>
    <w:basedOn w:val="13"/>
    <w:qFormat/>
    <w:uiPriority w:val="0"/>
  </w:style>
  <w:style w:type="character" w:customStyle="1" w:styleId="30">
    <w:name w:val="psd"/>
    <w:basedOn w:val="13"/>
    <w:qFormat/>
    <w:uiPriority w:val="0"/>
  </w:style>
  <w:style w:type="character" w:customStyle="1" w:styleId="31">
    <w:name w:val="l-btn-text"/>
    <w:basedOn w:val="13"/>
    <w:qFormat/>
    <w:uiPriority w:val="0"/>
    <w:rPr>
      <w:vertAlign w:val="baseline"/>
    </w:rPr>
  </w:style>
  <w:style w:type="character" w:customStyle="1" w:styleId="32">
    <w:name w:val="l-btn-icon-left"/>
    <w:basedOn w:val="13"/>
    <w:qFormat/>
    <w:uiPriority w:val="0"/>
  </w:style>
  <w:style w:type="character" w:customStyle="1" w:styleId="33">
    <w:name w:val="l-btn-icon-right"/>
    <w:basedOn w:val="13"/>
    <w:qFormat/>
    <w:uiPriority w:val="0"/>
  </w:style>
  <w:style w:type="character" w:customStyle="1" w:styleId="34">
    <w:name w:val="xml"/>
    <w:basedOn w:val="13"/>
    <w:qFormat/>
    <w:uiPriority w:val="0"/>
  </w:style>
  <w:style w:type="character" w:customStyle="1" w:styleId="35">
    <w:name w:val="progress_bar_span"/>
    <w:basedOn w:val="13"/>
    <w:qFormat/>
    <w:uiPriority w:val="0"/>
  </w:style>
  <w:style w:type="character" w:customStyle="1" w:styleId="36">
    <w:name w:val="bmp"/>
    <w:basedOn w:val="13"/>
    <w:qFormat/>
    <w:uiPriority w:val="0"/>
  </w:style>
  <w:style w:type="character" w:customStyle="1" w:styleId="37">
    <w:name w:val="xls"/>
    <w:basedOn w:val="13"/>
    <w:qFormat/>
    <w:uiPriority w:val="0"/>
  </w:style>
  <w:style w:type="character" w:customStyle="1" w:styleId="38">
    <w:name w:val="doc"/>
    <w:basedOn w:val="13"/>
    <w:qFormat/>
    <w:uiPriority w:val="0"/>
  </w:style>
  <w:style w:type="character" w:customStyle="1" w:styleId="39">
    <w:name w:val="docx"/>
    <w:basedOn w:val="13"/>
    <w:qFormat/>
    <w:uiPriority w:val="0"/>
  </w:style>
  <w:style w:type="character" w:customStyle="1" w:styleId="40">
    <w:name w:val="gif"/>
    <w:basedOn w:val="13"/>
    <w:qFormat/>
    <w:uiPriority w:val="0"/>
  </w:style>
  <w:style w:type="character" w:customStyle="1" w:styleId="41">
    <w:name w:val="jpg"/>
    <w:basedOn w:val="13"/>
    <w:qFormat/>
    <w:uiPriority w:val="0"/>
  </w:style>
  <w:style w:type="character" w:customStyle="1" w:styleId="42">
    <w:name w:val="png"/>
    <w:basedOn w:val="13"/>
    <w:qFormat/>
    <w:uiPriority w:val="0"/>
  </w:style>
  <w:style w:type="character" w:customStyle="1" w:styleId="43">
    <w:name w:val="tif"/>
    <w:basedOn w:val="13"/>
    <w:qFormat/>
    <w:uiPriority w:val="0"/>
  </w:style>
  <w:style w:type="character" w:customStyle="1" w:styleId="44">
    <w:name w:val="html"/>
    <w:basedOn w:val="13"/>
    <w:qFormat/>
    <w:uiPriority w:val="0"/>
  </w:style>
  <w:style w:type="character" w:customStyle="1" w:styleId="45">
    <w:name w:val="htm"/>
    <w:basedOn w:val="13"/>
    <w:qFormat/>
    <w:uiPriority w:val="0"/>
  </w:style>
  <w:style w:type="character" w:customStyle="1" w:styleId="46">
    <w:name w:val="jar"/>
    <w:basedOn w:val="13"/>
    <w:qFormat/>
    <w:uiPriority w:val="0"/>
  </w:style>
  <w:style w:type="character" w:customStyle="1" w:styleId="47">
    <w:name w:val="pptx"/>
    <w:basedOn w:val="13"/>
    <w:qFormat/>
    <w:uiPriority w:val="0"/>
  </w:style>
  <w:style w:type="character" w:customStyle="1" w:styleId="48">
    <w:name w:val="txt"/>
    <w:basedOn w:val="13"/>
    <w:qFormat/>
    <w:uiPriority w:val="0"/>
  </w:style>
  <w:style w:type="character" w:customStyle="1" w:styleId="49">
    <w:name w:val="sql"/>
    <w:basedOn w:val="13"/>
    <w:qFormat/>
    <w:uiPriority w:val="0"/>
  </w:style>
  <w:style w:type="character" w:customStyle="1" w:styleId="50">
    <w:name w:val="js"/>
    <w:basedOn w:val="13"/>
    <w:qFormat/>
    <w:uiPriority w:val="0"/>
  </w:style>
  <w:style w:type="character" w:customStyle="1" w:styleId="51">
    <w:name w:val="css"/>
    <w:basedOn w:val="13"/>
    <w:qFormat/>
    <w:uiPriority w:val="0"/>
  </w:style>
  <w:style w:type="character" w:customStyle="1" w:styleId="52">
    <w:name w:val="rar"/>
    <w:basedOn w:val="1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2</Pages>
  <Words>164</Words>
  <Characters>937</Characters>
  <Lines>7</Lines>
  <Paragraphs>2</Paragraphs>
  <TotalTime>10</TotalTime>
  <ScaleCrop>false</ScaleCrop>
  <LinksUpToDate>false</LinksUpToDate>
  <CharactersWithSpaces>1099</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2019-04-03T18:32:00Z</dcterms:created>
  <dc:creator>Windows 用户</dc:creator>
  <cp:lastModifiedBy>longgang</cp:lastModifiedBy>
  <cp:lastPrinted>2026-01-24T09:56:00Z</cp:lastPrinted>
  <dcterms:modified xsi:type="dcterms:W3CDTF">2026-03-04T17:48:55Z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211BB9C6761B49CD93AC140997B28404</vt:lpwstr>
  </property>
</Properties>
</file>