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2"/>
          <w:szCs w:val="32"/>
          <w:vertAlign w:val="baseline"/>
          <w:lang w:val="en-US" w:eastAsia="zh-CN"/>
        </w:rPr>
      </w:pPr>
      <w:r>
        <w:rPr>
          <w:rFonts w:hint="eastAsia" w:ascii="方正小标宋简体" w:hAnsi="方正小标宋简体" w:eastAsia="方正小标宋简体" w:cs="方正小标宋简体"/>
          <w:color w:val="auto"/>
          <w:sz w:val="32"/>
          <w:szCs w:val="32"/>
          <w:vertAlign w:val="baseline"/>
          <w:lang w:val="en-US" w:eastAsia="zh-CN"/>
        </w:rPr>
        <w:t>深圳市规划和自然资源局6个领域负面清单</w:t>
      </w:r>
    </w:p>
    <w:p>
      <w:pPr>
        <w:jc w:val="center"/>
        <w:rPr>
          <w:rFonts w:hint="eastAsia" w:ascii="方正小标宋简体" w:hAnsi="方正小标宋简体" w:eastAsia="方正小标宋简体" w:cs="方正小标宋简体"/>
          <w:color w:val="auto"/>
          <w:sz w:val="32"/>
          <w:szCs w:val="32"/>
          <w:vertAlign w:val="baseli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228"/>
        <w:gridCol w:w="1873"/>
        <w:gridCol w:w="6626"/>
        <w:gridCol w:w="8685"/>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序号</w:t>
            </w:r>
          </w:p>
        </w:tc>
        <w:tc>
          <w:tcPr>
            <w:tcW w:w="1228" w:type="dxa"/>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类别</w:t>
            </w:r>
          </w:p>
        </w:tc>
        <w:tc>
          <w:tcPr>
            <w:tcW w:w="1873" w:type="dxa"/>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禁止事项</w:t>
            </w:r>
          </w:p>
        </w:tc>
        <w:tc>
          <w:tcPr>
            <w:tcW w:w="0" w:type="auto"/>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具体描述</w:t>
            </w:r>
          </w:p>
        </w:tc>
        <w:tc>
          <w:tcPr>
            <w:tcW w:w="0" w:type="auto"/>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依据及后果</w:t>
            </w:r>
          </w:p>
        </w:tc>
        <w:tc>
          <w:tcPr>
            <w:tcW w:w="0" w:type="auto"/>
            <w:vAlign w:val="center"/>
          </w:tcPr>
          <w:p>
            <w:pPr>
              <w:jc w:val="center"/>
              <w:rPr>
                <w:rFonts w:hint="eastAsia" w:ascii="黑体" w:hAnsi="黑体" w:eastAsia="黑体" w:cs="黑体"/>
                <w:b/>
                <w:bCs/>
                <w:color w:val="auto"/>
                <w:sz w:val="28"/>
                <w:szCs w:val="28"/>
                <w:vertAlign w:val="baseline"/>
                <w:lang w:val="en-US" w:eastAsia="zh-CN"/>
              </w:rPr>
            </w:pPr>
            <w:r>
              <w:rPr>
                <w:rFonts w:hint="eastAsia" w:ascii="黑体" w:hAnsi="黑体" w:eastAsia="黑体" w:cs="黑体"/>
                <w:b/>
                <w:bCs/>
                <w:color w:val="auto"/>
                <w:sz w:val="28"/>
                <w:szCs w:val="28"/>
                <w:vertAlign w:val="baseline"/>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土地供应管理领域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以招拍挂方式出让国有建设用地</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以招拍挂方式出让的用地违规设置影响公平竞争的限制性条件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以招拍挂方式出让的用地违规设置影响公平竞争的限制性条件，排斥其他市场主体参与土地招拍挂出让活动</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（一）《招标拍卖挂牌出让国有建设用地使用权规定》第十一条，出让人在招标拍卖挂牌出让公告中不得设定影响公平、公正竞争的限制条件。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（二）《广东省国有建设用地使用权交易市场管理规定》（广东省人民政府令第304号）第二十三条　县级以上人民政府及其自然资源主管部门的工作人员在国有建设用地使用权交易市场管理工作中，玩忽职守、滥用职权、徇私舞弊，依法给予处分；构成犯罪的，依法追究刑事责任。</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0" w:type="auto"/>
            <w:gridSpan w:val="6"/>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规划审批管理领域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规划管理类</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违反上位规划强制性内容</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编制或审批的详细规划内容与国土空间总体规划确定的永久基本农田、生态保护红线、城镇开发边界以及各类强制性指标相冲突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依据《城乡规划法》，由上级人民政府责令改正，通报批评；对有关人民政府负责人和其他直接责任人员依法给予处分。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规划管理类</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公众参与程序缺失</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规划草案未依法进行公示（公示期通常不少于30日）</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依据《城乡规划法》，由上级人民政府责令改正，通报批评；对有关人民政府负责人和其他直接责任人员依法给予处分。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0" w:type="auto"/>
            <w:gridSpan w:val="6"/>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建筑设计审批领域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4</w:t>
            </w:r>
          </w:p>
        </w:tc>
        <w:tc>
          <w:tcPr>
            <w:tcW w:w="12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项目建设类</w:t>
            </w:r>
          </w:p>
        </w:tc>
        <w:tc>
          <w:tcPr>
            <w:tcW w:w="18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违规核发建设工程规划许可</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存在不符合城市规划要求仍核发建设工程规划许可</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依据《深圳市城市规划条例》，下列情况不予核发建设工程规划许可证：不符合城市规划要求的。</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土地监察执法领域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5"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干部履职类</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乱处罚、乱检查、乱查封、不依法履职等问题</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（一）乱处罚。超出法定权限或范围进行处罚；未规范执行裁量权基准，随意进行顶格处罚，类案不同罚、过罚不相当、畸轻畸重等情形。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（二）乱检查。实施检查主体不适格；超越法定职责开展检查；随意检查，检查程序不合法等情形。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（三）乱查封。滥用行政强制措施，超权限、超范围、超额度、超时限查封涉案财产等情形。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（四）不依法履职。发现规划违法行为或者土地违法行为不制止、对规划违法行为或者土地违法行为不依法处理的情形；办关系案、人情案、金钱案等以权谋私、权力寻租的问题等情形。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依据《深圳经济特区规划土地监察条例》第60条：“监察人员有下列情形之一的，其所在单位、上级行政机关或者监察机关应当责令改正，并依法给予处分：（一）接到规划违法行为或者土地违法行为投诉、举报后不按照规定受理、登记的；（二）在责任地段内不履行日常巡查职责，未能及时发现规划违法行为或者土地违法行为，情节严重的；（三）发现规划违法行为或者土地违法行为不制止、不报告，情节严重的；（四）对规划违法行为或者土地违法行为不依法处理，情节严重的；（五）其他不依法履行职责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0" w:type="auto"/>
            <w:gridSpan w:val="6"/>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土地整备管理领域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8"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资金监管</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未按规范使用土地整备资金</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（一）未纳入土地整备计划的项目使用土地整备资金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（二）超范围使用土地整备资金</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（一）《深圳市人民政府关于进一步优化土地整备项目管理工作机制的若干措施》（深府办函〔2018〕281号），四、土地整备资金依法依规管理，按计划执行，专款专用、专户储存、专账核算。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市规划和自然资源局关于进一步规范土地整备资金使用的通知》（深规划资源〔2022〕149号），对于土地整备项目范围内用地因土壤污染调查、检测、治理和管线改迁等产生的费用，应按照土壤污染防治、工程管理的相关规定执行，不得从土地整备资金列支；办理林地使用手续、耕地占用税完税手续等产生的费用，应按相关规定执行，不得从土地整备资金列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w:t>
            </w:r>
            <w:bookmarkStart w:id="0" w:name="_GoBack"/>
            <w:bookmarkEnd w:id="0"/>
            <w:r>
              <w:rPr>
                <w:rFonts w:hint="eastAsia" w:ascii="仿宋_GB2312" w:hAnsi="仿宋_GB2312" w:eastAsia="仿宋_GB2312" w:cs="仿宋_GB2312"/>
                <w:color w:val="auto"/>
                <w:sz w:val="28"/>
                <w:szCs w:val="28"/>
                <w:vertAlign w:val="baseline"/>
                <w:lang w:val="en-US" w:eastAsia="zh-CN"/>
              </w:rPr>
              <w:t>）</w:t>
            </w:r>
            <w:r>
              <w:rPr>
                <w:rFonts w:hint="eastAsia" w:ascii="仿宋_GB2312" w:hAnsi="仿宋_GB2312" w:eastAsia="仿宋_GB2312" w:cs="仿宋_GB2312"/>
                <w:color w:val="auto"/>
                <w:sz w:val="28"/>
                <w:szCs w:val="28"/>
                <w:vertAlign w:val="baseline"/>
                <w:lang w:eastAsia="zh-CN"/>
              </w:rPr>
              <w:t>目前我局正在起草《关于进一步加强土地整备资金监管工作的通知》，后续依据该文件执行土地整备资金监管。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资金监管</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侵占、挪用土地整备资金</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占用、克扣、截留、挪用、私分有关安置补偿费用</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《深圳市土地征用与收回条例》第四十八条 占用、克扣、截留、挪用、私分有关安置补偿费用，主管部门或者派出机构应该责令退赔；并由其所在单位对有关当事人依法给予处分或者由监察机关对有关当事人依法给予政务处分。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vAlign w:val="center"/>
          </w:tcPr>
          <w:p>
            <w:pPr>
              <w:jc w:val="center"/>
              <w:rPr>
                <w:rFonts w:hint="eastAsia"/>
                <w:b/>
                <w:bCs/>
                <w:color w:val="auto"/>
                <w:vertAlign w:val="baseline"/>
                <w:lang w:val="en-US" w:eastAsia="zh-CN"/>
              </w:rPr>
            </w:pPr>
            <w:r>
              <w:rPr>
                <w:rFonts w:hint="eastAsia" w:ascii="楷体_GB2312" w:hAnsi="楷体_GB2312" w:eastAsia="楷体_GB2312" w:cs="楷体_GB2312"/>
                <w:b/>
                <w:bCs/>
                <w:color w:val="auto"/>
                <w:sz w:val="28"/>
                <w:szCs w:val="28"/>
                <w:vertAlign w:val="baseline"/>
                <w:lang w:val="en-US" w:eastAsia="zh-CN"/>
              </w:rPr>
              <w:t>政府采购管理领域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政府采购招标类</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违规采购</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（一）应当采用公开招标方式而擅自采用其他方式采购的；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（二）擅自提高采购标准的；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（三）以不合理的条件对供应商实行差别待遇或者歧视待遇的；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（四）在招标采购过程中与投标人进行协商谈判的；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（五）中标、成交通知书发出后不与中标、成交供应商签订采购合同的；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（六）拒绝有关部门依法实施监督检查的。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华人民共和国政府采购法》第七十一条：采购人、采购代理机构有下列情形之一的，责令限期改正，给予警告，可以并处罚款，对直接负责的主管人员和其他直接责任人员，由其行政主管部门或者有关机关给予处分，并予通报。</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9</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政府采购招标类</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违法采购行为</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（一）与供应商或者采购代理机构恶意串通的；</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（二）在采购过程中接受贿赂或者获取其他不正当利益的；</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（三）在有关部门依法实施的监督检查中提供虚假情况的；</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（四）开标前泄露标底的。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10</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政府采购招标类</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规避集中采购</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（一）应当实行集中采购的政府采购项目，不委托集中采购机构实行集中采购</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（二）未依法公布政府采购项目的采购标准和采购结果</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《中华人民共和国政府采购法》第七十四条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《中华人民共和国政府采购法》第七十五条　采购人未依法公布政府采购项目的采购标准和采购结果的，责令改正，对直接负责的主管人员依法给予处分。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11</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 w:eastAsia="zh-CN"/>
              </w:rPr>
              <w:t>政府购买服务</w:t>
            </w:r>
          </w:p>
        </w:tc>
        <w:tc>
          <w:tcPr>
            <w:tcW w:w="18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 w:eastAsia="zh-CN"/>
              </w:rPr>
              <w:t>政府购买服务负面清单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见《深圳市财政局关于印发</w:t>
            </w:r>
            <w:r>
              <w:rPr>
                <w:rFonts w:hint="eastAsia" w:ascii="仿宋_GB2312" w:hAnsi="仿宋_GB2312" w:eastAsia="仿宋_GB2312" w:cs="仿宋_GB2312"/>
                <w:color w:val="auto"/>
                <w:sz w:val="28"/>
                <w:szCs w:val="28"/>
                <w:vertAlign w:val="baseline"/>
                <w:lang w:val="en" w:eastAsia="zh-CN"/>
              </w:rPr>
              <w:t>&lt;</w:t>
            </w:r>
            <w:r>
              <w:rPr>
                <w:rFonts w:hint="eastAsia" w:ascii="仿宋_GB2312" w:hAnsi="仿宋_GB2312" w:eastAsia="仿宋_GB2312" w:cs="仿宋_GB2312"/>
                <w:color w:val="auto"/>
                <w:sz w:val="28"/>
                <w:szCs w:val="28"/>
                <w:vertAlign w:val="baseline"/>
                <w:lang w:val="en-US" w:eastAsia="zh-CN"/>
              </w:rPr>
              <w:t>深圳市政府购买服务负面清单</w:t>
            </w:r>
            <w:r>
              <w:rPr>
                <w:rFonts w:hint="eastAsia" w:ascii="仿宋_GB2312" w:hAnsi="仿宋_GB2312" w:eastAsia="仿宋_GB2312" w:cs="仿宋_GB2312"/>
                <w:color w:val="auto"/>
                <w:sz w:val="28"/>
                <w:szCs w:val="28"/>
                <w:vertAlign w:val="baseline"/>
                <w:lang w:val="en" w:eastAsia="zh-CN"/>
              </w:rPr>
              <w:t>&gt;</w:t>
            </w:r>
            <w:r>
              <w:rPr>
                <w:rFonts w:hint="eastAsia" w:ascii="仿宋_GB2312" w:hAnsi="仿宋_GB2312" w:eastAsia="仿宋_GB2312" w:cs="仿宋_GB2312"/>
                <w:color w:val="auto"/>
                <w:sz w:val="28"/>
                <w:szCs w:val="28"/>
                <w:vertAlign w:val="baseline"/>
                <w:lang w:val="en-US" w:eastAsia="zh-CN"/>
              </w:rPr>
              <w:t>的通知》（深财行〔2023〕40号）全文要求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《政府购买服务管理办法》（财政部令第102号）第三十一条 购买主体、承接主体及其他政府购买服务参与方在政府购买服务活动中,存在违反政府采购法律法规行为的,依照政府采购法律法规予以处理处罚;存在截留、挪用和滞留资金等财政违法行为的,依照《中华人民共和国预算法》《财政违法行为处罚处分条例》等法律法规追究法律责任;涉嫌犯罪的,移送司法机关处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《政府购买服务管理办法》（财政部令第102号）第三十二条 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纪检监督电话：0755-83788585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信访电话：0755-23965593</w:t>
            </w:r>
          </w:p>
        </w:tc>
      </w:tr>
    </w:tbl>
    <w:p>
      <w:pPr>
        <w:rPr>
          <w:rFonts w:hint="eastAsia" w:eastAsiaTheme="minorEastAsia"/>
          <w:color w:val="auto"/>
          <w:vertAlign w:val="baseline"/>
          <w:lang w:val="en-US" w:eastAsia="zh-CN"/>
        </w:rPr>
      </w:pPr>
    </w:p>
    <w:sectPr>
      <w:pgSz w:w="23811" w:h="16838"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10928"/>
    <w:rsid w:val="02F049F7"/>
    <w:rsid w:val="095B1BDC"/>
    <w:rsid w:val="0FFE309A"/>
    <w:rsid w:val="166D135D"/>
    <w:rsid w:val="1B0B13D3"/>
    <w:rsid w:val="1BFB6777"/>
    <w:rsid w:val="1D753F7F"/>
    <w:rsid w:val="205F2F58"/>
    <w:rsid w:val="27FB91F6"/>
    <w:rsid w:val="29EB9622"/>
    <w:rsid w:val="2BCA290B"/>
    <w:rsid w:val="2BFE99A1"/>
    <w:rsid w:val="2FF31C6D"/>
    <w:rsid w:val="33BE3D71"/>
    <w:rsid w:val="3B9E32E5"/>
    <w:rsid w:val="3CDF7440"/>
    <w:rsid w:val="3CF9DE41"/>
    <w:rsid w:val="3CFC6D98"/>
    <w:rsid w:val="3F6E0387"/>
    <w:rsid w:val="3FFEE7B3"/>
    <w:rsid w:val="45663A8B"/>
    <w:rsid w:val="47FF0783"/>
    <w:rsid w:val="4B7D6530"/>
    <w:rsid w:val="4EFF660F"/>
    <w:rsid w:val="56D60E5F"/>
    <w:rsid w:val="575D9871"/>
    <w:rsid w:val="5ADD1A25"/>
    <w:rsid w:val="5B6F4306"/>
    <w:rsid w:val="5B7E63DF"/>
    <w:rsid w:val="5B7F2BD2"/>
    <w:rsid w:val="5DE85CA1"/>
    <w:rsid w:val="5E9F3A55"/>
    <w:rsid w:val="5EFB0C9B"/>
    <w:rsid w:val="60BA7F29"/>
    <w:rsid w:val="60BCB47C"/>
    <w:rsid w:val="61210928"/>
    <w:rsid w:val="62BBC7B9"/>
    <w:rsid w:val="66091BEB"/>
    <w:rsid w:val="66F745FE"/>
    <w:rsid w:val="6E151DE1"/>
    <w:rsid w:val="6FFBDC8C"/>
    <w:rsid w:val="6FFC5C98"/>
    <w:rsid w:val="73DE8708"/>
    <w:rsid w:val="757F44D1"/>
    <w:rsid w:val="76EEB11F"/>
    <w:rsid w:val="76FDA284"/>
    <w:rsid w:val="771D14F9"/>
    <w:rsid w:val="772A37A8"/>
    <w:rsid w:val="77676006"/>
    <w:rsid w:val="77E125A3"/>
    <w:rsid w:val="77FA25CA"/>
    <w:rsid w:val="79F755E5"/>
    <w:rsid w:val="7A1F7224"/>
    <w:rsid w:val="7AEFD37B"/>
    <w:rsid w:val="7B1FA7A8"/>
    <w:rsid w:val="7BFEF399"/>
    <w:rsid w:val="7C9F7096"/>
    <w:rsid w:val="7CAF3517"/>
    <w:rsid w:val="7CEF7721"/>
    <w:rsid w:val="7D77AA77"/>
    <w:rsid w:val="7DBE65A6"/>
    <w:rsid w:val="7DFDE868"/>
    <w:rsid w:val="7DFEBAD9"/>
    <w:rsid w:val="7E495541"/>
    <w:rsid w:val="7E775972"/>
    <w:rsid w:val="7EBD6C14"/>
    <w:rsid w:val="7F3B06D3"/>
    <w:rsid w:val="7F3F42F2"/>
    <w:rsid w:val="7F67B6CE"/>
    <w:rsid w:val="7FA71A6F"/>
    <w:rsid w:val="7FB81682"/>
    <w:rsid w:val="7FB996DF"/>
    <w:rsid w:val="7FCF97F2"/>
    <w:rsid w:val="7FD931AE"/>
    <w:rsid w:val="7FDDF869"/>
    <w:rsid w:val="7FEF803B"/>
    <w:rsid w:val="87796F05"/>
    <w:rsid w:val="8DBB5C42"/>
    <w:rsid w:val="93BF033F"/>
    <w:rsid w:val="A76E3E2C"/>
    <w:rsid w:val="AF2D571E"/>
    <w:rsid w:val="B3DEFBDF"/>
    <w:rsid w:val="B53F5FE5"/>
    <w:rsid w:val="B7CEF348"/>
    <w:rsid w:val="BAFF89A8"/>
    <w:rsid w:val="BBDF616A"/>
    <w:rsid w:val="BFB68EEE"/>
    <w:rsid w:val="C3F5D2DF"/>
    <w:rsid w:val="CB67908C"/>
    <w:rsid w:val="CD9BCD07"/>
    <w:rsid w:val="CEFAA9AD"/>
    <w:rsid w:val="D4F777CA"/>
    <w:rsid w:val="D7DFF225"/>
    <w:rsid w:val="D7FF2572"/>
    <w:rsid w:val="DBFF9643"/>
    <w:rsid w:val="DC772C6A"/>
    <w:rsid w:val="DDFF7803"/>
    <w:rsid w:val="DF178647"/>
    <w:rsid w:val="DF9F75BD"/>
    <w:rsid w:val="DFFBF5DB"/>
    <w:rsid w:val="DFFED99E"/>
    <w:rsid w:val="E763E3E9"/>
    <w:rsid w:val="E77F0312"/>
    <w:rsid w:val="EA9F4D45"/>
    <w:rsid w:val="EABBD695"/>
    <w:rsid w:val="ED3F9083"/>
    <w:rsid w:val="ED7F41FB"/>
    <w:rsid w:val="EE7F68DF"/>
    <w:rsid w:val="EEFA5A4D"/>
    <w:rsid w:val="EF374484"/>
    <w:rsid w:val="EFDDBE18"/>
    <w:rsid w:val="EFDF9A02"/>
    <w:rsid w:val="EFFF473C"/>
    <w:rsid w:val="F29C1377"/>
    <w:rsid w:val="F75F0F03"/>
    <w:rsid w:val="F75FA403"/>
    <w:rsid w:val="F77F0CE4"/>
    <w:rsid w:val="F7F7E639"/>
    <w:rsid w:val="F7FFBFC6"/>
    <w:rsid w:val="F9FF339B"/>
    <w:rsid w:val="FB702E19"/>
    <w:rsid w:val="FBFBFF63"/>
    <w:rsid w:val="FBFF0420"/>
    <w:rsid w:val="FDFB896E"/>
    <w:rsid w:val="FE4F9D89"/>
    <w:rsid w:val="FEBB73A1"/>
    <w:rsid w:val="FEDFB9D0"/>
    <w:rsid w:val="FFDBB0C0"/>
    <w:rsid w:val="FFDD5D6C"/>
    <w:rsid w:val="FFDFBAC1"/>
    <w:rsid w:val="FFE7F844"/>
    <w:rsid w:val="FFED42D7"/>
    <w:rsid w:val="FFEE4393"/>
    <w:rsid w:val="FFEF09E2"/>
    <w:rsid w:val="FFFE8939"/>
    <w:rsid w:val="FFFF8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32"/>
      <w:szCs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5479</Words>
  <Characters>6143</Characters>
  <Lines>0</Lines>
  <Paragraphs>0</Paragraphs>
  <TotalTime>0</TotalTime>
  <ScaleCrop>false</ScaleCrop>
  <LinksUpToDate>false</LinksUpToDate>
  <CharactersWithSpaces>6146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2025-10-22T00:34:00Z</dcterms:created>
  <dc:creator>张敏</dc:creator>
  <cp:lastModifiedBy>yangtf</cp:lastModifiedBy>
  <cp:lastPrinted>2026-01-24T02:01:00Z</cp:lastPrinted>
  <dcterms:modified xsi:type="dcterms:W3CDTF">2026-02-13T17:23:23Z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1581B228899244C59D82328A43BB282C_11</vt:lpwstr>
  </property>
  <property fmtid="{D5CDD505-2E9C-101B-9397-08002B2CF9AE}" pid="4" name="KSOTemplateDocerSaveRecord">
    <vt:lpwstr>eyJoZGlkIjoiMjI1ZmYwNWExZTQ2MTNmMzFhYmNhNTNmYjliNDE1ODEiLCJ1c2VySWQiOiIzMDQxNjMyODIifQ==</vt:lpwstr>
  </property>
</Properties>
</file>