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D5A13">
      <w:pPr>
        <w:shd w:val="clear"/>
        <w:jc w:val="center"/>
        <w:rPr>
          <w:rFonts w:ascii="黑体" w:hAnsi="黑体" w:eastAsia="黑体" w:cs="黑体"/>
          <w:b/>
          <w:color w:val="auto"/>
          <w:sz w:val="32"/>
          <w:szCs w:val="32"/>
          <w:highlight w:val="none"/>
        </w:rPr>
      </w:pPr>
      <w:r>
        <w:rPr>
          <w:rFonts w:hint="eastAsia" w:ascii="黑体" w:hAnsi="黑体" w:eastAsia="黑体" w:cs="黑体"/>
          <w:b/>
          <w:color w:val="auto"/>
          <w:sz w:val="44"/>
          <w:szCs w:val="44"/>
          <w:highlight w:val="none"/>
        </w:rPr>
        <w:t>服务类项目采购需求模板（通用）</w:t>
      </w:r>
    </w:p>
    <w:tbl>
      <w:tblPr>
        <w:tblStyle w:val="7"/>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709"/>
        <w:gridCol w:w="1701"/>
        <w:gridCol w:w="520"/>
        <w:gridCol w:w="330"/>
        <w:gridCol w:w="1036"/>
        <w:gridCol w:w="2225"/>
        <w:gridCol w:w="36"/>
      </w:tblGrid>
      <w:tr w14:paraId="2C68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14:paraId="7AC40845">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项目名称</w:t>
            </w:r>
          </w:p>
        </w:tc>
        <w:tc>
          <w:tcPr>
            <w:tcW w:w="7407" w:type="dxa"/>
            <w:gridSpan w:val="8"/>
            <w:vAlign w:val="center"/>
          </w:tcPr>
          <w:p w14:paraId="090A1842">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财务咨询服务</w:t>
            </w:r>
          </w:p>
        </w:tc>
      </w:tr>
      <w:tr w14:paraId="2A23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14:paraId="396AEACD">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采购人名称</w:t>
            </w:r>
          </w:p>
        </w:tc>
        <w:tc>
          <w:tcPr>
            <w:tcW w:w="3780" w:type="dxa"/>
            <w:gridSpan w:val="4"/>
            <w:vAlign w:val="center"/>
          </w:tcPr>
          <w:p w14:paraId="6360D323">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深圳市野生动植物保护管理处</w:t>
            </w:r>
          </w:p>
        </w:tc>
        <w:tc>
          <w:tcPr>
            <w:tcW w:w="1366" w:type="dxa"/>
            <w:gridSpan w:val="2"/>
            <w:vAlign w:val="center"/>
          </w:tcPr>
          <w:p w14:paraId="47AFF807">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采购方式</w:t>
            </w:r>
          </w:p>
        </w:tc>
        <w:tc>
          <w:tcPr>
            <w:tcW w:w="2261" w:type="dxa"/>
            <w:gridSpan w:val="2"/>
            <w:vAlign w:val="center"/>
          </w:tcPr>
          <w:p w14:paraId="045A0F13">
            <w:pPr>
              <w:shd w:val="clear"/>
              <w:jc w:val="left"/>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公开招标</w:t>
            </w:r>
          </w:p>
        </w:tc>
      </w:tr>
      <w:tr w14:paraId="3F54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14:paraId="09A5B464">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计划立项批文号</w:t>
            </w:r>
          </w:p>
        </w:tc>
        <w:tc>
          <w:tcPr>
            <w:tcW w:w="3780" w:type="dxa"/>
            <w:gridSpan w:val="4"/>
            <w:vAlign w:val="center"/>
          </w:tcPr>
          <w:p w14:paraId="3EDE9238">
            <w:pPr>
              <w:shd w:val="clear"/>
              <w:jc w:val="left"/>
              <w:rPr>
                <w:rFonts w:hint="eastAsia" w:ascii="仿宋_GB2312" w:hAnsi="仿宋_GB2312" w:eastAsia="仿宋_GB2312" w:cs="仿宋_GB2312"/>
                <w:color w:val="auto"/>
                <w:szCs w:val="21"/>
                <w:highlight w:val="none"/>
              </w:rPr>
            </w:pPr>
          </w:p>
        </w:tc>
        <w:tc>
          <w:tcPr>
            <w:tcW w:w="1366" w:type="dxa"/>
            <w:gridSpan w:val="2"/>
            <w:vAlign w:val="center"/>
          </w:tcPr>
          <w:p w14:paraId="01412B59">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资金来源</w:t>
            </w:r>
          </w:p>
        </w:tc>
        <w:tc>
          <w:tcPr>
            <w:tcW w:w="2261" w:type="dxa"/>
            <w:gridSpan w:val="2"/>
            <w:vAlign w:val="center"/>
          </w:tcPr>
          <w:p w14:paraId="58F71CC4">
            <w:pPr>
              <w:shd w:val="clear"/>
              <w:jc w:val="left"/>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部门预算</w:t>
            </w:r>
          </w:p>
        </w:tc>
      </w:tr>
      <w:tr w14:paraId="76E1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14:paraId="0DBF7A60">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财政预算限额（元）</w:t>
            </w:r>
          </w:p>
        </w:tc>
        <w:tc>
          <w:tcPr>
            <w:tcW w:w="3780" w:type="dxa"/>
            <w:gridSpan w:val="4"/>
            <w:vAlign w:val="center"/>
          </w:tcPr>
          <w:p w14:paraId="7B53EA93">
            <w:pPr>
              <w:shd w:val="clear"/>
              <w:jc w:val="left"/>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187000</w:t>
            </w:r>
          </w:p>
        </w:tc>
        <w:tc>
          <w:tcPr>
            <w:tcW w:w="1366" w:type="dxa"/>
            <w:gridSpan w:val="2"/>
            <w:vAlign w:val="center"/>
          </w:tcPr>
          <w:p w14:paraId="5FBD62A4">
            <w:pPr>
              <w:shd w:val="clear"/>
              <w:jc w:val="left"/>
              <w:rPr>
                <w:rFonts w:hint="eastAsia" w:ascii="仿宋_GB2312" w:hAnsi="仿宋_GB2312" w:eastAsia="仿宋_GB2312" w:cs="仿宋_GB2312"/>
                <w:color w:val="auto"/>
                <w:szCs w:val="21"/>
                <w:highlight w:val="none"/>
              </w:rPr>
            </w:pPr>
          </w:p>
        </w:tc>
        <w:tc>
          <w:tcPr>
            <w:tcW w:w="2261" w:type="dxa"/>
            <w:gridSpan w:val="2"/>
            <w:vAlign w:val="center"/>
          </w:tcPr>
          <w:p w14:paraId="2EF12A99">
            <w:pPr>
              <w:shd w:val="clear"/>
              <w:jc w:val="left"/>
              <w:rPr>
                <w:rFonts w:hint="eastAsia" w:ascii="仿宋_GB2312" w:hAnsi="仿宋_GB2312" w:eastAsia="仿宋_GB2312" w:cs="仿宋_GB2312"/>
                <w:color w:val="auto"/>
                <w:szCs w:val="21"/>
                <w:highlight w:val="none"/>
              </w:rPr>
            </w:pPr>
          </w:p>
        </w:tc>
      </w:tr>
      <w:tr w14:paraId="4651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14:paraId="7F01FB80">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项目背景</w:t>
            </w:r>
          </w:p>
        </w:tc>
        <w:tc>
          <w:tcPr>
            <w:tcW w:w="7407" w:type="dxa"/>
            <w:gridSpan w:val="8"/>
            <w:vAlign w:val="center"/>
          </w:tcPr>
          <w:p w14:paraId="71868FF2">
            <w:pPr>
              <w:pStyle w:val="9"/>
              <w:keepNext w:val="0"/>
              <w:keepLines w:val="0"/>
              <w:pageBreakBefore w:val="0"/>
              <w:widowControl w:val="0"/>
              <w:kinsoku/>
              <w:wordWrap/>
              <w:overflowPunct/>
              <w:topLinePunct w:val="0"/>
              <w:autoSpaceDE/>
              <w:autoSpaceDN/>
              <w:bidi w:val="0"/>
              <w:adjustRightInd w:val="0"/>
              <w:snapToGrid/>
              <w:spacing w:line="560" w:lineRule="exact"/>
              <w:ind w:firstLine="480"/>
              <w:textAlignment w:val="auto"/>
              <w:rPr>
                <w:rFonts w:hint="eastAsia" w:ascii="仿宋_GB2312" w:hAnsi="仿宋_GB2312" w:eastAsia="仿宋_GB2312" w:cs="仿宋_GB2312"/>
                <w:color w:val="auto"/>
                <w:szCs w:val="21"/>
                <w:highlight w:val="none"/>
              </w:rPr>
            </w:pPr>
            <w:r>
              <w:rPr>
                <w:rFonts w:hint="default" w:ascii="宋体" w:eastAsia="宋体"/>
                <w:lang w:val="en-US" w:eastAsia="zh-CN"/>
              </w:rPr>
              <w:t>根据《中华人民共和国预算法》</w:t>
            </w:r>
            <w:r>
              <w:rPr>
                <w:rFonts w:hint="eastAsia" w:ascii="宋体" w:eastAsia="宋体"/>
                <w:lang w:val="en-US" w:eastAsia="zh-CN"/>
              </w:rPr>
              <w:t xml:space="preserve"> 《中共中央 国务院关于全面实施预算绩效管理的意见》</w:t>
            </w:r>
            <w:r>
              <w:rPr>
                <w:rFonts w:hint="default" w:ascii="宋体" w:eastAsia="宋体"/>
                <w:lang w:val="en-US" w:eastAsia="zh-CN"/>
              </w:rPr>
              <w:t>（</w:t>
            </w:r>
            <w:r>
              <w:rPr>
                <w:rFonts w:hint="eastAsia" w:ascii="宋体" w:eastAsia="宋体"/>
                <w:lang w:val="en-US" w:eastAsia="zh-CN"/>
              </w:rPr>
              <w:t>中</w:t>
            </w:r>
            <w:r>
              <w:rPr>
                <w:rFonts w:hint="default" w:ascii="宋体" w:eastAsia="宋体"/>
                <w:lang w:val="en-US" w:eastAsia="zh-CN"/>
              </w:rPr>
              <w:t>发〔20</w:t>
            </w:r>
            <w:r>
              <w:rPr>
                <w:rFonts w:hint="eastAsia" w:ascii="宋体" w:eastAsia="宋体"/>
                <w:lang w:val="en-US" w:eastAsia="zh-CN"/>
              </w:rPr>
              <w:t>18</w:t>
            </w:r>
            <w:r>
              <w:rPr>
                <w:rFonts w:hint="default" w:ascii="宋体" w:eastAsia="宋体"/>
                <w:lang w:val="en-US" w:eastAsia="zh-CN"/>
              </w:rPr>
              <w:t>〕</w:t>
            </w:r>
            <w:r>
              <w:rPr>
                <w:rFonts w:hint="eastAsia" w:ascii="宋体" w:eastAsia="宋体"/>
                <w:lang w:val="en-US" w:eastAsia="zh-CN"/>
              </w:rPr>
              <w:t>34</w:t>
            </w:r>
            <w:r>
              <w:rPr>
                <w:rFonts w:hint="default" w:ascii="宋体" w:eastAsia="宋体"/>
                <w:lang w:val="en-US" w:eastAsia="zh-CN"/>
              </w:rPr>
              <w:t>号）</w:t>
            </w:r>
            <w:r>
              <w:rPr>
                <w:rFonts w:hint="eastAsia" w:ascii="宋体" w:eastAsia="宋体"/>
                <w:lang w:val="en-US" w:eastAsia="zh-CN"/>
              </w:rPr>
              <w:t xml:space="preserve"> </w:t>
            </w:r>
            <w:r>
              <w:rPr>
                <w:rFonts w:hint="default" w:ascii="宋体" w:eastAsia="宋体"/>
                <w:lang w:val="en-US" w:eastAsia="zh-CN"/>
              </w:rPr>
              <w:t>《财政部关于印发</w:t>
            </w:r>
            <w:r>
              <w:rPr>
                <w:rFonts w:hint="eastAsia" w:ascii="宋体" w:eastAsia="宋体"/>
                <w:lang w:val="en-US" w:eastAsia="zh-CN"/>
              </w:rPr>
              <w:t>&lt;</w:t>
            </w:r>
            <w:r>
              <w:rPr>
                <w:rFonts w:hint="default" w:ascii="宋体" w:eastAsia="宋体"/>
                <w:lang w:val="en-US" w:eastAsia="zh-CN"/>
              </w:rPr>
              <w:t>项目支出绩效评价管理办法</w:t>
            </w:r>
            <w:r>
              <w:rPr>
                <w:rFonts w:hint="eastAsia" w:ascii="宋体" w:eastAsia="宋体"/>
                <w:lang w:val="en-US" w:eastAsia="zh-CN"/>
              </w:rPr>
              <w:t>&gt;</w:t>
            </w:r>
            <w:r>
              <w:rPr>
                <w:rFonts w:hint="default" w:ascii="宋体" w:eastAsia="宋体"/>
                <w:lang w:val="en-US" w:eastAsia="zh-CN"/>
              </w:rPr>
              <w:t>的通知</w:t>
            </w:r>
            <w:r>
              <w:rPr>
                <w:rFonts w:hint="eastAsia" w:ascii="宋体" w:eastAsia="宋体"/>
                <w:lang w:val="en-US" w:eastAsia="zh-CN"/>
              </w:rPr>
              <w:t>》</w:t>
            </w:r>
            <w:r>
              <w:rPr>
                <w:rFonts w:hint="default" w:ascii="宋体" w:eastAsia="宋体"/>
                <w:lang w:val="en-US" w:eastAsia="zh-CN"/>
              </w:rPr>
              <w:t>（财预〔2020〕10号）</w:t>
            </w:r>
            <w:r>
              <w:rPr>
                <w:rFonts w:hint="eastAsia" w:ascii="宋体" w:eastAsia="宋体"/>
                <w:lang w:val="en-US" w:eastAsia="zh-CN"/>
              </w:rPr>
              <w:t xml:space="preserve"> </w:t>
            </w:r>
            <w:r>
              <w:rPr>
                <w:rFonts w:hint="default" w:ascii="宋体" w:eastAsia="宋体"/>
                <w:lang w:val="en-US" w:eastAsia="zh-CN"/>
              </w:rPr>
              <w:t>《国务院关于进一步深化预算管理制度改革的意见》（</w:t>
            </w:r>
            <w:r>
              <w:rPr>
                <w:rFonts w:hint="eastAsia" w:ascii="宋体" w:eastAsia="宋体"/>
                <w:lang w:val="en-US" w:eastAsia="zh-CN"/>
              </w:rPr>
              <w:t>国发</w:t>
            </w:r>
            <w:r>
              <w:rPr>
                <w:rFonts w:hint="default" w:ascii="宋体" w:eastAsia="宋体"/>
                <w:lang w:val="en-US" w:eastAsia="zh-CN"/>
              </w:rPr>
              <w:t>〔202</w:t>
            </w:r>
            <w:r>
              <w:rPr>
                <w:rFonts w:hint="eastAsia" w:ascii="宋体" w:eastAsia="宋体"/>
                <w:lang w:val="en-US" w:eastAsia="zh-CN"/>
              </w:rPr>
              <w:t>1</w:t>
            </w:r>
            <w:r>
              <w:rPr>
                <w:rFonts w:hint="default" w:ascii="宋体" w:eastAsia="宋体"/>
                <w:lang w:val="en-US" w:eastAsia="zh-CN"/>
              </w:rPr>
              <w:t>〕</w:t>
            </w:r>
            <w:r>
              <w:rPr>
                <w:rFonts w:hint="eastAsia" w:ascii="宋体" w:eastAsia="宋体"/>
                <w:lang w:val="en-US" w:eastAsia="zh-CN"/>
              </w:rPr>
              <w:t>5</w:t>
            </w:r>
            <w:r>
              <w:rPr>
                <w:rFonts w:hint="default" w:ascii="宋体" w:eastAsia="宋体"/>
                <w:lang w:val="en-US" w:eastAsia="zh-CN"/>
              </w:rPr>
              <w:t>号）和《深圳市财政局市本级预算绩效管理工作方案的通知》（</w:t>
            </w:r>
            <w:r>
              <w:rPr>
                <w:rFonts w:hint="eastAsia" w:ascii="宋体" w:eastAsia="宋体"/>
                <w:lang w:val="en-US" w:eastAsia="zh-CN"/>
              </w:rPr>
              <w:t>深财绩</w:t>
            </w:r>
            <w:r>
              <w:rPr>
                <w:rFonts w:hint="default" w:ascii="宋体" w:eastAsia="宋体"/>
                <w:lang w:val="en-US" w:eastAsia="zh-CN"/>
              </w:rPr>
              <w:t>〔202</w:t>
            </w:r>
            <w:r>
              <w:rPr>
                <w:rFonts w:hint="eastAsia" w:ascii="宋体" w:eastAsia="宋体"/>
                <w:lang w:val="en-US" w:eastAsia="zh-CN"/>
              </w:rPr>
              <w:t>2</w:t>
            </w:r>
            <w:r>
              <w:rPr>
                <w:rFonts w:hint="default" w:ascii="宋体" w:eastAsia="宋体"/>
                <w:lang w:val="en-US" w:eastAsia="zh-CN"/>
              </w:rPr>
              <w:t>〕</w:t>
            </w:r>
            <w:r>
              <w:rPr>
                <w:rFonts w:hint="eastAsia" w:ascii="宋体" w:eastAsia="宋体"/>
                <w:lang w:val="en-US" w:eastAsia="zh-CN"/>
              </w:rPr>
              <w:t>3</w:t>
            </w:r>
            <w:r>
              <w:rPr>
                <w:rFonts w:hint="default" w:ascii="宋体" w:eastAsia="宋体"/>
                <w:lang w:val="en-US" w:eastAsia="zh-CN"/>
              </w:rPr>
              <w:t>号）</w:t>
            </w:r>
            <w:r>
              <w:rPr>
                <w:rFonts w:hint="eastAsia" w:ascii="宋体" w:eastAsia="宋体"/>
                <w:lang w:val="en-US" w:eastAsia="zh-CN"/>
              </w:rPr>
              <w:t xml:space="preserve"> 《财政部关于全面推进行政事业单位内部控制建设的指导意见》（财会〔2015〕24号</w:t>
            </w:r>
            <w:r>
              <w:rPr>
                <w:rFonts w:hint="eastAsia" w:ascii="宋体"/>
                <w:lang w:val="en-US" w:eastAsia="zh-CN"/>
              </w:rPr>
              <w:t>） 及</w:t>
            </w:r>
            <w:r>
              <w:rPr>
                <w:rFonts w:hint="eastAsia" w:ascii="宋体" w:eastAsia="宋体"/>
                <w:lang w:val="en-US" w:eastAsia="zh-CN"/>
              </w:rPr>
              <w:t>深圳市财政局关于印发《深圳市预算单位内控建设分类管理办法及评价指标的通知（深财付〔2021〕3号）</w:t>
            </w:r>
            <w:r>
              <w:rPr>
                <w:rFonts w:hint="default" w:ascii="宋体" w:eastAsia="宋体"/>
                <w:lang w:val="en-US" w:eastAsia="zh-CN"/>
              </w:rPr>
              <w:t>等有关规定，为充分落实新时期财政管理精神，推动</w:t>
            </w:r>
            <w:r>
              <w:rPr>
                <w:rFonts w:hint="eastAsia" w:ascii="宋体"/>
                <w:lang w:val="en-US" w:eastAsia="zh-CN"/>
              </w:rPr>
              <w:t>我处</w:t>
            </w:r>
            <w:r>
              <w:rPr>
                <w:rFonts w:hint="default" w:ascii="宋体" w:eastAsia="宋体"/>
                <w:lang w:val="en-US" w:eastAsia="zh-CN"/>
              </w:rPr>
              <w:t>财务管理提质增效，实现规范化、信息化、精细化管理</w:t>
            </w:r>
            <w:r>
              <w:rPr>
                <w:rFonts w:hint="eastAsia" w:ascii="宋体"/>
                <w:lang w:val="en-US" w:eastAsia="zh-CN"/>
              </w:rPr>
              <w:t>，</w:t>
            </w:r>
            <w:r>
              <w:rPr>
                <w:rFonts w:hint="default" w:ascii="宋体" w:eastAsia="宋体"/>
                <w:lang w:val="en-US" w:eastAsia="zh-CN"/>
              </w:rPr>
              <w:t>更好的规范和加强我</w:t>
            </w:r>
            <w:r>
              <w:rPr>
                <w:rFonts w:hint="eastAsia" w:ascii="宋体"/>
                <w:lang w:val="en-US" w:eastAsia="zh-CN"/>
              </w:rPr>
              <w:t>处</w:t>
            </w:r>
            <w:r>
              <w:rPr>
                <w:rFonts w:hint="default" w:ascii="宋体" w:eastAsia="宋体"/>
                <w:lang w:val="en-US" w:eastAsia="zh-CN"/>
              </w:rPr>
              <w:t>财务</w:t>
            </w:r>
            <w:r>
              <w:rPr>
                <w:rFonts w:hint="eastAsia" w:ascii="宋体"/>
                <w:lang w:val="en-US" w:eastAsia="zh-CN"/>
              </w:rPr>
              <w:t>管理工作</w:t>
            </w:r>
            <w:r>
              <w:rPr>
                <w:rFonts w:hint="default" w:ascii="宋体" w:eastAsia="宋体"/>
                <w:lang w:val="en-US" w:eastAsia="zh-CN"/>
              </w:rPr>
              <w:t>，符合财政及上级部门监管要求</w:t>
            </w:r>
            <w:r>
              <w:rPr>
                <w:rFonts w:hint="eastAsia" w:ascii="宋体"/>
                <w:lang w:val="en-US" w:eastAsia="zh-CN"/>
              </w:rPr>
              <w:t>。</w:t>
            </w:r>
          </w:p>
        </w:tc>
      </w:tr>
      <w:tr w14:paraId="61FA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14:paraId="2FC340A5">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项目前期设计、规划论证单位</w:t>
            </w:r>
          </w:p>
        </w:tc>
        <w:tc>
          <w:tcPr>
            <w:tcW w:w="7407" w:type="dxa"/>
            <w:gridSpan w:val="8"/>
            <w:vAlign w:val="center"/>
          </w:tcPr>
          <w:p w14:paraId="5CE1C593">
            <w:pPr>
              <w:shd w:val="clear"/>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无</w:t>
            </w:r>
          </w:p>
        </w:tc>
      </w:tr>
      <w:tr w14:paraId="2587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14:paraId="3424CB38">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投标人资质要求</w:t>
            </w:r>
          </w:p>
        </w:tc>
        <w:tc>
          <w:tcPr>
            <w:tcW w:w="7407" w:type="dxa"/>
            <w:gridSpan w:val="8"/>
          </w:tcPr>
          <w:p w14:paraId="5FC1E1BB">
            <w:pPr>
              <w:shd w:val="clear"/>
              <w:jc w:val="left"/>
              <w:rPr>
                <w:rFonts w:hint="eastAsia" w:ascii="仿宋_GB2312" w:hAnsi="仿宋_GB2312" w:eastAsia="仿宋_GB2312" w:cs="仿宋_GB2312"/>
                <w:b/>
                <w:color w:val="auto"/>
                <w:kern w:val="0"/>
                <w:szCs w:val="21"/>
                <w:highlight w:val="none"/>
              </w:rPr>
            </w:pPr>
            <w:r>
              <w:rPr>
                <w:rFonts w:hint="eastAsia" w:ascii="仿宋_GB2312" w:hAnsi="仿宋_GB2312" w:eastAsia="仿宋_GB2312" w:cs="仿宋_GB2312"/>
                <w:b/>
                <w:color w:val="auto"/>
                <w:kern w:val="0"/>
                <w:szCs w:val="21"/>
                <w:highlight w:val="none"/>
              </w:rPr>
              <w:t>注意：采购人根据项目所需提供明确、具体的资质要求，资质要求的内容必须与项目等级相匹配且符合相关法律规定。（设置的投标人资格要求必须提交有法律法规依据的证明文件，且不具备倾向性）</w:t>
            </w:r>
          </w:p>
          <w:p w14:paraId="6B92FF5A">
            <w:pPr>
              <w:shd w:val="clear"/>
              <w:jc w:val="left"/>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1）具有独立法人资格</w:t>
            </w:r>
            <w:r>
              <w:rPr>
                <w:rFonts w:hint="eastAsia" w:ascii="仿宋_GB2312" w:hAnsi="仿宋_GB2312" w:eastAsia="仿宋_GB2312" w:cs="仿宋_GB2312"/>
                <w:color w:val="auto"/>
                <w:kern w:val="0"/>
                <w:szCs w:val="21"/>
                <w:highlight w:val="none"/>
                <w:lang w:eastAsia="zh-CN"/>
              </w:rPr>
              <w:t>。</w:t>
            </w:r>
          </w:p>
          <w:p w14:paraId="7FD19ED9">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2）本项目不接受联合体投标，不允许分包（不接受投标人选用进口产品参与投标）。</w:t>
            </w:r>
          </w:p>
          <w:p w14:paraId="6909AD1D">
            <w:pPr>
              <w:shd w:val="clear"/>
              <w:jc w:val="left"/>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3）投标人及其法定代表人参与政府采购活动前三年内（投标人成立不足三年的可从成立之日起算），在经营活动中无重大违法记录、无行贿犯罪记录、无串通投标、弄虚作假不良行为记录</w:t>
            </w:r>
            <w:r>
              <w:rPr>
                <w:rFonts w:hint="eastAsia" w:ascii="仿宋_GB2312" w:hAnsi="仿宋_GB2312" w:eastAsia="仿宋_GB2312" w:cs="仿宋_GB2312"/>
                <w:color w:val="auto"/>
                <w:kern w:val="0"/>
                <w:szCs w:val="21"/>
                <w:highlight w:val="none"/>
                <w:lang w:eastAsia="zh-CN"/>
              </w:rPr>
              <w:t>等</w:t>
            </w:r>
            <w:r>
              <w:rPr>
                <w:rFonts w:hint="eastAsia" w:ascii="仿宋_GB2312" w:hAnsi="仿宋_GB2312" w:eastAsia="仿宋_GB2312" w:cs="仿宋_GB2312"/>
                <w:color w:val="auto"/>
                <w:kern w:val="0"/>
                <w:szCs w:val="21"/>
                <w:highlight w:val="none"/>
              </w:rPr>
              <w:t>情况（由投标人在《政府采购投标及履约承诺函》中作出声明）</w:t>
            </w:r>
            <w:r>
              <w:rPr>
                <w:rFonts w:hint="eastAsia" w:ascii="仿宋_GB2312" w:hAnsi="仿宋_GB2312" w:eastAsia="仿宋_GB2312" w:cs="仿宋_GB2312"/>
                <w:color w:val="auto"/>
                <w:kern w:val="0"/>
                <w:szCs w:val="21"/>
                <w:highlight w:val="none"/>
                <w:lang w:eastAsia="zh-CN"/>
              </w:rPr>
              <w:t>。</w:t>
            </w:r>
          </w:p>
          <w:p w14:paraId="494AB7FB">
            <w:pPr>
              <w:shd w:val="clear"/>
              <w:jc w:val="left"/>
              <w:rPr>
                <w:rFonts w:hint="eastAsia" w:ascii="仿宋_GB2312" w:hAnsi="仿宋_GB2312" w:eastAsia="仿宋_GB2312" w:cs="仿宋_GB2312"/>
                <w:b/>
                <w:color w:val="auto"/>
                <w:kern w:val="0"/>
                <w:szCs w:val="21"/>
                <w:highlight w:val="none"/>
              </w:rPr>
            </w:pPr>
          </w:p>
        </w:tc>
      </w:tr>
      <w:tr w14:paraId="4C24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vAlign w:val="center"/>
          </w:tcPr>
          <w:p w14:paraId="73410927">
            <w:pPr>
              <w:shd w:val="clea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bCs/>
                <w:color w:val="auto"/>
                <w:szCs w:val="21"/>
                <w:highlight w:val="none"/>
              </w:rPr>
              <w:t>需求内容</w:t>
            </w:r>
          </w:p>
        </w:tc>
        <w:tc>
          <w:tcPr>
            <w:tcW w:w="7407" w:type="dxa"/>
            <w:gridSpan w:val="8"/>
          </w:tcPr>
          <w:p w14:paraId="248AED23">
            <w:pPr>
              <w:shd w:val="clear"/>
              <w:jc w:val="left"/>
              <w:rPr>
                <w:rFonts w:hint="eastAsia"/>
              </w:rPr>
            </w:pPr>
            <w:r>
              <w:rPr>
                <w:rFonts w:hint="eastAsia"/>
              </w:rPr>
              <w:t>*</w:t>
            </w:r>
            <w:r>
              <w:rPr>
                <w:rFonts w:hint="eastAsia" w:ascii="仿宋_GB2312" w:hAnsi="仿宋_GB2312" w:eastAsia="仿宋_GB2312" w:cs="仿宋_GB2312"/>
              </w:rPr>
              <w:t>1、报价要求</w:t>
            </w:r>
          </w:p>
          <w:p w14:paraId="154B5480">
            <w:pPr>
              <w:shd w:val="clear"/>
              <w:jc w:val="left"/>
              <w:rPr>
                <w:rFonts w:hint="eastAsia"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rPr>
              <w:t>（1）</w:t>
            </w:r>
            <w:r>
              <w:rPr>
                <w:rFonts w:hint="eastAsia" w:ascii="仿宋_GB2312" w:hAnsi="仿宋_GB2312" w:eastAsia="仿宋_GB2312" w:cs="仿宋_GB2312"/>
                <w:color w:val="auto"/>
                <w:kern w:val="0"/>
                <w:szCs w:val="21"/>
                <w:highlight w:val="none"/>
              </w:rPr>
              <w:t>本项目服务费采用包干制，应包括服务成本、法定税费和企业的利润等一切费用。由供应商根据采购文件所提供的资料自行测算投标报价。一经中选，报价总价作为供应商与采购人</w:t>
            </w:r>
            <w:r>
              <w:rPr>
                <w:rFonts w:hint="eastAsia" w:ascii="仿宋_GB2312" w:hAnsi="仿宋_GB2312" w:eastAsia="仿宋_GB2312" w:cs="仿宋_GB2312"/>
                <w:color w:val="auto"/>
                <w:kern w:val="0"/>
                <w:szCs w:val="21"/>
                <w:highlight w:val="none"/>
                <w:lang w:eastAsia="zh-CN"/>
              </w:rPr>
              <w:t>签订</w:t>
            </w:r>
            <w:r>
              <w:rPr>
                <w:rFonts w:hint="eastAsia" w:ascii="仿宋_GB2312" w:hAnsi="仿宋_GB2312" w:eastAsia="仿宋_GB2312" w:cs="仿宋_GB2312"/>
                <w:color w:val="auto"/>
                <w:kern w:val="0"/>
                <w:szCs w:val="21"/>
                <w:highlight w:val="none"/>
              </w:rPr>
              <w:t>的合同金额，合同期限内不</w:t>
            </w:r>
            <w:r>
              <w:rPr>
                <w:rFonts w:hint="eastAsia" w:ascii="仿宋_GB2312" w:hAnsi="仿宋_GB2312" w:eastAsia="仿宋_GB2312" w:cs="仿宋_GB2312"/>
                <w:color w:val="auto"/>
                <w:kern w:val="0"/>
                <w:szCs w:val="21"/>
                <w:highlight w:val="none"/>
                <w:lang w:eastAsia="zh-CN"/>
              </w:rPr>
              <w:t>作调整</w:t>
            </w:r>
            <w:r>
              <w:rPr>
                <w:rFonts w:hint="eastAsia" w:ascii="仿宋_GB2312" w:hAnsi="仿宋_GB2312" w:eastAsia="仿宋_GB2312" w:cs="仿宋_GB2312"/>
                <w:color w:val="auto"/>
                <w:kern w:val="0"/>
                <w:szCs w:val="21"/>
                <w:highlight w:val="none"/>
              </w:rPr>
              <w:t>。</w:t>
            </w:r>
          </w:p>
          <w:p w14:paraId="2BE7A4F1">
            <w:pPr>
              <w:shd w:val="clear"/>
              <w:jc w:val="left"/>
              <w:rPr>
                <w:rFonts w:hint="eastAsia"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rPr>
              <w:t>（2）</w:t>
            </w:r>
            <w:r>
              <w:rPr>
                <w:rFonts w:hint="eastAsia" w:ascii="仿宋_GB2312" w:hAnsi="仿宋_GB2312" w:eastAsia="仿宋_GB2312" w:cs="仿宋_GB2312"/>
                <w:color w:val="auto"/>
                <w:kern w:val="0"/>
                <w:szCs w:val="21"/>
                <w:highlight w:val="none"/>
              </w:rPr>
              <w:t>供应商应根据本企业的成本自行决定报价，但不得以低于其企业成本的报价投标。</w:t>
            </w:r>
          </w:p>
          <w:p w14:paraId="07D638FF">
            <w:pPr>
              <w:shd w:val="clear"/>
              <w:jc w:val="left"/>
              <w:rPr>
                <w:rFonts w:hint="eastAsia"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rPr>
              <w:t>（3）</w:t>
            </w:r>
            <w:r>
              <w:rPr>
                <w:rFonts w:hint="eastAsia" w:ascii="仿宋_GB2312" w:hAnsi="仿宋_GB2312" w:eastAsia="仿宋_GB2312" w:cs="仿宋_GB2312"/>
                <w:color w:val="auto"/>
                <w:kern w:val="0"/>
                <w:szCs w:val="21"/>
                <w:highlight w:val="none"/>
              </w:rPr>
              <w:t>供应商的报价不得超过财政预算限额。</w:t>
            </w:r>
          </w:p>
          <w:p w14:paraId="3135D7D6">
            <w:pPr>
              <w:shd w:val="clear"/>
              <w:jc w:val="left"/>
              <w:rPr>
                <w:rFonts w:hint="eastAsia"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rPr>
              <w:t>（4）</w:t>
            </w:r>
            <w:r>
              <w:rPr>
                <w:rFonts w:hint="eastAsia" w:ascii="仿宋_GB2312" w:hAnsi="仿宋_GB2312" w:eastAsia="仿宋_GB2312" w:cs="仿宋_GB2312"/>
                <w:color w:val="auto"/>
                <w:kern w:val="0"/>
                <w:szCs w:val="21"/>
                <w:highlight w:val="none"/>
              </w:rPr>
              <w:t>投标人的报价，应含本项目采购范围和采购文件及合同条款上所列的各项内容中所述的全部内容。</w:t>
            </w:r>
          </w:p>
          <w:p w14:paraId="14F1AEF5">
            <w:pPr>
              <w:shd w:val="clear"/>
              <w:jc w:val="left"/>
              <w:rPr>
                <w:rFonts w:hint="eastAsia"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rPr>
              <w:t>（5）</w:t>
            </w:r>
            <w:r>
              <w:rPr>
                <w:rFonts w:hint="eastAsia" w:ascii="仿宋_GB2312" w:hAnsi="仿宋_GB2312" w:eastAsia="仿宋_GB2312" w:cs="仿宋_GB2312"/>
                <w:color w:val="auto"/>
                <w:kern w:val="0"/>
                <w:szCs w:val="21"/>
                <w:highlight w:val="none"/>
              </w:rPr>
              <w:t>除非采购人通过修改采购文件予以更正，否则，投标人应毫无例外地按采购文件中所列数量和合价进行报价。</w:t>
            </w:r>
          </w:p>
          <w:p w14:paraId="6571EBE4">
            <w:pPr>
              <w:shd w:val="clear"/>
              <w:jc w:val="left"/>
              <w:rPr>
                <w:rFonts w:hint="eastAsia"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rPr>
              <w:t>（6）</w:t>
            </w:r>
            <w:r>
              <w:rPr>
                <w:rFonts w:hint="eastAsia" w:ascii="仿宋_GB2312" w:hAnsi="仿宋_GB2312" w:eastAsia="仿宋_GB2312" w:cs="仿宋_GB2312"/>
                <w:color w:val="auto"/>
                <w:kern w:val="0"/>
                <w:szCs w:val="21"/>
                <w:highlight w:val="none"/>
              </w:rPr>
              <w:t>供应商不得期望通过索赔等方式获取补偿，否则，除可能遭到拒绝外，还可能将被作为不良行为记录在案，并可能影响其以后参加政府采购的项目投标。各供应商在报价时，应充分考虑报价的风险。</w:t>
            </w:r>
          </w:p>
          <w:p w14:paraId="45969890">
            <w:pPr>
              <w:shd w:val="clear"/>
              <w:jc w:val="left"/>
              <w:rPr>
                <w:rFonts w:hint="eastAsia" w:ascii="仿宋_GB2312" w:hAnsi="仿宋_GB2312" w:eastAsia="仿宋_GB2312" w:cs="仿宋_GB2312"/>
              </w:rPr>
            </w:pPr>
            <w:r>
              <w:rPr>
                <w:rFonts w:hint="eastAsia" w:ascii="仿宋_GB2312" w:hAnsi="仿宋_GB2312" w:eastAsia="仿宋_GB2312" w:cs="仿宋_GB2312"/>
              </w:rPr>
              <w:t>*2、付款方式</w:t>
            </w:r>
          </w:p>
          <w:p w14:paraId="05530920">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开展相关服务两个月后支付30%合同首期款，合同执行六个月内支付60%合同中期款，合同到期前支付10%合同尾款。</w:t>
            </w:r>
          </w:p>
          <w:p w14:paraId="7BFA56FE">
            <w:pPr>
              <w:shd w:val="clear"/>
              <w:jc w:val="left"/>
              <w:rPr>
                <w:rFonts w:hint="eastAsia" w:ascii="仿宋_GB2312" w:hAnsi="仿宋_GB2312" w:eastAsia="仿宋_GB2312" w:cs="仿宋_GB2312"/>
              </w:rPr>
            </w:pPr>
            <w:r>
              <w:rPr>
                <w:rFonts w:hint="eastAsia" w:ascii="仿宋_GB2312" w:hAnsi="仿宋_GB2312" w:eastAsia="仿宋_GB2312" w:cs="仿宋_GB2312"/>
              </w:rPr>
              <w:t>*3、履约保证金</w:t>
            </w:r>
          </w:p>
          <w:p w14:paraId="14504E4B">
            <w:pPr>
              <w:shd w:val="clear"/>
              <w:jc w:val="left"/>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本项目无履约保证金。</w:t>
            </w:r>
          </w:p>
          <w:p w14:paraId="2A64918D">
            <w:pPr>
              <w:shd w:val="clear"/>
              <w:jc w:val="left"/>
              <w:rPr>
                <w:rFonts w:hint="eastAsia" w:ascii="仿宋_GB2312" w:hAnsi="仿宋_GB2312" w:eastAsia="仿宋_GB2312" w:cs="仿宋_GB2312"/>
              </w:rPr>
            </w:pPr>
            <w:r>
              <w:rPr>
                <w:rFonts w:hint="eastAsia" w:ascii="仿宋_GB2312" w:hAnsi="仿宋_GB2312" w:eastAsia="仿宋_GB2312" w:cs="仿宋_GB2312"/>
              </w:rPr>
              <w:t>*4、违约责任</w:t>
            </w:r>
          </w:p>
          <w:p w14:paraId="6359112E">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中标后，中标</w:t>
            </w:r>
            <w:r>
              <w:rPr>
                <w:rFonts w:hint="eastAsia" w:ascii="仿宋_GB2312" w:hAnsi="仿宋_GB2312" w:eastAsia="仿宋_GB2312" w:cs="仿宋_GB2312"/>
                <w:color w:val="auto"/>
                <w:kern w:val="0"/>
                <w:szCs w:val="21"/>
                <w:highlight w:val="none"/>
                <w:lang w:val="en-US" w:eastAsia="zh-Hans"/>
              </w:rPr>
              <w:t>人</w:t>
            </w:r>
            <w:r>
              <w:rPr>
                <w:rFonts w:hint="eastAsia" w:ascii="仿宋_GB2312" w:hAnsi="仿宋_GB2312" w:eastAsia="仿宋_GB2312" w:cs="仿宋_GB2312"/>
                <w:color w:val="auto"/>
                <w:kern w:val="0"/>
                <w:szCs w:val="21"/>
                <w:highlight w:val="none"/>
                <w:lang w:val="en-US" w:eastAsia="zh-CN"/>
              </w:rPr>
              <w:t>10个工作日内未与采购人签订合同，或签订后不履行合同，采购人有权取消中标人中标资格而不承担任何赔偿责任，中标人应向采购人全额退还</w:t>
            </w:r>
            <w:r>
              <w:rPr>
                <w:rFonts w:hint="eastAsia" w:ascii="仿宋_GB2312" w:hAnsi="仿宋_GB2312" w:eastAsia="仿宋_GB2312" w:cs="仿宋_GB2312"/>
                <w:color w:val="auto"/>
                <w:kern w:val="0"/>
                <w:szCs w:val="21"/>
                <w:highlight w:val="none"/>
                <w:lang w:val="en-US" w:eastAsia="zh-Hans"/>
              </w:rPr>
              <w:t>采购人已支付的</w:t>
            </w:r>
            <w:r>
              <w:rPr>
                <w:rFonts w:hint="eastAsia" w:ascii="仿宋_GB2312" w:hAnsi="仿宋_GB2312" w:eastAsia="仿宋_GB2312" w:cs="仿宋_GB2312"/>
                <w:color w:val="auto"/>
                <w:kern w:val="0"/>
                <w:szCs w:val="21"/>
                <w:highlight w:val="none"/>
                <w:lang w:val="en-US" w:eastAsia="zh-CN"/>
              </w:rPr>
              <w:t>合同款，</w:t>
            </w:r>
            <w:r>
              <w:rPr>
                <w:rFonts w:hint="eastAsia" w:ascii="仿宋_GB2312" w:hAnsi="仿宋_GB2312" w:eastAsia="仿宋_GB2312" w:cs="仿宋_GB2312"/>
                <w:color w:val="auto"/>
                <w:kern w:val="0"/>
                <w:szCs w:val="21"/>
                <w:highlight w:val="none"/>
                <w:lang w:val="en-US" w:eastAsia="zh-Hans"/>
              </w:rPr>
              <w:t>并承担合同金额</w:t>
            </w:r>
            <w:r>
              <w:rPr>
                <w:rFonts w:hint="eastAsia" w:ascii="仿宋_GB2312" w:hAnsi="仿宋_GB2312" w:eastAsia="仿宋_GB2312" w:cs="仿宋_GB2312"/>
                <w:color w:val="auto"/>
                <w:kern w:val="0"/>
                <w:szCs w:val="21"/>
                <w:highlight w:val="none"/>
                <w:lang w:val="en-US" w:eastAsia="zh-CN"/>
              </w:rPr>
              <w:t>2</w:t>
            </w:r>
            <w:r>
              <w:rPr>
                <w:rFonts w:hint="eastAsia" w:ascii="仿宋_GB2312" w:hAnsi="仿宋_GB2312" w:eastAsia="仿宋_GB2312" w:cs="仿宋_GB2312"/>
                <w:color w:val="auto"/>
                <w:kern w:val="0"/>
                <w:szCs w:val="21"/>
                <w:highlight w:val="none"/>
                <w:lang w:val="en-US" w:eastAsia="zh-Hans"/>
              </w:rPr>
              <w:t>0%的违约金，违约金不足以弥补采购人损失的，中标人应予补齐。</w:t>
            </w:r>
          </w:p>
          <w:p w14:paraId="55978B41">
            <w:pPr>
              <w:shd w:val="clear"/>
              <w:jc w:val="left"/>
              <w:rPr>
                <w:rFonts w:hint="eastAsia" w:ascii="仿宋_GB2312" w:hAnsi="仿宋_GB2312" w:eastAsia="仿宋_GB2312" w:cs="仿宋_GB2312"/>
              </w:rPr>
            </w:pPr>
            <w:r>
              <w:rPr>
                <w:rFonts w:hint="eastAsia" w:ascii="仿宋_GB2312" w:hAnsi="仿宋_GB2312" w:eastAsia="仿宋_GB2312" w:cs="仿宋_GB2312"/>
              </w:rPr>
              <w:t>*5、服务质量监督和项目验收要求</w:t>
            </w:r>
          </w:p>
          <w:p w14:paraId="03BE1C6F">
            <w:pPr>
              <w:shd w:val="clear"/>
              <w:jc w:val="left"/>
              <w:rPr>
                <w:rFonts w:hint="eastAsia" w:ascii="仿宋_GB2312" w:hAnsi="仿宋_GB2312" w:eastAsia="仿宋_GB2312" w:cs="仿宋_GB2312"/>
                <w:color w:val="auto"/>
                <w:kern w:val="0"/>
                <w:szCs w:val="21"/>
                <w:highlight w:val="none"/>
                <w:lang w:val="en-US" w:eastAsia="zh-CN"/>
              </w:rPr>
            </w:pPr>
            <w:r>
              <w:rPr>
                <w:rFonts w:hint="default" w:ascii="仿宋_GB2312" w:hAnsi="仿宋_GB2312" w:eastAsia="仿宋_GB2312" w:cs="仿宋_GB2312"/>
                <w:color w:val="auto"/>
                <w:kern w:val="0"/>
                <w:szCs w:val="21"/>
                <w:highlight w:val="none"/>
                <w:lang w:val="en-US" w:eastAsia="zh-CN"/>
              </w:rPr>
              <w:t>（1）</w:t>
            </w:r>
            <w:r>
              <w:rPr>
                <w:rFonts w:hint="eastAsia" w:ascii="仿宋_GB2312" w:hAnsi="仿宋_GB2312" w:eastAsia="仿宋_GB2312" w:cs="仿宋_GB2312"/>
                <w:color w:val="auto"/>
                <w:kern w:val="0"/>
                <w:szCs w:val="21"/>
                <w:highlight w:val="none"/>
                <w:lang w:val="en-US" w:eastAsia="zh-CN"/>
              </w:rPr>
              <w:t>本项目按照采购方的委托内容及要求提供服务，相关服务应符合财政部门或深圳市的有关要求。</w:t>
            </w:r>
          </w:p>
          <w:p w14:paraId="0D836F27">
            <w:pPr>
              <w:shd w:val="clear"/>
              <w:jc w:val="left"/>
              <w:rPr>
                <w:rFonts w:hint="eastAsia"/>
              </w:rPr>
            </w:pPr>
            <w:r>
              <w:rPr>
                <w:rFonts w:hint="eastAsia" w:ascii="仿宋_GB2312" w:hAnsi="仿宋_GB2312" w:eastAsia="仿宋_GB2312" w:cs="仿宋_GB2312"/>
                <w:color w:val="auto"/>
                <w:kern w:val="0"/>
                <w:szCs w:val="21"/>
                <w:highlight w:val="none"/>
                <w:lang w:val="en-US" w:eastAsia="zh-CN"/>
              </w:rPr>
              <w:t>（2）合同期满进行项目验收工作。由采购人组织相关科室成员组成验收小组，进行验收。服务项目符合采购需求的工作内容要求。</w:t>
            </w:r>
          </w:p>
        </w:tc>
      </w:tr>
      <w:tr w14:paraId="5476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560" w:type="dxa"/>
            <w:vAlign w:val="center"/>
          </w:tcPr>
          <w:p w14:paraId="75E0D1D6">
            <w:pPr>
              <w:shd w:val="clea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具体技术要求</w:t>
            </w:r>
          </w:p>
        </w:tc>
        <w:tc>
          <w:tcPr>
            <w:tcW w:w="7407" w:type="dxa"/>
            <w:gridSpan w:val="8"/>
          </w:tcPr>
          <w:p w14:paraId="5039A078">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项目服务组3人团队（其中项目负责人具备中级或以上会计职称，项目组成员具备初级或以上会计职称）开展财务咨询服务，对采购人提出的相关问题现场咨询解答；对项目佐证材料和绩效评价、监控、整改报告的有效性、完整性提供现场咨询指导；对内部控制制度实施过程中发现的相关问题提供现场咨询解答；现场指导内部控制报告编报工作；提供政府会计准则、智慧财政系统操作等相关现场咨询服务；提供政府财务报告及报表咨询服务，提供部门决算编制口径、报送及审核咨询服务。开展财务咨询服务服务人工取费根据《深圳市2024年人力资源市场工资价位及行业人工成本信息》。</w:t>
            </w:r>
          </w:p>
        </w:tc>
      </w:tr>
      <w:tr w14:paraId="61E9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560" w:type="dxa"/>
          </w:tcPr>
          <w:p w14:paraId="3793EE9A">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商务需求</w:t>
            </w:r>
          </w:p>
        </w:tc>
        <w:tc>
          <w:tcPr>
            <w:tcW w:w="7407" w:type="dxa"/>
            <w:gridSpan w:val="8"/>
          </w:tcPr>
          <w:p w14:paraId="2F14DC93">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1、项目概况</w:t>
            </w:r>
          </w:p>
          <w:p w14:paraId="4F9087EE">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2024年市财政局关于印发</w:t>
            </w:r>
            <w:bookmarkStart w:id="0" w:name="_Hlk17177733"/>
            <w:r>
              <w:rPr>
                <w:rFonts w:hint="eastAsia" w:ascii="仿宋_GB2312" w:hAnsi="仿宋_GB2312" w:eastAsia="仿宋_GB2312" w:cs="仿宋_GB2312"/>
                <w:color w:val="auto"/>
                <w:kern w:val="0"/>
                <w:szCs w:val="21"/>
                <w:highlight w:val="none"/>
                <w:lang w:val="en-US" w:eastAsia="zh-CN"/>
              </w:rPr>
              <w:t>《2024年全面实施预算绩效管理工作方案》的通知（深财绩〔2024〕3号）</w:t>
            </w:r>
            <w:bookmarkEnd w:id="0"/>
            <w:r>
              <w:rPr>
                <w:rFonts w:hint="eastAsia" w:ascii="仿宋_GB2312" w:hAnsi="仿宋_GB2312" w:eastAsia="仿宋_GB2312" w:cs="仿宋_GB2312"/>
                <w:color w:val="auto"/>
                <w:kern w:val="0"/>
                <w:szCs w:val="21"/>
                <w:highlight w:val="none"/>
                <w:lang w:val="en-US" w:eastAsia="zh-CN"/>
              </w:rPr>
              <w:t>，建立“全方位、全过程、全覆盖”的预算绩效管理体系，推进预算和绩效一体化管理，将绩效管理植入预算编制、执行、决算、监督的全过程，提高财政资源配置效率和使用效益。根据《行政事业单位内部控制报告管理制度》做好我单位内部控制报告编报咨询工作，推动我单位持续完善内部控制建设，建立符合单位内部实际情况内控管理体系。贯彻落实新会计法，</w:t>
            </w:r>
            <w:r>
              <w:rPr>
                <w:rFonts w:hint="default" w:ascii="仿宋_GB2312" w:hAnsi="仿宋_GB2312" w:eastAsia="仿宋_GB2312" w:cs="仿宋_GB2312"/>
                <w:color w:val="auto"/>
                <w:kern w:val="0"/>
                <w:szCs w:val="21"/>
                <w:highlight w:val="none"/>
                <w:lang w:val="en-US" w:eastAsia="zh-CN"/>
              </w:rPr>
              <w:t>推动</w:t>
            </w:r>
            <w:r>
              <w:rPr>
                <w:rFonts w:hint="eastAsia" w:ascii="仿宋_GB2312" w:hAnsi="仿宋_GB2312" w:eastAsia="仿宋_GB2312" w:cs="仿宋_GB2312"/>
                <w:color w:val="auto"/>
                <w:kern w:val="0"/>
                <w:szCs w:val="21"/>
                <w:highlight w:val="none"/>
                <w:lang w:val="en-US" w:eastAsia="zh-CN"/>
              </w:rPr>
              <w:t>单位</w:t>
            </w:r>
            <w:r>
              <w:rPr>
                <w:rFonts w:hint="default" w:ascii="仿宋_GB2312" w:hAnsi="仿宋_GB2312" w:eastAsia="仿宋_GB2312" w:cs="仿宋_GB2312"/>
                <w:color w:val="auto"/>
                <w:kern w:val="0"/>
                <w:szCs w:val="21"/>
                <w:highlight w:val="none"/>
                <w:lang w:val="en-US" w:eastAsia="zh-CN"/>
              </w:rPr>
              <w:t>财务管理提质增效，实现规范化、精细化管理</w:t>
            </w:r>
            <w:r>
              <w:rPr>
                <w:rFonts w:hint="eastAsia" w:ascii="仿宋_GB2312" w:hAnsi="仿宋_GB2312" w:eastAsia="仿宋_GB2312" w:cs="仿宋_GB2312"/>
                <w:color w:val="auto"/>
                <w:kern w:val="0"/>
                <w:szCs w:val="21"/>
                <w:highlight w:val="none"/>
                <w:lang w:val="en-US" w:eastAsia="zh-CN"/>
              </w:rPr>
              <w:t>，</w:t>
            </w:r>
            <w:r>
              <w:rPr>
                <w:rFonts w:hint="default" w:ascii="仿宋_GB2312" w:hAnsi="仿宋_GB2312" w:eastAsia="仿宋_GB2312" w:cs="仿宋_GB2312"/>
                <w:color w:val="auto"/>
                <w:kern w:val="0"/>
                <w:szCs w:val="21"/>
                <w:highlight w:val="none"/>
                <w:lang w:val="en-US" w:eastAsia="zh-CN"/>
              </w:rPr>
              <w:t>符合财政及上级部门监管要求</w:t>
            </w:r>
            <w:r>
              <w:rPr>
                <w:rFonts w:hint="eastAsia" w:ascii="仿宋_GB2312" w:hAnsi="仿宋_GB2312" w:eastAsia="仿宋_GB2312" w:cs="仿宋_GB2312"/>
                <w:color w:val="auto"/>
                <w:kern w:val="0"/>
                <w:szCs w:val="21"/>
                <w:highlight w:val="none"/>
                <w:lang w:val="en-US" w:eastAsia="zh-CN"/>
              </w:rPr>
              <w:t>。</w:t>
            </w:r>
          </w:p>
          <w:p w14:paraId="1D32D6AE">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2、项目所依据及参考的标准</w:t>
            </w:r>
          </w:p>
          <w:p w14:paraId="6525B584">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《深圳市2024年人力资源市场工资价位及行业人工成本信息》分专业技术职称的工资价位。</w:t>
            </w:r>
          </w:p>
          <w:p w14:paraId="3A75CAA8">
            <w:pPr>
              <w:numPr>
                <w:ilvl w:val="0"/>
                <w:numId w:val="1"/>
              </w:num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项目采购范围</w:t>
            </w:r>
          </w:p>
          <w:p w14:paraId="582E3481">
            <w:pPr>
              <w:numPr>
                <w:ilvl w:val="0"/>
                <w:numId w:val="0"/>
              </w:numPr>
              <w:shd w:val="clear"/>
              <w:jc w:val="left"/>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开展绩效管理咨询，使得项目人员清晰了解绩效管理工作流程和要求，实施项目全过程绩效管理。开展内部控制管理咨询，持续完善内部控制建设，服务财政科学管理，提升财会监督效能。贯彻落实新会计法，确保各项财务工作信息数据准确落到实处。</w:t>
            </w:r>
          </w:p>
          <w:p w14:paraId="2F680168">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4、项目服务期限</w:t>
            </w:r>
          </w:p>
          <w:p w14:paraId="7240388C">
            <w:pPr>
              <w:shd w:val="clear"/>
              <w:jc w:val="left"/>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合同签订之日起至2026年12月31日，</w:t>
            </w:r>
            <w:r>
              <w:rPr>
                <w:rFonts w:hint="eastAsia" w:ascii="宋体" w:hAnsi="宋体" w:cs="宋体"/>
                <w:lang w:val="en-US" w:eastAsia="zh-CN"/>
              </w:rPr>
              <w:t>合</w:t>
            </w:r>
            <w:r>
              <w:rPr>
                <w:rFonts w:hint="eastAsia" w:ascii="仿宋_GB2312" w:hAnsi="仿宋_GB2312" w:eastAsia="仿宋_GB2312" w:cs="仿宋_GB2312"/>
                <w:color w:val="auto"/>
                <w:kern w:val="0"/>
                <w:szCs w:val="21"/>
                <w:highlight w:val="none"/>
                <w:lang w:val="en-US" w:eastAsia="zh-CN"/>
              </w:rPr>
              <w:t>同期满前三十日内，由我处对供应商进行履约评价，若服务评价为“优”，可续签合同，合同一年一签，续签不得超过两次。</w:t>
            </w:r>
          </w:p>
          <w:p w14:paraId="097DBC0D">
            <w:pPr>
              <w:numPr>
                <w:ilvl w:val="0"/>
                <w:numId w:val="0"/>
              </w:numPr>
              <w:shd w:val="clear"/>
              <w:ind w:leftChars="0"/>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5、成果要求</w:t>
            </w:r>
          </w:p>
          <w:p w14:paraId="3EFB504F">
            <w:pPr>
              <w:numPr>
                <w:ilvl w:val="0"/>
                <w:numId w:val="0"/>
              </w:numPr>
              <w:shd w:val="clear"/>
              <w:ind w:leftChars="0"/>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项目成果及按采购方要求收集的本项目相关材料归采购方所有。中标方应将所有成果资料按采购方要求整理。</w:t>
            </w:r>
          </w:p>
          <w:p w14:paraId="171B3F34">
            <w:pPr>
              <w:shd w:val="clear"/>
              <w:jc w:val="left"/>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6、项目人员安排要求</w:t>
            </w:r>
          </w:p>
          <w:p w14:paraId="2F4FAD73">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为确保各项服务工作的顺利开展，成交供应商需安排专门人员完成上述服务内容，项目组人员不少于3人，其中项目负责人1人，为大学本科及以上学历，中级或以上会计专业技术资格，负责对项目进行统筹安排，作为项目负责人应具有2年以上行政事业单位相关服务项目管理经验。项目组成员（项目负责人除外）不少于2人，为大学本科及以上学历，初级或以上会计专业技术资格，具有2年以上行政事业单位相关服务项目工作经验。</w:t>
            </w:r>
          </w:p>
        </w:tc>
      </w:tr>
      <w:tr w14:paraId="2E20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14:paraId="28305114">
            <w:pPr>
              <w:shd w:val="clea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其他要求</w:t>
            </w:r>
          </w:p>
        </w:tc>
        <w:tc>
          <w:tcPr>
            <w:tcW w:w="7407" w:type="dxa"/>
            <w:gridSpan w:val="8"/>
          </w:tcPr>
          <w:p w14:paraId="3A9C9444">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b/>
                <w:color w:val="auto"/>
                <w:szCs w:val="21"/>
                <w:highlight w:val="none"/>
              </w:rPr>
              <w:t>特定供应商的名称、项目负责人及联系方式</w:t>
            </w:r>
          </w:p>
        </w:tc>
      </w:tr>
      <w:tr w14:paraId="3C93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14:paraId="43235BAC">
            <w:pPr>
              <w:shd w:val="clear"/>
              <w:jc w:val="left"/>
              <w:rPr>
                <w:rFonts w:hint="eastAsia" w:ascii="仿宋_GB2312" w:hAnsi="仿宋_GB2312" w:eastAsia="仿宋_GB2312" w:cs="仿宋_GB2312"/>
                <w:color w:val="auto"/>
                <w:kern w:val="0"/>
                <w:szCs w:val="21"/>
                <w:highlight w:val="none"/>
              </w:rPr>
            </w:pPr>
          </w:p>
        </w:tc>
        <w:tc>
          <w:tcPr>
            <w:tcW w:w="850" w:type="dxa"/>
            <w:vMerge w:val="restart"/>
          </w:tcPr>
          <w:p w14:paraId="4F8D965B">
            <w:pPr>
              <w:shd w:val="clear"/>
              <w:jc w:val="left"/>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szCs w:val="21"/>
                <w:highlight w:val="none"/>
              </w:rPr>
              <w:t>特定供应商</w:t>
            </w:r>
          </w:p>
        </w:tc>
        <w:tc>
          <w:tcPr>
            <w:tcW w:w="6557" w:type="dxa"/>
            <w:gridSpan w:val="7"/>
          </w:tcPr>
          <w:p w14:paraId="1567B3B6">
            <w:pPr>
              <w:shd w:val="clear"/>
              <w:jc w:val="left"/>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szCs w:val="21"/>
                <w:highlight w:val="none"/>
              </w:rPr>
              <w:t>单位名称：</w:t>
            </w:r>
          </w:p>
        </w:tc>
      </w:tr>
      <w:tr w14:paraId="43ED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14:paraId="1A8B039F">
            <w:pPr>
              <w:shd w:val="clear"/>
              <w:jc w:val="left"/>
              <w:rPr>
                <w:rFonts w:hint="eastAsia" w:ascii="仿宋_GB2312" w:hAnsi="仿宋_GB2312" w:eastAsia="仿宋_GB2312" w:cs="仿宋_GB2312"/>
                <w:color w:val="auto"/>
                <w:kern w:val="0"/>
                <w:szCs w:val="21"/>
                <w:highlight w:val="none"/>
              </w:rPr>
            </w:pPr>
          </w:p>
        </w:tc>
        <w:tc>
          <w:tcPr>
            <w:tcW w:w="850" w:type="dxa"/>
            <w:vMerge w:val="continue"/>
          </w:tcPr>
          <w:p w14:paraId="509CF8D6">
            <w:pPr>
              <w:shd w:val="clear"/>
              <w:jc w:val="left"/>
              <w:rPr>
                <w:rFonts w:hint="eastAsia" w:ascii="仿宋_GB2312" w:hAnsi="仿宋_GB2312" w:eastAsia="仿宋_GB2312" w:cs="仿宋_GB2312"/>
                <w:bCs/>
                <w:color w:val="auto"/>
                <w:kern w:val="0"/>
                <w:szCs w:val="21"/>
                <w:highlight w:val="none"/>
              </w:rPr>
            </w:pPr>
          </w:p>
        </w:tc>
        <w:tc>
          <w:tcPr>
            <w:tcW w:w="6557" w:type="dxa"/>
            <w:gridSpan w:val="7"/>
          </w:tcPr>
          <w:p w14:paraId="7CF135EE">
            <w:pPr>
              <w:shd w:val="clear"/>
              <w:jc w:val="left"/>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szCs w:val="21"/>
                <w:highlight w:val="none"/>
              </w:rPr>
              <w:t>项目经办人：</w:t>
            </w:r>
          </w:p>
        </w:tc>
      </w:tr>
      <w:tr w14:paraId="7D0E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14:paraId="18CBBF18">
            <w:pPr>
              <w:shd w:val="clear"/>
              <w:jc w:val="left"/>
              <w:rPr>
                <w:rFonts w:hint="eastAsia" w:ascii="仿宋_GB2312" w:hAnsi="仿宋_GB2312" w:eastAsia="仿宋_GB2312" w:cs="仿宋_GB2312"/>
                <w:color w:val="auto"/>
                <w:kern w:val="0"/>
                <w:szCs w:val="21"/>
                <w:highlight w:val="none"/>
              </w:rPr>
            </w:pPr>
          </w:p>
        </w:tc>
        <w:tc>
          <w:tcPr>
            <w:tcW w:w="850" w:type="dxa"/>
            <w:vMerge w:val="continue"/>
          </w:tcPr>
          <w:p w14:paraId="10752BE0">
            <w:pPr>
              <w:shd w:val="clear"/>
              <w:jc w:val="left"/>
              <w:rPr>
                <w:rFonts w:hint="eastAsia" w:ascii="仿宋_GB2312" w:hAnsi="仿宋_GB2312" w:eastAsia="仿宋_GB2312" w:cs="仿宋_GB2312"/>
                <w:bCs/>
                <w:color w:val="auto"/>
                <w:kern w:val="0"/>
                <w:szCs w:val="21"/>
                <w:highlight w:val="none"/>
              </w:rPr>
            </w:pPr>
          </w:p>
        </w:tc>
        <w:tc>
          <w:tcPr>
            <w:tcW w:w="6557" w:type="dxa"/>
            <w:gridSpan w:val="7"/>
          </w:tcPr>
          <w:p w14:paraId="584295FF">
            <w:pPr>
              <w:shd w:val="clear"/>
              <w:jc w:val="left"/>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szCs w:val="21"/>
                <w:highlight w:val="none"/>
              </w:rPr>
              <w:t>联系电话：</w:t>
            </w:r>
          </w:p>
        </w:tc>
      </w:tr>
      <w:tr w14:paraId="457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restart"/>
            <w:tcBorders>
              <w:top w:val="single" w:color="auto" w:sz="4" w:space="0"/>
              <w:left w:val="single" w:color="auto" w:sz="4" w:space="0"/>
              <w:right w:val="single" w:color="auto" w:sz="4" w:space="0"/>
            </w:tcBorders>
          </w:tcPr>
          <w:p w14:paraId="7F429743">
            <w:pPr>
              <w:shd w:val="clea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评标信息</w:t>
            </w:r>
          </w:p>
        </w:tc>
        <w:tc>
          <w:tcPr>
            <w:tcW w:w="7371" w:type="dxa"/>
            <w:gridSpan w:val="7"/>
            <w:tcBorders>
              <w:top w:val="single" w:color="auto" w:sz="4" w:space="0"/>
              <w:left w:val="single" w:color="auto" w:sz="4" w:space="0"/>
              <w:bottom w:val="single" w:color="auto" w:sz="4" w:space="0"/>
              <w:right w:val="single" w:color="auto" w:sz="4" w:space="0"/>
            </w:tcBorders>
          </w:tcPr>
          <w:p w14:paraId="497162C6">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综合评分法，是指投标文件满足招标文件全部实质性要求，且按照评审因素的量化指标评审得分最高的投标人为中标候选人的评标方法。 </w:t>
            </w:r>
          </w:p>
          <w:p w14:paraId="7CAC54BB">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价格分计算方法：</w:t>
            </w:r>
          </w:p>
          <w:p w14:paraId="00438E1C">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采用低价优先法计算，即满足招标文件要求且投标价格最低的投标报价为评标基准价，其价格分为满分。其他投标人的价格分统一按照下列公式计算： </w:t>
            </w:r>
          </w:p>
          <w:p w14:paraId="6C5B18E9">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投标报价得分=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评标基准价／投标报价</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×100 </w:t>
            </w:r>
          </w:p>
          <w:p w14:paraId="67149531">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评标总得分＝F1×A1＋F2×A2＋……＋Fn×An </w:t>
            </w:r>
          </w:p>
          <w:p w14:paraId="04EE508D">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F1、F2……Fn分别为各项评审因素的得分； </w:t>
            </w:r>
          </w:p>
          <w:p w14:paraId="5EC27966">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A1、A2、……An 分别为各项评审因素所占的权重</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A1＋A2＋……＋An＝1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 </w:t>
            </w:r>
          </w:p>
          <w:p w14:paraId="51BDFF73">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评标过程中，不得去掉报价中的最高报价和最低报价。 </w:t>
            </w:r>
          </w:p>
          <w:p w14:paraId="6F75EB20">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 xml:space="preserve">    此方法适用于货物类、服务类、工程类项目。 </w:t>
            </w:r>
          </w:p>
        </w:tc>
      </w:tr>
      <w:tr w14:paraId="21F6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continue"/>
            <w:tcBorders>
              <w:left w:val="single" w:color="auto" w:sz="4" w:space="0"/>
              <w:right w:val="single" w:color="auto" w:sz="4" w:space="0"/>
            </w:tcBorders>
          </w:tcPr>
          <w:p w14:paraId="51CB228B">
            <w:pPr>
              <w:pStyle w:val="4"/>
              <w:shd w:val="clear"/>
              <w:rPr>
                <w:rFonts w:hint="eastAsia" w:ascii="仿宋_GB2312" w:hAnsi="仿宋_GB2312" w:eastAsia="仿宋_GB2312" w:cs="仿宋_GB2312"/>
                <w:color w:val="auto"/>
                <w:szCs w:val="21"/>
                <w:highlight w:val="none"/>
                <w:lang w:eastAsia="zh-CN"/>
              </w:rPr>
            </w:pPr>
          </w:p>
        </w:tc>
        <w:tc>
          <w:tcPr>
            <w:tcW w:w="7371" w:type="dxa"/>
            <w:gridSpan w:val="7"/>
            <w:tcBorders>
              <w:top w:val="single" w:color="auto" w:sz="4" w:space="0"/>
              <w:left w:val="single" w:color="auto" w:sz="4" w:space="0"/>
              <w:bottom w:val="single" w:color="auto" w:sz="4" w:space="0"/>
              <w:right w:val="single" w:color="auto" w:sz="4" w:space="0"/>
            </w:tcBorders>
          </w:tcPr>
          <w:p w14:paraId="5B75D2DF">
            <w:pPr>
              <w:shd w:val="clear"/>
              <w:ind w:firstLine="211" w:firstLineChars="1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评标优惠政策</w:t>
            </w:r>
          </w:p>
          <w:p w14:paraId="4A29C984">
            <w:pPr>
              <w:pStyle w:val="3"/>
              <w:shd w:val="clea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highlight w:val="none"/>
              </w:rPr>
              <w:t xml:space="preserve">  </w:t>
            </w:r>
            <w:r>
              <w:rPr>
                <w:rFonts w:hint="eastAsia" w:ascii="仿宋_GB2312" w:hAnsi="仿宋_GB2312" w:eastAsia="仿宋_GB2312" w:cs="仿宋_GB2312"/>
                <w:b/>
                <w:bCs/>
                <w:color w:val="auto"/>
                <w:sz w:val="21"/>
                <w:szCs w:val="21"/>
                <w:highlight w:val="none"/>
              </w:rPr>
              <w:t xml:space="preserve"> </w:t>
            </w:r>
            <w:r>
              <w:rPr>
                <w:rFonts w:hint="eastAsia" w:ascii="仿宋_GB2312" w:hAnsi="仿宋_GB2312" w:eastAsia="仿宋_GB2312" w:cs="仿宋_GB2312"/>
                <w:color w:val="auto"/>
                <w:sz w:val="21"/>
                <w:szCs w:val="21"/>
                <w:highlight w:val="none"/>
              </w:rPr>
              <w:t>1.根据《政府采购促进中小企业发展暂行办法》（财库</w:t>
            </w:r>
            <w:r>
              <w:rPr>
                <w:rFonts w:hint="eastAsia" w:ascii="仿宋_GB2312" w:hAnsi="仿宋_GB2312" w:eastAsia="仿宋_GB2312" w:cs="仿宋_GB2312"/>
                <w:color w:val="auto"/>
                <w:sz w:val="21"/>
                <w:szCs w:val="21"/>
                <w:highlight w:val="none"/>
                <w:lang w:eastAsia="zh-CN"/>
              </w:rPr>
              <w:t>〔2011〕181号</w:t>
            </w:r>
            <w:r>
              <w:rPr>
                <w:rFonts w:hint="eastAsia" w:ascii="仿宋_GB2312" w:hAnsi="仿宋_GB2312" w:eastAsia="仿宋_GB2312" w:cs="仿宋_GB2312"/>
                <w:color w:val="auto"/>
                <w:sz w:val="21"/>
                <w:szCs w:val="21"/>
                <w:highlight w:val="none"/>
              </w:rPr>
              <w:t>）、《财政部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残疾人福利性单位声明函》或省级以上监狱管理局、戒毒管理局（含新疆生产建设兵团）出具的属于监狱企业的证明文件的投标人，其投标报价扣除</w:t>
            </w:r>
            <w:r>
              <w:rPr>
                <w:rFonts w:hint="eastAsia" w:ascii="仿宋_GB2312" w:hAnsi="仿宋_GB2312" w:eastAsia="仿宋_GB2312" w:cs="仿宋_GB2312"/>
                <w:color w:val="auto"/>
                <w:sz w:val="21"/>
                <w:szCs w:val="21"/>
                <w:highlight w:val="none"/>
                <w:u w:val="single"/>
              </w:rPr>
              <w:t xml:space="preserve">  10  </w:t>
            </w:r>
            <w:r>
              <w:rPr>
                <w:rFonts w:hint="eastAsia" w:ascii="仿宋_GB2312" w:hAnsi="仿宋_GB2312" w:eastAsia="仿宋_GB2312" w:cs="仿宋_GB2312"/>
                <w:color w:val="auto"/>
                <w:sz w:val="21"/>
                <w:szCs w:val="21"/>
                <w:highlight w:val="none"/>
              </w:rPr>
              <w:t>%后参与评审。对于同时属于小微企业、监狱企业或残疾人福利性单位的，不重复进行投标报价扣除。如</w:t>
            </w:r>
            <w:r>
              <w:rPr>
                <w:rFonts w:hint="eastAsia" w:ascii="仿宋_GB2312" w:hAnsi="仿宋_GB2312" w:eastAsia="仿宋_GB2312" w:cs="仿宋_GB2312"/>
                <w:color w:val="auto"/>
                <w:sz w:val="21"/>
                <w:szCs w:val="21"/>
                <w:highlight w:val="none"/>
                <w:lang w:eastAsia="zh-CN"/>
              </w:rPr>
              <w:t>有其他</w:t>
            </w:r>
            <w:r>
              <w:rPr>
                <w:rFonts w:hint="eastAsia" w:ascii="仿宋_GB2312" w:hAnsi="仿宋_GB2312" w:eastAsia="仿宋_GB2312" w:cs="仿宋_GB2312"/>
                <w:color w:val="auto"/>
                <w:sz w:val="21"/>
                <w:szCs w:val="21"/>
                <w:highlight w:val="none"/>
              </w:rPr>
              <w:t>政策支持因素（如鼓励创新等）需一并列出。</w:t>
            </w:r>
          </w:p>
          <w:p w14:paraId="0D9BCBF7">
            <w:pPr>
              <w:pStyle w:val="3"/>
              <w:shd w:val="clea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    2.联合协议中约定，小型、微型企业和监狱企业的协议合同金额占到联合体协议合同总金额30%以上的，可给予联合体</w:t>
            </w:r>
            <w:r>
              <w:rPr>
                <w:rFonts w:hint="eastAsia" w:ascii="仿宋_GB2312" w:hAnsi="仿宋_GB2312" w:eastAsia="仿宋_GB2312" w:cs="仿宋_GB2312"/>
                <w:color w:val="auto"/>
                <w:sz w:val="21"/>
                <w:szCs w:val="21"/>
                <w:highlight w:val="none"/>
                <w:u w:val="single"/>
              </w:rPr>
              <w:t xml:space="preserve">  4  </w:t>
            </w:r>
            <w:r>
              <w:rPr>
                <w:rFonts w:hint="eastAsia" w:ascii="仿宋_GB2312" w:hAnsi="仿宋_GB2312" w:eastAsia="仿宋_GB2312" w:cs="仿宋_GB2312"/>
                <w:color w:val="auto"/>
                <w:sz w:val="21"/>
                <w:szCs w:val="21"/>
                <w:highlight w:val="none"/>
              </w:rPr>
              <w:t>% 的价格扣除。</w:t>
            </w:r>
          </w:p>
          <w:p w14:paraId="2E45115B">
            <w:pPr>
              <w:shd w:val="clea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联合体各方均为小型、微型企业和监狱企业的，联合体视同为小型、微型企业和监狱企业，均享受</w:t>
            </w:r>
            <w:r>
              <w:rPr>
                <w:rFonts w:hint="eastAsia" w:ascii="仿宋_GB2312" w:hAnsi="仿宋_GB2312" w:eastAsia="仿宋_GB2312" w:cs="仿宋_GB2312"/>
                <w:b/>
                <w:bCs/>
                <w:color w:val="auto"/>
                <w:highlight w:val="none"/>
              </w:rPr>
              <w:t>评标优惠政策</w:t>
            </w:r>
            <w:r>
              <w:rPr>
                <w:rFonts w:hint="eastAsia" w:ascii="仿宋_GB2312" w:hAnsi="仿宋_GB2312" w:eastAsia="仿宋_GB2312" w:cs="仿宋_GB2312"/>
                <w:color w:val="auto"/>
                <w:highlight w:val="none"/>
              </w:rPr>
              <w:t>第一款的优惠政策。</w:t>
            </w:r>
          </w:p>
          <w:p w14:paraId="2E431CB0">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 xml:space="preserve">    3.如采购人所采购产品为政府强制采购的节能产品，投标人所投产品的品牌及型号必须为清单中有效期内产品并提供证明文件，否则其投标将被认定为投标无效。</w:t>
            </w:r>
          </w:p>
        </w:tc>
      </w:tr>
      <w:tr w14:paraId="6D85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continue"/>
            <w:tcBorders>
              <w:left w:val="single" w:color="auto" w:sz="4" w:space="0"/>
              <w:right w:val="single" w:color="auto" w:sz="4" w:space="0"/>
            </w:tcBorders>
          </w:tcPr>
          <w:p w14:paraId="18F93DD6">
            <w:pPr>
              <w:pStyle w:val="4"/>
              <w:shd w:val="clear"/>
              <w:rPr>
                <w:rFonts w:hint="eastAsia" w:ascii="仿宋_GB2312" w:hAnsi="仿宋_GB2312" w:eastAsia="仿宋_GB2312" w:cs="仿宋_GB2312"/>
                <w:color w:val="auto"/>
                <w:highlight w:val="none"/>
                <w:lang w:eastAsia="zh-CN"/>
              </w:rPr>
            </w:pPr>
          </w:p>
        </w:tc>
        <w:tc>
          <w:tcPr>
            <w:tcW w:w="850" w:type="dxa"/>
            <w:tcBorders>
              <w:top w:val="single" w:color="auto" w:sz="4" w:space="0"/>
              <w:left w:val="single" w:color="auto" w:sz="4" w:space="0"/>
              <w:bottom w:val="single" w:color="auto" w:sz="4" w:space="0"/>
              <w:right w:val="single" w:color="auto" w:sz="4" w:space="0"/>
            </w:tcBorders>
          </w:tcPr>
          <w:p w14:paraId="7124E65C">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260" w:type="dxa"/>
            <w:gridSpan w:val="4"/>
            <w:tcBorders>
              <w:top w:val="single" w:color="auto" w:sz="4" w:space="0"/>
              <w:left w:val="single" w:color="auto" w:sz="4" w:space="0"/>
              <w:bottom w:val="single" w:color="auto" w:sz="4" w:space="0"/>
              <w:right w:val="single" w:color="auto" w:sz="4" w:space="0"/>
            </w:tcBorders>
          </w:tcPr>
          <w:p w14:paraId="55F5A3BA">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评分项</w:t>
            </w:r>
          </w:p>
        </w:tc>
        <w:tc>
          <w:tcPr>
            <w:tcW w:w="3261" w:type="dxa"/>
            <w:gridSpan w:val="2"/>
            <w:tcBorders>
              <w:top w:val="single" w:color="auto" w:sz="4" w:space="0"/>
              <w:left w:val="single" w:color="auto" w:sz="4" w:space="0"/>
              <w:bottom w:val="single" w:color="auto" w:sz="4" w:space="0"/>
              <w:right w:val="single" w:color="auto" w:sz="4" w:space="0"/>
            </w:tcBorders>
          </w:tcPr>
          <w:p w14:paraId="171639B3">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权重</w:t>
            </w:r>
          </w:p>
        </w:tc>
      </w:tr>
      <w:tr w14:paraId="42FE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continue"/>
            <w:tcBorders>
              <w:left w:val="single" w:color="auto" w:sz="4" w:space="0"/>
              <w:right w:val="single" w:color="auto" w:sz="4" w:space="0"/>
            </w:tcBorders>
          </w:tcPr>
          <w:p w14:paraId="47D52666">
            <w:pPr>
              <w:shd w:val="clear"/>
              <w:jc w:val="center"/>
              <w:rPr>
                <w:rFonts w:hint="eastAsia" w:ascii="仿宋_GB2312" w:hAnsi="仿宋_GB2312" w:eastAsia="仿宋_GB2312" w:cs="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3FAEDB7F">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3260" w:type="dxa"/>
            <w:gridSpan w:val="4"/>
            <w:tcBorders>
              <w:top w:val="single" w:color="auto" w:sz="4" w:space="0"/>
              <w:left w:val="single" w:color="auto" w:sz="4" w:space="0"/>
              <w:bottom w:val="single" w:color="auto" w:sz="4" w:space="0"/>
              <w:right w:val="single" w:color="auto" w:sz="4" w:space="0"/>
            </w:tcBorders>
          </w:tcPr>
          <w:p w14:paraId="0F5202D3">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价格</w:t>
            </w:r>
          </w:p>
        </w:tc>
        <w:tc>
          <w:tcPr>
            <w:tcW w:w="3261" w:type="dxa"/>
            <w:gridSpan w:val="2"/>
            <w:tcBorders>
              <w:top w:val="single" w:color="auto" w:sz="4" w:space="0"/>
              <w:left w:val="single" w:color="auto" w:sz="4" w:space="0"/>
              <w:bottom w:val="single" w:color="auto" w:sz="4" w:space="0"/>
              <w:right w:val="single" w:color="auto" w:sz="4" w:space="0"/>
            </w:tcBorders>
          </w:tcPr>
          <w:p w14:paraId="573AC1CA">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20</w:t>
            </w:r>
          </w:p>
        </w:tc>
      </w:tr>
      <w:tr w14:paraId="3356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continue"/>
            <w:tcBorders>
              <w:left w:val="single" w:color="auto" w:sz="4" w:space="0"/>
              <w:right w:val="single" w:color="auto" w:sz="4" w:space="0"/>
            </w:tcBorders>
          </w:tcPr>
          <w:p w14:paraId="5136451A">
            <w:pPr>
              <w:shd w:val="clear"/>
              <w:jc w:val="center"/>
              <w:rPr>
                <w:rFonts w:hint="eastAsia" w:ascii="仿宋_GB2312" w:hAnsi="仿宋_GB2312" w:eastAsia="仿宋_GB2312" w:cs="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50739389">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3260" w:type="dxa"/>
            <w:gridSpan w:val="4"/>
            <w:tcBorders>
              <w:top w:val="single" w:color="auto" w:sz="4" w:space="0"/>
              <w:left w:val="single" w:color="auto" w:sz="4" w:space="0"/>
              <w:bottom w:val="single" w:color="auto" w:sz="4" w:space="0"/>
              <w:right w:val="single" w:color="auto" w:sz="4" w:space="0"/>
            </w:tcBorders>
          </w:tcPr>
          <w:p w14:paraId="28255953">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w:t>
            </w:r>
          </w:p>
        </w:tc>
        <w:tc>
          <w:tcPr>
            <w:tcW w:w="3261" w:type="dxa"/>
            <w:gridSpan w:val="2"/>
            <w:tcBorders>
              <w:top w:val="single" w:color="auto" w:sz="4" w:space="0"/>
              <w:left w:val="single" w:color="auto" w:sz="4" w:space="0"/>
              <w:bottom w:val="single" w:color="auto" w:sz="4" w:space="0"/>
              <w:right w:val="single" w:color="auto" w:sz="4" w:space="0"/>
            </w:tcBorders>
          </w:tcPr>
          <w:p w14:paraId="7B154B63">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45</w:t>
            </w:r>
          </w:p>
        </w:tc>
      </w:tr>
      <w:tr w14:paraId="12C3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trPr>
        <w:tc>
          <w:tcPr>
            <w:tcW w:w="1560" w:type="dxa"/>
            <w:vMerge w:val="continue"/>
            <w:tcBorders>
              <w:left w:val="single" w:color="auto" w:sz="4" w:space="0"/>
              <w:right w:val="single" w:color="auto" w:sz="4" w:space="0"/>
            </w:tcBorders>
          </w:tcPr>
          <w:p w14:paraId="5056C96A">
            <w:pPr>
              <w:shd w:val="clear"/>
              <w:jc w:val="center"/>
              <w:rPr>
                <w:rFonts w:hint="eastAsia" w:ascii="仿宋_GB2312" w:hAnsi="仿宋_GB2312" w:eastAsia="仿宋_GB2312" w:cs="仿宋_GB2312"/>
                <w:color w:val="auto"/>
                <w:szCs w:val="21"/>
                <w:highlight w:val="none"/>
              </w:rPr>
            </w:pPr>
          </w:p>
        </w:tc>
        <w:tc>
          <w:tcPr>
            <w:tcW w:w="850" w:type="dxa"/>
            <w:vMerge w:val="restart"/>
            <w:tcBorders>
              <w:top w:val="single" w:color="auto" w:sz="4" w:space="0"/>
              <w:left w:val="single" w:color="auto" w:sz="4" w:space="0"/>
              <w:right w:val="single" w:color="auto" w:sz="4" w:space="0"/>
            </w:tcBorders>
          </w:tcPr>
          <w:p w14:paraId="2F583E43">
            <w:pPr>
              <w:shd w:val="clear"/>
              <w:jc w:val="cente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CC8030E">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行号</w:t>
            </w:r>
          </w:p>
        </w:tc>
        <w:tc>
          <w:tcPr>
            <w:tcW w:w="1701" w:type="dxa"/>
            <w:tcBorders>
              <w:top w:val="single" w:color="auto" w:sz="4" w:space="0"/>
              <w:left w:val="single" w:color="auto" w:sz="4" w:space="0"/>
              <w:bottom w:val="single" w:color="auto" w:sz="4" w:space="0"/>
              <w:right w:val="single" w:color="auto" w:sz="4" w:space="0"/>
            </w:tcBorders>
          </w:tcPr>
          <w:p w14:paraId="44121ADB">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内容</w:t>
            </w:r>
          </w:p>
        </w:tc>
        <w:tc>
          <w:tcPr>
            <w:tcW w:w="850" w:type="dxa"/>
            <w:gridSpan w:val="2"/>
            <w:tcBorders>
              <w:top w:val="single" w:color="auto" w:sz="4" w:space="0"/>
              <w:left w:val="single" w:color="auto" w:sz="4" w:space="0"/>
              <w:bottom w:val="single" w:color="auto" w:sz="4" w:space="0"/>
              <w:right w:val="single" w:color="auto" w:sz="4" w:space="0"/>
            </w:tcBorders>
          </w:tcPr>
          <w:p w14:paraId="66012D56">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权重</w:t>
            </w:r>
          </w:p>
        </w:tc>
        <w:tc>
          <w:tcPr>
            <w:tcW w:w="3261" w:type="dxa"/>
            <w:gridSpan w:val="2"/>
            <w:tcBorders>
              <w:top w:val="single" w:color="auto" w:sz="4" w:space="0"/>
              <w:left w:val="single" w:color="auto" w:sz="4" w:space="0"/>
              <w:bottom w:val="single" w:color="auto" w:sz="4" w:space="0"/>
              <w:right w:val="single" w:color="auto" w:sz="4" w:space="0"/>
            </w:tcBorders>
          </w:tcPr>
          <w:p w14:paraId="3B7E1EB4">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评分准则</w:t>
            </w:r>
          </w:p>
        </w:tc>
      </w:tr>
      <w:tr w14:paraId="467F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trPr>
        <w:tc>
          <w:tcPr>
            <w:tcW w:w="1560" w:type="dxa"/>
            <w:vMerge w:val="continue"/>
            <w:tcBorders>
              <w:left w:val="single" w:color="auto" w:sz="4" w:space="0"/>
              <w:right w:val="single" w:color="auto" w:sz="4" w:space="0"/>
            </w:tcBorders>
            <w:vAlign w:val="center"/>
          </w:tcPr>
          <w:p w14:paraId="2C7898F3">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519C02B0">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860AF98">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701" w:type="dxa"/>
            <w:tcBorders>
              <w:top w:val="single" w:color="auto" w:sz="4" w:space="0"/>
              <w:left w:val="single" w:color="auto" w:sz="4" w:space="0"/>
              <w:bottom w:val="single" w:color="auto" w:sz="4" w:space="0"/>
              <w:right w:val="single" w:color="auto" w:sz="4" w:space="0"/>
            </w:tcBorders>
          </w:tcPr>
          <w:p w14:paraId="0A194F03">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实施方案</w:t>
            </w:r>
          </w:p>
        </w:tc>
        <w:tc>
          <w:tcPr>
            <w:tcW w:w="850" w:type="dxa"/>
            <w:gridSpan w:val="2"/>
            <w:tcBorders>
              <w:top w:val="single" w:color="auto" w:sz="4" w:space="0"/>
              <w:left w:val="single" w:color="auto" w:sz="4" w:space="0"/>
              <w:bottom w:val="single" w:color="auto" w:sz="4" w:space="0"/>
              <w:right w:val="single" w:color="auto" w:sz="4" w:space="0"/>
            </w:tcBorders>
          </w:tcPr>
          <w:p w14:paraId="117EB75D">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15</w:t>
            </w:r>
          </w:p>
        </w:tc>
        <w:tc>
          <w:tcPr>
            <w:tcW w:w="3261" w:type="dxa"/>
            <w:gridSpan w:val="2"/>
            <w:tcBorders>
              <w:top w:val="single" w:color="auto" w:sz="4" w:space="0"/>
              <w:left w:val="single" w:color="auto" w:sz="4" w:space="0"/>
              <w:bottom w:val="single" w:color="auto" w:sz="4" w:space="0"/>
              <w:right w:val="single" w:color="auto" w:sz="4" w:space="0"/>
            </w:tcBorders>
          </w:tcPr>
          <w:p w14:paraId="000CE97B">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（一）评审内容：</w:t>
            </w:r>
            <w:r>
              <w:rPr>
                <w:rFonts w:hint="eastAsia" w:ascii="仿宋_GB2312" w:hAnsi="仿宋_GB2312" w:eastAsia="仿宋_GB2312" w:cs="仿宋_GB2312"/>
                <w:color w:val="auto"/>
                <w:szCs w:val="21"/>
                <w:highlight w:val="none"/>
              </w:rPr>
              <w:t xml:space="preserve"> </w:t>
            </w:r>
          </w:p>
          <w:p w14:paraId="026A745B">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投标人需按本项目要求提供</w:t>
            </w:r>
            <w:r>
              <w:rPr>
                <w:rFonts w:hint="eastAsia" w:ascii="仿宋_GB2312" w:hAnsi="仿宋_GB2312" w:eastAsia="仿宋_GB2312" w:cs="仿宋_GB2312"/>
                <w:b/>
                <w:bCs/>
                <w:color w:val="auto"/>
                <w:szCs w:val="21"/>
                <w:highlight w:val="none"/>
                <w:lang w:val="en-US" w:eastAsia="zh-CN"/>
              </w:rPr>
              <w:t>实施方案</w:t>
            </w:r>
            <w:r>
              <w:rPr>
                <w:rFonts w:hint="eastAsia" w:ascii="仿宋_GB2312" w:hAnsi="仿宋_GB2312" w:eastAsia="仿宋_GB2312" w:cs="仿宋_GB2312"/>
                <w:b/>
                <w:bCs/>
                <w:color w:val="auto"/>
                <w:szCs w:val="21"/>
                <w:highlight w:val="none"/>
              </w:rPr>
              <w:t>，包括以下内容：</w:t>
            </w:r>
          </w:p>
          <w:p w14:paraId="39E6D0C7">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工作措施</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7DA17947">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工作方法</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11ED3FA4">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工作流程</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2386EAB5">
            <w:pPr>
              <w:widowControl/>
              <w:shd w:val="clea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（二）投标人提供的</w:t>
            </w:r>
            <w:r>
              <w:rPr>
                <w:rFonts w:hint="eastAsia" w:ascii="仿宋_GB2312" w:hAnsi="仿宋_GB2312" w:eastAsia="仿宋_GB2312" w:cs="仿宋_GB2312"/>
                <w:b/>
                <w:bCs/>
                <w:color w:val="auto"/>
                <w:szCs w:val="21"/>
                <w:highlight w:val="none"/>
                <w:lang w:val="en-US" w:eastAsia="zh-CN"/>
              </w:rPr>
              <w:t>实施方案</w:t>
            </w:r>
            <w:r>
              <w:rPr>
                <w:rFonts w:hint="eastAsia" w:ascii="仿宋_GB2312" w:hAnsi="仿宋_GB2312" w:eastAsia="仿宋_GB2312" w:cs="仿宋_GB2312"/>
                <w:b/>
                <w:bCs/>
                <w:color w:val="auto"/>
                <w:szCs w:val="21"/>
                <w:highlight w:val="none"/>
              </w:rPr>
              <w:t>每满足以上1点的得</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3</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分，最高得</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9</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w:t>
            </w:r>
          </w:p>
          <w:p w14:paraId="130AB480">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在以上评审内容的基础上，根据各投标人的具体响应内容进一步评审加分：</w:t>
            </w:r>
          </w:p>
          <w:p w14:paraId="54B4C41F">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方案内容完整性强</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66522D80">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方案内容针对性强</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7DE0AC4D">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方案内容可操作性强</w:t>
            </w:r>
            <w:r>
              <w:rPr>
                <w:rFonts w:hint="eastAsia" w:ascii="仿宋_GB2312" w:hAnsi="仿宋_GB2312" w:eastAsia="仿宋_GB2312" w:cs="仿宋_GB2312"/>
                <w:color w:val="auto"/>
                <w:sz w:val="18"/>
                <w:szCs w:val="18"/>
                <w:highlight w:val="none"/>
                <w:u w:val="single"/>
                <w:lang w:eastAsia="zh-CN"/>
              </w:rPr>
              <w:t xml:space="preserve">  </w:t>
            </w:r>
            <w:r>
              <w:rPr>
                <w:rFonts w:hint="eastAsia" w:ascii="仿宋_GB2312" w:hAnsi="仿宋_GB2312" w:eastAsia="仿宋_GB2312" w:cs="仿宋_GB2312"/>
                <w:color w:val="auto"/>
                <w:sz w:val="18"/>
                <w:szCs w:val="18"/>
                <w:highlight w:val="none"/>
              </w:rPr>
              <w:t>；</w:t>
            </w:r>
          </w:p>
          <w:p w14:paraId="0C92AE8B">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每满足以上1项要求加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2</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分，最高加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6</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w:t>
            </w:r>
          </w:p>
          <w:p w14:paraId="6B8B1DF1">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备注：</w:t>
            </w:r>
          </w:p>
          <w:p w14:paraId="44CD9948">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1.以上评审按百分制打分，累加计分，最高得100分；</w:t>
            </w:r>
          </w:p>
          <w:p w14:paraId="232BF322">
            <w:pPr>
              <w:pStyle w:val="3"/>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 w:val="21"/>
                <w:szCs w:val="21"/>
                <w:highlight w:val="none"/>
              </w:rPr>
              <w:t>2.不提供或提供不齐全的或无法辨别的不得分。</w:t>
            </w:r>
          </w:p>
        </w:tc>
      </w:tr>
      <w:tr w14:paraId="31F8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trPr>
        <w:tc>
          <w:tcPr>
            <w:tcW w:w="1560" w:type="dxa"/>
            <w:vMerge w:val="continue"/>
            <w:tcBorders>
              <w:left w:val="single" w:color="auto" w:sz="4" w:space="0"/>
              <w:right w:val="single" w:color="auto" w:sz="4" w:space="0"/>
            </w:tcBorders>
            <w:vAlign w:val="center"/>
          </w:tcPr>
          <w:p w14:paraId="02BBDB68">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3C0D6358">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73142E35">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tcPr>
          <w:p w14:paraId="1EB50B7A">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质量保障措施及方案</w:t>
            </w:r>
          </w:p>
        </w:tc>
        <w:tc>
          <w:tcPr>
            <w:tcW w:w="850" w:type="dxa"/>
            <w:gridSpan w:val="2"/>
            <w:tcBorders>
              <w:top w:val="single" w:color="auto" w:sz="4" w:space="0"/>
              <w:left w:val="single" w:color="auto" w:sz="4" w:space="0"/>
              <w:bottom w:val="single" w:color="auto" w:sz="4" w:space="0"/>
              <w:right w:val="single" w:color="auto" w:sz="4" w:space="0"/>
            </w:tcBorders>
          </w:tcPr>
          <w:p w14:paraId="55C6206E">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15</w:t>
            </w:r>
          </w:p>
        </w:tc>
        <w:tc>
          <w:tcPr>
            <w:tcW w:w="3261" w:type="dxa"/>
            <w:gridSpan w:val="2"/>
            <w:tcBorders>
              <w:top w:val="single" w:color="auto" w:sz="4" w:space="0"/>
              <w:left w:val="single" w:color="auto" w:sz="4" w:space="0"/>
              <w:bottom w:val="single" w:color="auto" w:sz="4" w:space="0"/>
              <w:right w:val="single" w:color="auto" w:sz="4" w:space="0"/>
            </w:tcBorders>
          </w:tcPr>
          <w:p w14:paraId="2B621151">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（一）评审内容：</w:t>
            </w:r>
            <w:r>
              <w:rPr>
                <w:rFonts w:hint="eastAsia" w:ascii="仿宋_GB2312" w:hAnsi="仿宋_GB2312" w:eastAsia="仿宋_GB2312" w:cs="仿宋_GB2312"/>
                <w:color w:val="auto"/>
                <w:szCs w:val="21"/>
                <w:highlight w:val="none"/>
              </w:rPr>
              <w:t xml:space="preserve"> </w:t>
            </w:r>
          </w:p>
          <w:p w14:paraId="7412F588">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投标人需按本项目要求提供</w:t>
            </w:r>
            <w:r>
              <w:rPr>
                <w:rFonts w:hint="eastAsia" w:ascii="仿宋_GB2312" w:hAnsi="仿宋_GB2312" w:eastAsia="仿宋_GB2312" w:cs="仿宋_GB2312"/>
                <w:b/>
                <w:bCs/>
                <w:color w:val="auto"/>
                <w:szCs w:val="21"/>
                <w:highlight w:val="none"/>
                <w:lang w:val="en-US" w:eastAsia="zh-CN"/>
              </w:rPr>
              <w:t>质量保障措施及方案</w:t>
            </w:r>
            <w:r>
              <w:rPr>
                <w:rFonts w:hint="eastAsia" w:ascii="仿宋_GB2312" w:hAnsi="仿宋_GB2312" w:eastAsia="仿宋_GB2312" w:cs="仿宋_GB2312"/>
                <w:b/>
                <w:bCs/>
                <w:color w:val="auto"/>
                <w:szCs w:val="21"/>
                <w:highlight w:val="none"/>
              </w:rPr>
              <w:t>，包括以下内容：</w:t>
            </w:r>
          </w:p>
          <w:p w14:paraId="2A88B1AC">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项目管理</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76EFAFFD">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风险防控</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523301AE">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保密措施</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3BF32CDB">
            <w:pPr>
              <w:widowControl/>
              <w:shd w:val="clea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（二）投标人提供的</w:t>
            </w:r>
            <w:r>
              <w:rPr>
                <w:rFonts w:hint="eastAsia" w:ascii="仿宋_GB2312" w:hAnsi="仿宋_GB2312" w:eastAsia="仿宋_GB2312" w:cs="仿宋_GB2312"/>
                <w:b/>
                <w:bCs/>
                <w:color w:val="auto"/>
                <w:szCs w:val="21"/>
                <w:highlight w:val="none"/>
                <w:lang w:val="en-US" w:eastAsia="zh-CN"/>
              </w:rPr>
              <w:t>质量保障措施及方案</w:t>
            </w:r>
            <w:r>
              <w:rPr>
                <w:rFonts w:hint="eastAsia" w:ascii="仿宋_GB2312" w:hAnsi="仿宋_GB2312" w:eastAsia="仿宋_GB2312" w:cs="仿宋_GB2312"/>
                <w:b/>
                <w:bCs/>
                <w:color w:val="auto"/>
                <w:szCs w:val="21"/>
                <w:highlight w:val="none"/>
              </w:rPr>
              <w:t>每满足以上1点的得</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3</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分，最高得</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9</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w:t>
            </w:r>
          </w:p>
          <w:p w14:paraId="0DC1E8D9">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在以上评审内容的基础上，专家根据各投标人的具体响应内容进一步评审加分：</w:t>
            </w:r>
          </w:p>
          <w:p w14:paraId="5B6CB289">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方案内容完整性强</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5506D0C2">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方案内容针对性强</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78FD0676">
            <w:pPr>
              <w:shd w:val="clear"/>
              <w:snapToGrid w:val="0"/>
              <w:rPr>
                <w:rFonts w:hint="eastAsia" w:ascii="仿宋_GB2312" w:hAnsi="仿宋_GB2312" w:eastAsia="仿宋_GB2312" w:cs="仿宋_GB2312"/>
                <w:color w:val="auto"/>
                <w:sz w:val="18"/>
                <w:szCs w:val="18"/>
                <w:highlight w:val="none"/>
                <w:u w:val="single"/>
                <w:lang w:eastAsia="zh-CN"/>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u w:val="single"/>
                <w:lang w:val="en-US" w:eastAsia="zh-CN"/>
              </w:rPr>
              <w:t>方案内容可操作性强</w:t>
            </w:r>
            <w:r>
              <w:rPr>
                <w:rFonts w:hint="eastAsia" w:ascii="仿宋_GB2312" w:hAnsi="仿宋_GB2312" w:eastAsia="仿宋_GB2312" w:cs="仿宋_GB2312"/>
                <w:color w:val="auto"/>
                <w:sz w:val="18"/>
                <w:szCs w:val="18"/>
                <w:highlight w:val="none"/>
                <w:u w:val="single"/>
                <w:lang w:eastAsia="zh-CN"/>
              </w:rPr>
              <w:t xml:space="preserve">  </w:t>
            </w:r>
            <w:r>
              <w:rPr>
                <w:rFonts w:hint="eastAsia" w:ascii="仿宋_GB2312" w:hAnsi="仿宋_GB2312" w:eastAsia="仿宋_GB2312" w:cs="仿宋_GB2312"/>
                <w:color w:val="auto"/>
                <w:sz w:val="18"/>
                <w:szCs w:val="18"/>
                <w:highlight w:val="none"/>
                <w:u w:val="none"/>
                <w:lang w:eastAsia="zh-CN"/>
              </w:rPr>
              <w:t>；</w:t>
            </w:r>
          </w:p>
          <w:p w14:paraId="1CF235A1">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每满足以上1项要求加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2</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分，最高加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6</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w:t>
            </w:r>
          </w:p>
          <w:p w14:paraId="58AC061A">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备注：</w:t>
            </w:r>
          </w:p>
          <w:p w14:paraId="02E0634A">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1.以上评审按百分制打分，累加计分，最高得100分；</w:t>
            </w:r>
          </w:p>
          <w:p w14:paraId="1FD703DC">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2.不提供或提供不齐全的或无法辨别的不得分。</w:t>
            </w:r>
          </w:p>
        </w:tc>
      </w:tr>
      <w:tr w14:paraId="6D49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trPr>
        <w:tc>
          <w:tcPr>
            <w:tcW w:w="1560" w:type="dxa"/>
            <w:vMerge w:val="continue"/>
            <w:tcBorders>
              <w:left w:val="single" w:color="auto" w:sz="4" w:space="0"/>
              <w:right w:val="single" w:color="auto" w:sz="4" w:space="0"/>
            </w:tcBorders>
            <w:vAlign w:val="center"/>
          </w:tcPr>
          <w:p w14:paraId="395A4DAE">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79C420D8">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7520E37B">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tcPr>
          <w:p w14:paraId="782FC7E0">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项目完成（服务期满）后的服务承诺</w:t>
            </w:r>
          </w:p>
        </w:tc>
        <w:tc>
          <w:tcPr>
            <w:tcW w:w="850" w:type="dxa"/>
            <w:gridSpan w:val="2"/>
            <w:tcBorders>
              <w:top w:val="single" w:color="auto" w:sz="4" w:space="0"/>
              <w:left w:val="single" w:color="auto" w:sz="4" w:space="0"/>
              <w:bottom w:val="single" w:color="auto" w:sz="4" w:space="0"/>
              <w:right w:val="single" w:color="auto" w:sz="4" w:space="0"/>
            </w:tcBorders>
          </w:tcPr>
          <w:p w14:paraId="6E064A82">
            <w:pPr>
              <w:shd w:val="clea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10</w:t>
            </w:r>
          </w:p>
        </w:tc>
        <w:tc>
          <w:tcPr>
            <w:tcW w:w="3261" w:type="dxa"/>
            <w:gridSpan w:val="2"/>
            <w:tcBorders>
              <w:top w:val="single" w:color="auto" w:sz="4" w:space="0"/>
              <w:left w:val="single" w:color="auto" w:sz="4" w:space="0"/>
              <w:bottom w:val="single" w:color="auto" w:sz="4" w:space="0"/>
              <w:right w:val="single" w:color="auto" w:sz="4" w:space="0"/>
            </w:tcBorders>
          </w:tcPr>
          <w:p w14:paraId="00BD3A92">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（一）评审内容：</w:t>
            </w:r>
            <w:r>
              <w:rPr>
                <w:rFonts w:hint="eastAsia" w:ascii="仿宋_GB2312" w:hAnsi="仿宋_GB2312" w:eastAsia="仿宋_GB2312" w:cs="仿宋_GB2312"/>
                <w:color w:val="auto"/>
                <w:szCs w:val="21"/>
                <w:highlight w:val="none"/>
              </w:rPr>
              <w:t xml:space="preserve"> </w:t>
            </w:r>
          </w:p>
          <w:p w14:paraId="196137E3">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投标人需按本项目要求提供</w:t>
            </w:r>
            <w:r>
              <w:rPr>
                <w:rFonts w:hint="eastAsia" w:ascii="仿宋_GB2312" w:hAnsi="仿宋_GB2312" w:eastAsia="仿宋_GB2312" w:cs="仿宋_GB2312"/>
                <w:b/>
                <w:bCs/>
                <w:color w:val="auto"/>
                <w:szCs w:val="21"/>
                <w:highlight w:val="none"/>
                <w:lang w:val="en-US" w:eastAsia="zh-CN"/>
              </w:rPr>
              <w:t>项目完成后的服务承诺</w:t>
            </w:r>
            <w:r>
              <w:rPr>
                <w:rFonts w:hint="eastAsia" w:ascii="仿宋_GB2312" w:hAnsi="仿宋_GB2312" w:eastAsia="仿宋_GB2312" w:cs="仿宋_GB2312"/>
                <w:b/>
                <w:bCs/>
                <w:color w:val="auto"/>
                <w:szCs w:val="21"/>
                <w:highlight w:val="none"/>
              </w:rPr>
              <w:t>，包括以下内容：</w:t>
            </w:r>
          </w:p>
          <w:p w14:paraId="7E6390C0">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 w:val="18"/>
                <w:szCs w:val="18"/>
                <w:highlight w:val="none"/>
                <w:u w:val="single"/>
              </w:rPr>
              <w:t>提供相应的报告和资料，积极协助归档项目</w:t>
            </w:r>
            <w:r>
              <w:rPr>
                <w:rFonts w:hint="eastAsia" w:ascii="仿宋_GB2312" w:hAnsi="仿宋_GB2312" w:eastAsia="仿宋_GB2312" w:cs="仿宋_GB2312"/>
                <w:color w:val="auto"/>
                <w:sz w:val="18"/>
                <w:szCs w:val="18"/>
                <w:highlight w:val="none"/>
                <w:u w:val="single"/>
                <w:lang w:val="en-US" w:eastAsia="zh-CN"/>
              </w:rPr>
              <w:t xml:space="preserve">材料 </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42628AC5">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 w:val="18"/>
                <w:szCs w:val="18"/>
                <w:highlight w:val="none"/>
                <w:u w:val="single"/>
                <w:lang w:val="en-US" w:eastAsia="zh-CN"/>
              </w:rPr>
              <w:t>配合审计咨询服务，提供</w:t>
            </w:r>
            <w:r>
              <w:rPr>
                <w:rFonts w:hint="eastAsia" w:ascii="仿宋_GB2312" w:hAnsi="仿宋_GB2312" w:eastAsia="仿宋_GB2312" w:cs="仿宋_GB2312"/>
                <w:color w:val="auto"/>
                <w:sz w:val="18"/>
                <w:szCs w:val="18"/>
                <w:highlight w:val="none"/>
                <w:u w:val="single"/>
              </w:rPr>
              <w:t xml:space="preserve">技术咨询 </w:t>
            </w:r>
            <w:r>
              <w:rPr>
                <w:rFonts w:hint="eastAsia" w:ascii="仿宋_GB2312" w:hAnsi="仿宋_GB2312" w:eastAsia="仿宋_GB2312" w:cs="仿宋_GB2312"/>
                <w:color w:val="auto"/>
                <w:sz w:val="18"/>
                <w:szCs w:val="18"/>
                <w:highlight w:val="none"/>
              </w:rPr>
              <w:t>；</w:t>
            </w:r>
          </w:p>
          <w:p w14:paraId="532E4E36">
            <w:pPr>
              <w:widowControl/>
              <w:shd w:val="clea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（二）投标人提供的</w:t>
            </w:r>
            <w:r>
              <w:rPr>
                <w:rFonts w:hint="eastAsia" w:ascii="仿宋_GB2312" w:hAnsi="仿宋_GB2312" w:eastAsia="仿宋_GB2312" w:cs="仿宋_GB2312"/>
                <w:b/>
                <w:bCs/>
                <w:color w:val="auto"/>
                <w:szCs w:val="21"/>
                <w:highlight w:val="none"/>
                <w:lang w:val="en-US" w:eastAsia="zh-CN"/>
              </w:rPr>
              <w:t>项目完成后的服务承诺</w:t>
            </w:r>
            <w:r>
              <w:rPr>
                <w:rFonts w:hint="eastAsia" w:ascii="仿宋_GB2312" w:hAnsi="仿宋_GB2312" w:eastAsia="仿宋_GB2312" w:cs="仿宋_GB2312"/>
                <w:b/>
                <w:bCs/>
                <w:color w:val="auto"/>
                <w:szCs w:val="21"/>
                <w:highlight w:val="none"/>
              </w:rPr>
              <w:t>每满足以上1点的得</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3</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分，最高得</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6</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w:t>
            </w:r>
          </w:p>
          <w:p w14:paraId="0BA7B62F">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在以上评审内容的基础上，专家根据各投标人的具体响应内容进一步评审加分：</w:t>
            </w:r>
          </w:p>
          <w:p w14:paraId="2C8562AF">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 w:val="18"/>
                <w:szCs w:val="18"/>
                <w:highlight w:val="none"/>
                <w:u w:val="single"/>
                <w:lang w:val="en-US" w:eastAsia="zh-CN"/>
              </w:rPr>
              <w:t>服务响应及时性</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6D5AA020">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 w:val="18"/>
                <w:szCs w:val="18"/>
                <w:highlight w:val="none"/>
                <w:u w:val="single"/>
                <w:lang w:val="en-US" w:eastAsia="zh-CN"/>
              </w:rPr>
              <w:t>项目完成后服务保障全面性</w:t>
            </w:r>
            <w:r>
              <w:rPr>
                <w:rFonts w:hint="eastAsia" w:ascii="仿宋_GB2312" w:hAnsi="仿宋_GB2312" w:eastAsia="仿宋_GB2312" w:cs="仿宋_GB2312"/>
                <w:color w:val="auto"/>
                <w:sz w:val="18"/>
                <w:szCs w:val="18"/>
                <w:highlight w:val="none"/>
                <w:u w:val="single"/>
              </w:rPr>
              <w:t xml:space="preserve">     </w:t>
            </w:r>
            <w:r>
              <w:rPr>
                <w:rFonts w:hint="eastAsia" w:ascii="仿宋_GB2312" w:hAnsi="仿宋_GB2312" w:eastAsia="仿宋_GB2312" w:cs="仿宋_GB2312"/>
                <w:color w:val="auto"/>
                <w:sz w:val="18"/>
                <w:szCs w:val="18"/>
                <w:highlight w:val="none"/>
              </w:rPr>
              <w:t>；</w:t>
            </w:r>
          </w:p>
          <w:p w14:paraId="285D3903">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每满足以上1项要求加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2</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分，最高加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4</w:t>
            </w:r>
            <w:r>
              <w:rPr>
                <w:rFonts w:hint="eastAsia" w:ascii="仿宋_GB2312" w:hAnsi="仿宋_GB2312" w:eastAsia="仿宋_GB2312" w:cs="仿宋_GB2312"/>
                <w:b/>
                <w:bCs/>
                <w:i/>
                <w:iCs/>
                <w:color w:val="auto"/>
                <w:szCs w:val="21"/>
                <w:highlight w:val="none"/>
                <w:u w:val="single"/>
              </w:rPr>
              <w:t xml:space="preserve"> </w:t>
            </w:r>
            <w:r>
              <w:rPr>
                <w:rFonts w:hint="eastAsia" w:ascii="仿宋_GB2312" w:hAnsi="仿宋_GB2312" w:eastAsia="仿宋_GB2312" w:cs="仿宋_GB2312"/>
                <w:b/>
                <w:bCs/>
                <w:color w:val="auto"/>
                <w:szCs w:val="21"/>
                <w:highlight w:val="none"/>
              </w:rPr>
              <w:t>分。</w:t>
            </w:r>
          </w:p>
          <w:p w14:paraId="57FDEB97">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备注：</w:t>
            </w:r>
          </w:p>
          <w:p w14:paraId="01E61050">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1.以上评审按百分制打分，累加计分，最高得100分；</w:t>
            </w:r>
          </w:p>
          <w:p w14:paraId="2304FD56">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2.不提供或提供不齐全的或无法辨别的不得分。</w:t>
            </w:r>
          </w:p>
        </w:tc>
      </w:tr>
      <w:tr w14:paraId="39D8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trPr>
        <w:tc>
          <w:tcPr>
            <w:tcW w:w="1560" w:type="dxa"/>
            <w:vMerge w:val="continue"/>
            <w:tcBorders>
              <w:left w:val="single" w:color="auto" w:sz="4" w:space="0"/>
              <w:right w:val="single" w:color="auto" w:sz="4" w:space="0"/>
            </w:tcBorders>
            <w:vAlign w:val="center"/>
          </w:tcPr>
          <w:p w14:paraId="4AD85416">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5F63DCB0">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3D92003">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4</w:t>
            </w:r>
          </w:p>
        </w:tc>
        <w:tc>
          <w:tcPr>
            <w:tcW w:w="1701" w:type="dxa"/>
            <w:tcBorders>
              <w:top w:val="single" w:color="auto" w:sz="4" w:space="0"/>
              <w:left w:val="single" w:color="auto" w:sz="4" w:space="0"/>
              <w:bottom w:val="single" w:color="auto" w:sz="4" w:space="0"/>
              <w:right w:val="single" w:color="auto" w:sz="4" w:space="0"/>
            </w:tcBorders>
          </w:tcPr>
          <w:p w14:paraId="51ECA093">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违约承诺</w:t>
            </w:r>
          </w:p>
        </w:tc>
        <w:tc>
          <w:tcPr>
            <w:tcW w:w="850" w:type="dxa"/>
            <w:gridSpan w:val="2"/>
            <w:tcBorders>
              <w:top w:val="single" w:color="auto" w:sz="4" w:space="0"/>
              <w:left w:val="single" w:color="auto" w:sz="4" w:space="0"/>
              <w:bottom w:val="single" w:color="auto" w:sz="4" w:space="0"/>
              <w:right w:val="single" w:color="auto" w:sz="4" w:space="0"/>
            </w:tcBorders>
          </w:tcPr>
          <w:p w14:paraId="3B22A4BA">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3261" w:type="dxa"/>
            <w:gridSpan w:val="2"/>
            <w:tcBorders>
              <w:top w:val="single" w:color="auto" w:sz="4" w:space="0"/>
              <w:left w:val="single" w:color="auto" w:sz="4" w:space="0"/>
              <w:bottom w:val="single" w:color="auto" w:sz="4" w:space="0"/>
              <w:right w:val="single" w:color="auto" w:sz="4" w:space="0"/>
            </w:tcBorders>
          </w:tcPr>
          <w:p w14:paraId="0B9A8160">
            <w:pPr>
              <w:shd w:val="clear"/>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（一）评审内容：</w:t>
            </w:r>
          </w:p>
          <w:p w14:paraId="3F0D5341">
            <w:pPr>
              <w:shd w:val="clear"/>
              <w:jc w:val="left"/>
              <w:rPr>
                <w:rFonts w:hint="eastAsia" w:ascii="仿宋_GB2312" w:hAnsi="仿宋_GB2312" w:eastAsia="仿宋_GB2312" w:cs="仿宋_GB2312"/>
                <w:bCs/>
                <w:iCs/>
                <w:color w:val="auto"/>
                <w:szCs w:val="21"/>
                <w:highlight w:val="none"/>
              </w:rPr>
            </w:pPr>
            <w:r>
              <w:rPr>
                <w:rFonts w:hint="eastAsia" w:ascii="仿宋_GB2312" w:hAnsi="仿宋_GB2312" w:eastAsia="仿宋_GB2312" w:cs="仿宋_GB2312"/>
                <w:b/>
                <w:bCs/>
                <w:color w:val="auto"/>
                <w:szCs w:val="21"/>
                <w:highlight w:val="none"/>
              </w:rPr>
              <w:t>投标人需以本项目要求提供“违约承诺”，“违约承诺”包括以下内容：</w:t>
            </w:r>
          </w:p>
          <w:p w14:paraId="755F6EAA">
            <w:pPr>
              <w:shd w:val="clear"/>
              <w:jc w:val="left"/>
              <w:rPr>
                <w:rFonts w:hint="eastAsia" w:ascii="仿宋_GB2312" w:hAnsi="仿宋_GB2312" w:eastAsia="仿宋_GB2312" w:cs="仿宋_GB2312"/>
                <w:bCs/>
                <w:iCs/>
                <w:color w:val="auto"/>
                <w:szCs w:val="21"/>
                <w:highlight w:val="none"/>
                <w:lang w:eastAsia="zh-CN"/>
              </w:rPr>
            </w:pPr>
            <w:r>
              <w:rPr>
                <w:rFonts w:hint="eastAsia" w:ascii="仿宋_GB2312" w:hAnsi="仿宋_GB2312" w:eastAsia="仿宋_GB2312" w:cs="仿宋_GB2312"/>
                <w:bCs/>
                <w:iCs/>
                <w:color w:val="auto"/>
                <w:szCs w:val="21"/>
                <w:highlight w:val="none"/>
                <w:lang w:val="en-US" w:eastAsia="zh-CN"/>
              </w:rPr>
              <w:t>1</w:t>
            </w:r>
            <w:r>
              <w:rPr>
                <w:rFonts w:hint="eastAsia" w:ascii="仿宋_GB2312" w:hAnsi="仿宋_GB2312" w:eastAsia="仿宋_GB2312" w:cs="仿宋_GB2312"/>
                <w:bCs/>
                <w:iCs/>
                <w:color w:val="auto"/>
                <w:szCs w:val="21"/>
                <w:highlight w:val="none"/>
              </w:rPr>
              <w:t>.项目技术要求的具体响应情况</w:t>
            </w:r>
            <w:r>
              <w:rPr>
                <w:rFonts w:hint="eastAsia" w:ascii="仿宋_GB2312" w:hAnsi="仿宋_GB2312" w:eastAsia="仿宋_GB2312" w:cs="仿宋_GB2312"/>
                <w:bCs/>
                <w:iCs/>
                <w:color w:val="auto"/>
                <w:szCs w:val="21"/>
                <w:highlight w:val="none"/>
                <w:lang w:eastAsia="zh-CN"/>
              </w:rPr>
              <w:t>。</w:t>
            </w:r>
          </w:p>
          <w:p w14:paraId="3C98A614">
            <w:pPr>
              <w:shd w:val="clear"/>
              <w:jc w:val="left"/>
              <w:rPr>
                <w:rFonts w:hint="eastAsia" w:ascii="仿宋_GB2312" w:hAnsi="仿宋_GB2312" w:eastAsia="仿宋_GB2312" w:cs="仿宋_GB2312"/>
                <w:bCs/>
                <w:iCs/>
                <w:color w:val="auto"/>
                <w:szCs w:val="21"/>
                <w:highlight w:val="none"/>
                <w:lang w:eastAsia="zh-CN"/>
              </w:rPr>
            </w:pPr>
            <w:r>
              <w:rPr>
                <w:rFonts w:hint="eastAsia" w:ascii="仿宋_GB2312" w:hAnsi="仿宋_GB2312" w:eastAsia="仿宋_GB2312" w:cs="仿宋_GB2312"/>
                <w:bCs/>
                <w:iCs/>
                <w:color w:val="auto"/>
                <w:szCs w:val="21"/>
                <w:highlight w:val="none"/>
                <w:lang w:val="en-US" w:eastAsia="zh-CN"/>
              </w:rPr>
              <w:t>2</w:t>
            </w:r>
            <w:r>
              <w:rPr>
                <w:rFonts w:hint="eastAsia" w:ascii="仿宋_GB2312" w:hAnsi="仿宋_GB2312" w:eastAsia="仿宋_GB2312" w:cs="仿宋_GB2312"/>
                <w:bCs/>
                <w:iCs/>
                <w:color w:val="auto"/>
                <w:szCs w:val="21"/>
                <w:highlight w:val="none"/>
              </w:rPr>
              <w:t>.按售后服务承诺履行义务</w:t>
            </w:r>
            <w:r>
              <w:rPr>
                <w:rFonts w:hint="eastAsia" w:ascii="仿宋_GB2312" w:hAnsi="仿宋_GB2312" w:eastAsia="仿宋_GB2312" w:cs="仿宋_GB2312"/>
                <w:color w:val="auto"/>
                <w:szCs w:val="21"/>
                <w:highlight w:val="none"/>
                <w:lang w:eastAsia="zh-CN"/>
              </w:rPr>
              <w:t>。</w:t>
            </w:r>
          </w:p>
          <w:p w14:paraId="2177D83F">
            <w:pPr>
              <w:shd w:val="clear"/>
              <w:jc w:val="left"/>
              <w:rPr>
                <w:rFonts w:hint="eastAsia" w:ascii="仿宋_GB2312" w:hAnsi="仿宋_GB2312" w:eastAsia="仿宋_GB2312" w:cs="仿宋_GB2312"/>
                <w:bCs/>
                <w:iCs/>
                <w:color w:val="auto"/>
                <w:szCs w:val="21"/>
                <w:highlight w:val="none"/>
                <w:lang w:eastAsia="zh-CN"/>
              </w:rPr>
            </w:pPr>
            <w:r>
              <w:rPr>
                <w:rFonts w:hint="eastAsia" w:ascii="仿宋_GB2312" w:hAnsi="仿宋_GB2312" w:eastAsia="仿宋_GB2312" w:cs="仿宋_GB2312"/>
                <w:bCs/>
                <w:iCs/>
                <w:color w:val="auto"/>
                <w:szCs w:val="21"/>
                <w:highlight w:val="none"/>
                <w:lang w:val="en-US" w:eastAsia="zh-CN"/>
              </w:rPr>
              <w:t>3</w:t>
            </w:r>
            <w:r>
              <w:rPr>
                <w:rFonts w:hint="eastAsia" w:ascii="仿宋_GB2312" w:hAnsi="仿宋_GB2312" w:eastAsia="仿宋_GB2312" w:cs="仿宋_GB2312"/>
                <w:bCs/>
                <w:iCs/>
                <w:color w:val="auto"/>
                <w:szCs w:val="21"/>
                <w:highlight w:val="none"/>
              </w:rPr>
              <w:t>.人员配置情况</w:t>
            </w:r>
            <w:r>
              <w:rPr>
                <w:rFonts w:hint="eastAsia" w:ascii="仿宋_GB2312" w:hAnsi="仿宋_GB2312" w:eastAsia="仿宋_GB2312" w:cs="仿宋_GB2312"/>
                <w:bCs/>
                <w:iCs/>
                <w:color w:val="auto"/>
                <w:szCs w:val="21"/>
                <w:highlight w:val="none"/>
                <w:lang w:eastAsia="zh-CN"/>
              </w:rPr>
              <w:t>。</w:t>
            </w:r>
          </w:p>
          <w:p w14:paraId="0476BEDA">
            <w:pPr>
              <w:shd w:val="clear"/>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（二）投标人提供的“违约承诺”每满足以上</w:t>
            </w:r>
            <w:r>
              <w:rPr>
                <w:rFonts w:hint="eastAsia" w:ascii="仿宋_GB2312" w:hAnsi="仿宋_GB2312" w:eastAsia="仿宋_GB2312" w:cs="仿宋_GB2312"/>
                <w:b/>
                <w:bCs/>
                <w:color w:val="auto"/>
                <w:szCs w:val="21"/>
                <w:highlight w:val="none"/>
                <w:lang w:val="en-US" w:eastAsia="zh-CN"/>
              </w:rPr>
              <w:t>1</w:t>
            </w:r>
            <w:r>
              <w:rPr>
                <w:rFonts w:hint="eastAsia" w:ascii="仿宋_GB2312" w:hAnsi="仿宋_GB2312" w:eastAsia="仿宋_GB2312" w:cs="仿宋_GB2312"/>
                <w:b/>
                <w:bCs/>
                <w:color w:val="auto"/>
                <w:szCs w:val="21"/>
                <w:highlight w:val="none"/>
              </w:rPr>
              <w:t>点的得</w:t>
            </w:r>
            <w:r>
              <w:rPr>
                <w:rFonts w:hint="eastAsia" w:ascii="仿宋_GB2312" w:hAnsi="仿宋_GB2312" w:eastAsia="仿宋_GB2312" w:cs="仿宋_GB2312"/>
                <w:b/>
                <w:bCs/>
                <w:color w:val="auto"/>
                <w:szCs w:val="21"/>
                <w:highlight w:val="none"/>
                <w:lang w:val="en-US" w:eastAsia="zh-CN"/>
              </w:rPr>
              <w:t>1</w:t>
            </w:r>
            <w:r>
              <w:rPr>
                <w:rFonts w:hint="eastAsia" w:ascii="仿宋_GB2312" w:hAnsi="仿宋_GB2312" w:eastAsia="仿宋_GB2312" w:cs="仿宋_GB2312"/>
                <w:b/>
                <w:bCs/>
                <w:color w:val="auto"/>
                <w:szCs w:val="21"/>
                <w:highlight w:val="none"/>
              </w:rPr>
              <w:t>分，最高得</w:t>
            </w: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rPr>
              <w:t>分。</w:t>
            </w:r>
          </w:p>
          <w:p w14:paraId="3DE28927">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在以上评审内容的基础上，专家根据各投标人的具体响应内容进一步评审加分：</w:t>
            </w:r>
          </w:p>
          <w:p w14:paraId="78AEB4DD">
            <w:pPr>
              <w:shd w:val="clear"/>
              <w:snapToGrid w:val="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1.违约承诺内容针对性强，即针对本项目开展过程及后续服务中可能出现的违约承诺进行了全面的预判</w:t>
            </w:r>
            <w:r>
              <w:rPr>
                <w:rFonts w:hint="eastAsia" w:ascii="仿宋_GB2312" w:hAnsi="仿宋_GB2312" w:eastAsia="仿宋_GB2312" w:cs="仿宋_GB2312"/>
                <w:color w:val="auto"/>
                <w:szCs w:val="21"/>
                <w:highlight w:val="none"/>
                <w:lang w:eastAsia="zh-CN"/>
              </w:rPr>
              <w:t>。</w:t>
            </w:r>
          </w:p>
          <w:p w14:paraId="28F7BB59">
            <w:pPr>
              <w:shd w:val="clea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2.对未能达到的招标文件要求或投标承诺自愿承担责任。</w:t>
            </w:r>
          </w:p>
          <w:p w14:paraId="541446C1">
            <w:pPr>
              <w:shd w:val="clear"/>
              <w:snapToGrid w:val="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每满足以上1项要求加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1</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highlight w:val="none"/>
              </w:rPr>
              <w:t>分，最高加</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szCs w:val="21"/>
                <w:highlight w:val="none"/>
                <w:u w:val="single"/>
                <w:lang w:val="en-US" w:eastAsia="zh-CN"/>
              </w:rPr>
              <w:t>2</w:t>
            </w:r>
            <w:r>
              <w:rPr>
                <w:rFonts w:hint="eastAsia" w:ascii="仿宋_GB2312" w:hAnsi="仿宋_GB2312" w:eastAsia="仿宋_GB2312" w:cs="仿宋_GB2312"/>
                <w:b/>
                <w:bCs/>
                <w:color w:val="auto"/>
                <w:szCs w:val="21"/>
                <w:highlight w:val="none"/>
                <w:u w:val="single"/>
              </w:rPr>
              <w:t xml:space="preserve"> </w:t>
            </w:r>
            <w:r>
              <w:rPr>
                <w:rFonts w:hint="eastAsia" w:ascii="仿宋_GB2312" w:hAnsi="仿宋_GB2312" w:eastAsia="仿宋_GB2312" w:cs="仿宋_GB2312"/>
                <w:b/>
                <w:bCs/>
                <w:color w:val="auto"/>
                <w:highlight w:val="none"/>
              </w:rPr>
              <w:t>分。</w:t>
            </w:r>
          </w:p>
          <w:p w14:paraId="5450BE1B">
            <w:pPr>
              <w:shd w:val="clear"/>
              <w:snapToGrid w:val="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备注：</w:t>
            </w:r>
          </w:p>
          <w:p w14:paraId="49A3F851">
            <w:pPr>
              <w:shd w:val="clear"/>
              <w:snapToGrid w:val="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szCs w:val="21"/>
                <w:highlight w:val="none"/>
              </w:rPr>
              <w:t>1.以上评审按百分制打分，累加计分，最高得100分；</w:t>
            </w:r>
          </w:p>
          <w:p w14:paraId="48D8033F">
            <w:pPr>
              <w:pStyle w:val="3"/>
              <w:shd w:val="clea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highlight w:val="none"/>
              </w:rPr>
              <w:t>2.不提供或提供不齐全的或无法辨别的不得分。</w:t>
            </w:r>
          </w:p>
        </w:tc>
      </w:tr>
      <w:tr w14:paraId="7D27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continue"/>
            <w:tcBorders>
              <w:left w:val="single" w:color="auto" w:sz="4" w:space="0"/>
              <w:right w:val="single" w:color="auto" w:sz="4" w:space="0"/>
            </w:tcBorders>
          </w:tcPr>
          <w:p w14:paraId="0824169F">
            <w:pPr>
              <w:shd w:val="clear"/>
              <w:jc w:val="center"/>
              <w:rPr>
                <w:rFonts w:hint="eastAsia" w:ascii="仿宋_GB2312" w:hAnsi="仿宋_GB2312" w:eastAsia="仿宋_GB2312" w:cs="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1BC93B80">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2410" w:type="dxa"/>
            <w:gridSpan w:val="2"/>
            <w:tcBorders>
              <w:top w:val="single" w:color="auto" w:sz="4" w:space="0"/>
              <w:left w:val="single" w:color="auto" w:sz="4" w:space="0"/>
              <w:bottom w:val="single" w:color="auto" w:sz="4" w:space="0"/>
              <w:right w:val="single" w:color="auto" w:sz="4" w:space="0"/>
            </w:tcBorders>
          </w:tcPr>
          <w:p w14:paraId="02DB8695">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综合实力</w:t>
            </w:r>
          </w:p>
        </w:tc>
        <w:tc>
          <w:tcPr>
            <w:tcW w:w="4111" w:type="dxa"/>
            <w:gridSpan w:val="4"/>
            <w:tcBorders>
              <w:top w:val="single" w:color="auto" w:sz="4" w:space="0"/>
              <w:left w:val="single" w:color="auto" w:sz="4" w:space="0"/>
              <w:bottom w:val="single" w:color="auto" w:sz="4" w:space="0"/>
              <w:right w:val="single" w:color="auto" w:sz="4" w:space="0"/>
            </w:tcBorders>
          </w:tcPr>
          <w:p w14:paraId="180FBD8D">
            <w:pPr>
              <w:shd w:val="clea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30</w:t>
            </w:r>
          </w:p>
        </w:tc>
      </w:tr>
      <w:tr w14:paraId="22F1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81" w:hRule="atLeast"/>
        </w:trPr>
        <w:tc>
          <w:tcPr>
            <w:tcW w:w="1560" w:type="dxa"/>
            <w:vMerge w:val="continue"/>
            <w:tcBorders>
              <w:left w:val="single" w:color="auto" w:sz="4" w:space="0"/>
              <w:right w:val="single" w:color="auto" w:sz="4" w:space="0"/>
            </w:tcBorders>
          </w:tcPr>
          <w:p w14:paraId="26B46E38">
            <w:pPr>
              <w:shd w:val="clear"/>
              <w:jc w:val="center"/>
              <w:rPr>
                <w:rFonts w:hint="eastAsia" w:ascii="仿宋_GB2312" w:hAnsi="仿宋_GB2312" w:eastAsia="仿宋_GB2312" w:cs="仿宋_GB2312"/>
                <w:color w:val="auto"/>
                <w:szCs w:val="21"/>
                <w:highlight w:val="none"/>
              </w:rPr>
            </w:pPr>
          </w:p>
        </w:tc>
        <w:tc>
          <w:tcPr>
            <w:tcW w:w="850" w:type="dxa"/>
            <w:vMerge w:val="restart"/>
            <w:tcBorders>
              <w:top w:val="single" w:color="auto" w:sz="4" w:space="0"/>
              <w:left w:val="single" w:color="auto" w:sz="4" w:space="0"/>
              <w:right w:val="single" w:color="auto" w:sz="4" w:space="0"/>
            </w:tcBorders>
          </w:tcPr>
          <w:p w14:paraId="097A9AED">
            <w:pPr>
              <w:shd w:val="clear"/>
              <w:jc w:val="cente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20F42148">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行号</w:t>
            </w:r>
          </w:p>
        </w:tc>
        <w:tc>
          <w:tcPr>
            <w:tcW w:w="1701" w:type="dxa"/>
            <w:tcBorders>
              <w:top w:val="single" w:color="auto" w:sz="4" w:space="0"/>
              <w:left w:val="single" w:color="auto" w:sz="4" w:space="0"/>
              <w:bottom w:val="single" w:color="auto" w:sz="4" w:space="0"/>
              <w:right w:val="single" w:color="auto" w:sz="4" w:space="0"/>
            </w:tcBorders>
          </w:tcPr>
          <w:p w14:paraId="79FD7651">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内容</w:t>
            </w:r>
          </w:p>
        </w:tc>
        <w:tc>
          <w:tcPr>
            <w:tcW w:w="850" w:type="dxa"/>
            <w:gridSpan w:val="2"/>
            <w:tcBorders>
              <w:top w:val="single" w:color="auto" w:sz="4" w:space="0"/>
              <w:left w:val="single" w:color="auto" w:sz="4" w:space="0"/>
              <w:bottom w:val="single" w:color="auto" w:sz="4" w:space="0"/>
              <w:right w:val="single" w:color="auto" w:sz="4" w:space="0"/>
            </w:tcBorders>
          </w:tcPr>
          <w:p w14:paraId="135FB07D">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权重</w:t>
            </w:r>
          </w:p>
        </w:tc>
        <w:tc>
          <w:tcPr>
            <w:tcW w:w="3261" w:type="dxa"/>
            <w:gridSpan w:val="2"/>
            <w:tcBorders>
              <w:top w:val="single" w:color="auto" w:sz="4" w:space="0"/>
              <w:left w:val="single" w:color="auto" w:sz="4" w:space="0"/>
              <w:bottom w:val="single" w:color="auto" w:sz="4" w:space="0"/>
              <w:right w:val="single" w:color="auto" w:sz="4" w:space="0"/>
            </w:tcBorders>
          </w:tcPr>
          <w:p w14:paraId="491C8AF1">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评分准则</w:t>
            </w:r>
          </w:p>
        </w:tc>
      </w:tr>
      <w:tr w14:paraId="274C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vAlign w:val="center"/>
          </w:tcPr>
          <w:p w14:paraId="1459F3D3">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2827FDCA">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6FB5D86A">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tcPr>
          <w:p w14:paraId="5C7757ED">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投标人同类项目业绩情况</w:t>
            </w:r>
          </w:p>
        </w:tc>
        <w:tc>
          <w:tcPr>
            <w:tcW w:w="850" w:type="dxa"/>
            <w:gridSpan w:val="2"/>
            <w:tcBorders>
              <w:top w:val="single" w:color="auto" w:sz="4" w:space="0"/>
              <w:left w:val="single" w:color="auto" w:sz="4" w:space="0"/>
              <w:bottom w:val="single" w:color="auto" w:sz="4" w:space="0"/>
              <w:right w:val="single" w:color="auto" w:sz="4" w:space="0"/>
            </w:tcBorders>
          </w:tcPr>
          <w:p w14:paraId="4B16317C">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8</w:t>
            </w:r>
          </w:p>
        </w:tc>
        <w:tc>
          <w:tcPr>
            <w:tcW w:w="3261" w:type="dxa"/>
            <w:gridSpan w:val="2"/>
            <w:tcBorders>
              <w:top w:val="single" w:color="auto" w:sz="4" w:space="0"/>
              <w:left w:val="single" w:color="auto" w:sz="4" w:space="0"/>
              <w:bottom w:val="single" w:color="auto" w:sz="4" w:space="0"/>
              <w:right w:val="single" w:color="auto" w:sz="4" w:space="0"/>
            </w:tcBorders>
          </w:tcPr>
          <w:p w14:paraId="6D66B56D">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（一）评分内容：</w:t>
            </w:r>
          </w:p>
          <w:p w14:paraId="4788420C">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Cs/>
                <w:color w:val="auto"/>
                <w:kern w:val="0"/>
                <w:sz w:val="21"/>
                <w:szCs w:val="21"/>
                <w:highlight w:val="none"/>
                <w:lang w:val="en-US" w:eastAsia="zh-CN"/>
              </w:rPr>
              <w:t>2024年1月1日（以合同签订时间为准）至本项目投标截止之日，已完成的同类项目情况。具有财务咨询、绩效、内控服务类项目每个得2分，最高得8分。</w:t>
            </w:r>
          </w:p>
          <w:p w14:paraId="398F6B04">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（二）评分依据：</w:t>
            </w:r>
          </w:p>
          <w:p w14:paraId="5B836C44">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1.要求同时提供合同关键信息和项目履约（验收）合格评价证明文件作为得分依据。</w:t>
            </w:r>
          </w:p>
          <w:p w14:paraId="37A7207C">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2.通过合同关键信息无法判断是否得分的，也可以提供能证明得分</w:t>
            </w:r>
            <w:r>
              <w:rPr>
                <w:rFonts w:hint="eastAsia" w:ascii="仿宋_GB2312" w:hAnsi="仿宋_GB2312" w:eastAsia="仿宋_GB2312" w:cs="仿宋_GB2312"/>
                <w:color w:val="auto"/>
                <w:szCs w:val="21"/>
                <w:highlight w:val="none"/>
                <w:lang w:eastAsia="zh-CN"/>
              </w:rPr>
              <w:t>的其他</w:t>
            </w:r>
            <w:r>
              <w:rPr>
                <w:rFonts w:hint="eastAsia" w:ascii="仿宋_GB2312" w:hAnsi="仿宋_GB2312" w:eastAsia="仿宋_GB2312" w:cs="仿宋_GB2312"/>
                <w:color w:val="auto"/>
                <w:szCs w:val="21"/>
                <w:highlight w:val="none"/>
              </w:rPr>
              <w:t>证明资料，如项目报告或合同甲方出具的证明文件等。</w:t>
            </w:r>
          </w:p>
          <w:p w14:paraId="7001B495">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3.以上资料均要求提供扫描件，原件备查。</w:t>
            </w:r>
          </w:p>
        </w:tc>
      </w:tr>
      <w:tr w14:paraId="34B3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vAlign w:val="center"/>
          </w:tcPr>
          <w:p w14:paraId="33358E49">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192BAD9B">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7412E17A">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tcPr>
          <w:p w14:paraId="40E59FAD">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拟安排的项目负责人情况（仅限一人）</w:t>
            </w:r>
          </w:p>
        </w:tc>
        <w:tc>
          <w:tcPr>
            <w:tcW w:w="850" w:type="dxa"/>
            <w:gridSpan w:val="2"/>
            <w:tcBorders>
              <w:top w:val="single" w:color="auto" w:sz="4" w:space="0"/>
              <w:left w:val="single" w:color="auto" w:sz="4" w:space="0"/>
              <w:bottom w:val="single" w:color="auto" w:sz="4" w:space="0"/>
              <w:right w:val="single" w:color="auto" w:sz="4" w:space="0"/>
            </w:tcBorders>
          </w:tcPr>
          <w:p w14:paraId="181170A9">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7</w:t>
            </w:r>
          </w:p>
        </w:tc>
        <w:tc>
          <w:tcPr>
            <w:tcW w:w="3261" w:type="dxa"/>
            <w:gridSpan w:val="2"/>
            <w:tcBorders>
              <w:top w:val="single" w:color="auto" w:sz="4" w:space="0"/>
              <w:left w:val="single" w:color="auto" w:sz="4" w:space="0"/>
              <w:bottom w:val="single" w:color="auto" w:sz="4" w:space="0"/>
              <w:right w:val="single" w:color="auto" w:sz="4" w:space="0"/>
            </w:tcBorders>
          </w:tcPr>
          <w:p w14:paraId="5F07C75E">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（一）评分内容：</w:t>
            </w:r>
          </w:p>
          <w:p w14:paraId="3C52FA5E">
            <w:pPr>
              <w:shd w:val="clear"/>
              <w:spacing w:after="160" w:line="240" w:lineRule="exact"/>
              <w:rPr>
                <w:rFonts w:hint="eastAsia" w:ascii="仿宋_GB2312" w:hAnsi="仿宋_GB2312" w:eastAsia="仿宋_GB2312" w:cs="仿宋_GB2312"/>
                <w:bCs/>
                <w:color w:val="auto"/>
                <w:kern w:val="0"/>
                <w:sz w:val="21"/>
                <w:szCs w:val="21"/>
                <w:highlight w:val="none"/>
                <w:lang w:val="en-US" w:eastAsia="zh-CN"/>
              </w:rPr>
            </w:pPr>
            <w:r>
              <w:rPr>
                <w:rFonts w:hint="eastAsia" w:ascii="仿宋_GB2312" w:hAnsi="仿宋_GB2312" w:eastAsia="仿宋_GB2312" w:cs="仿宋_GB2312"/>
                <w:bCs/>
                <w:color w:val="auto"/>
                <w:kern w:val="0"/>
                <w:sz w:val="21"/>
                <w:szCs w:val="21"/>
                <w:highlight w:val="none"/>
                <w:lang w:val="en-US" w:eastAsia="zh-CN"/>
              </w:rPr>
              <w:t>拟安排项目负责人为投标人单位员工（以社保为准），否则本项不得分。</w:t>
            </w:r>
          </w:p>
          <w:p w14:paraId="53452009">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Cs/>
                <w:color w:val="auto"/>
                <w:kern w:val="0"/>
                <w:sz w:val="21"/>
                <w:szCs w:val="21"/>
                <w:highlight w:val="none"/>
                <w:lang w:val="en-US" w:eastAsia="zh-CN"/>
              </w:rPr>
              <w:t>项目负责人具有中级或以上会计师职称，且取得资格时间不低于5年得4分；具有3个同类项目经验，得3分；其他情况不得分。</w:t>
            </w:r>
          </w:p>
          <w:p w14:paraId="6CE9F375">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（二）评分依据：</w:t>
            </w:r>
          </w:p>
          <w:p w14:paraId="0A7F8930">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1.要求提供通过投标人购买的项目负责人</w:t>
            </w:r>
            <w:r>
              <w:rPr>
                <w:rFonts w:hint="eastAsia" w:ascii="仿宋_GB2312" w:hAnsi="仿宋_GB2312" w:eastAsia="仿宋_GB2312" w:cs="仿宋_GB2312"/>
                <w:color w:val="auto"/>
                <w:szCs w:val="21"/>
                <w:highlight w:val="none"/>
                <w:lang w:val="en-US" w:eastAsia="zh-CN"/>
              </w:rPr>
              <w:t>2025</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月至</w:t>
            </w:r>
            <w:r>
              <w:rPr>
                <w:rFonts w:hint="eastAsia" w:ascii="仿宋_GB2312" w:hAnsi="仿宋_GB2312" w:eastAsia="仿宋_GB2312" w:cs="仿宋_GB2312"/>
                <w:color w:val="auto"/>
                <w:szCs w:val="21"/>
                <w:highlight w:val="none"/>
                <w:lang w:val="en-US" w:eastAsia="zh-CN"/>
              </w:rPr>
              <w:t>2025</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lang w:val="en-US" w:eastAsia="zh-CN"/>
              </w:rPr>
              <w:t>11</w:t>
            </w:r>
            <w:r>
              <w:rPr>
                <w:rFonts w:hint="eastAsia" w:ascii="仿宋_GB2312" w:hAnsi="仿宋_GB2312" w:eastAsia="仿宋_GB2312" w:cs="仿宋_GB2312"/>
                <w:color w:val="auto"/>
                <w:szCs w:val="21"/>
                <w:highlight w:val="none"/>
              </w:rPr>
              <w:t>月的社保证明（如投标人为新成立且成立时间不足</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个月的，提供加盖投标人</w:t>
            </w:r>
            <w:r>
              <w:rPr>
                <w:rFonts w:hint="eastAsia" w:ascii="仿宋_GB2312" w:hAnsi="仿宋_GB2312" w:eastAsia="仿宋_GB2312" w:cs="仿宋_GB2312"/>
                <w:color w:val="auto"/>
                <w:szCs w:val="21"/>
                <w:highlight w:val="none"/>
                <w:lang w:eastAsia="zh-CN"/>
              </w:rPr>
              <w:t>公章</w:t>
            </w:r>
            <w:r>
              <w:rPr>
                <w:rFonts w:hint="eastAsia" w:ascii="仿宋_GB2312" w:hAnsi="仿宋_GB2312" w:eastAsia="仿宋_GB2312" w:cs="仿宋_GB2312"/>
                <w:color w:val="auto"/>
                <w:szCs w:val="21"/>
                <w:highlight w:val="none"/>
              </w:rPr>
              <w:t>的情况说明或证明材料的视为符合社保证明的要求）、相关证书、工作经验证明作为得分依据。</w:t>
            </w:r>
          </w:p>
          <w:p w14:paraId="17EA17B3">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2.以上资料均要求提供扫描件，原件备查。</w:t>
            </w:r>
          </w:p>
          <w:p w14:paraId="47C5BBB7">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3.社保证明资料应当至少包含医疗保险，证明资料可为社保收缴部门盖章证明资料、社保窗口打印资料或社保官网截图。</w:t>
            </w:r>
          </w:p>
          <w:p w14:paraId="022A6708">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4.工作经验证明为项目合同关键信息，通过合同关键信息无法判断是否得分的，可提供合同甲方出具的证明文件。</w:t>
            </w:r>
          </w:p>
        </w:tc>
      </w:tr>
      <w:tr w14:paraId="3BA0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vAlign w:val="center"/>
          </w:tcPr>
          <w:p w14:paraId="67293CF6">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12B7022A">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1817431">
            <w:pPr>
              <w:shd w:val="clear"/>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tcPr>
          <w:p w14:paraId="10AAC1A1">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拟安排的项目主要团队成员（主要技术人员）情况（项目负责人除外）</w:t>
            </w:r>
          </w:p>
        </w:tc>
        <w:tc>
          <w:tcPr>
            <w:tcW w:w="850" w:type="dxa"/>
            <w:gridSpan w:val="2"/>
            <w:tcBorders>
              <w:top w:val="single" w:color="auto" w:sz="4" w:space="0"/>
              <w:left w:val="single" w:color="auto" w:sz="4" w:space="0"/>
              <w:bottom w:val="single" w:color="auto" w:sz="4" w:space="0"/>
              <w:right w:val="single" w:color="auto" w:sz="4" w:space="0"/>
            </w:tcBorders>
          </w:tcPr>
          <w:p w14:paraId="39DB750C">
            <w:pPr>
              <w:shd w:val="clea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12</w:t>
            </w:r>
          </w:p>
        </w:tc>
        <w:tc>
          <w:tcPr>
            <w:tcW w:w="3261" w:type="dxa"/>
            <w:gridSpan w:val="2"/>
            <w:tcBorders>
              <w:top w:val="single" w:color="auto" w:sz="4" w:space="0"/>
              <w:left w:val="single" w:color="auto" w:sz="4" w:space="0"/>
              <w:bottom w:val="single" w:color="auto" w:sz="4" w:space="0"/>
              <w:right w:val="single" w:color="auto" w:sz="4" w:space="0"/>
            </w:tcBorders>
          </w:tcPr>
          <w:p w14:paraId="168CBBF1">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（一）评分内容：</w:t>
            </w:r>
          </w:p>
          <w:p w14:paraId="5D07EF2B">
            <w:pPr>
              <w:shd w:val="clear"/>
              <w:spacing w:after="160" w:line="240" w:lineRule="exac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项目团队成员不少于2人；</w:t>
            </w:r>
            <w:r>
              <w:rPr>
                <w:rFonts w:hint="eastAsia" w:ascii="仿宋_GB2312" w:hAnsi="仿宋_GB2312" w:eastAsia="仿宋_GB2312" w:cs="仿宋_GB2312"/>
                <w:b w:val="0"/>
                <w:bCs w:val="0"/>
                <w:color w:val="auto"/>
                <w:sz w:val="21"/>
                <w:szCs w:val="21"/>
                <w:highlight w:val="none"/>
                <w:lang w:val="en-US" w:eastAsia="zh-CN"/>
              </w:rPr>
              <w:t>拟安排项目团队成员为投标人单位员工（以社保为准）。全体项目团队成员</w:t>
            </w:r>
            <w:r>
              <w:rPr>
                <w:rFonts w:hint="eastAsia" w:ascii="仿宋_GB2312" w:hAnsi="仿宋_GB2312" w:eastAsia="仿宋_GB2312" w:cs="仿宋_GB2312"/>
                <w:color w:val="auto"/>
                <w:sz w:val="21"/>
                <w:szCs w:val="21"/>
                <w:highlight w:val="none"/>
                <w:lang w:val="en-US" w:eastAsia="zh-CN"/>
              </w:rPr>
              <w:t>具有初级或以上会计师资格，得8分；项目团队成员每具有一项同类项目经验，得1分，最高可得4分。证书需提供复印件。</w:t>
            </w:r>
          </w:p>
          <w:p w14:paraId="4A892ED2">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（二）评分依据：</w:t>
            </w:r>
          </w:p>
          <w:p w14:paraId="24CD6059">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1.要求提供通过投标人购买的项目主要团队成员（主要技术人员）</w:t>
            </w:r>
            <w:r>
              <w:rPr>
                <w:rFonts w:hint="eastAsia" w:ascii="仿宋_GB2312" w:hAnsi="仿宋_GB2312" w:eastAsia="仿宋_GB2312" w:cs="仿宋_GB2312"/>
                <w:color w:val="auto"/>
                <w:szCs w:val="21"/>
                <w:highlight w:val="none"/>
                <w:lang w:val="en-US" w:eastAsia="zh-CN"/>
              </w:rPr>
              <w:t>2025</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月至</w:t>
            </w:r>
            <w:r>
              <w:rPr>
                <w:rFonts w:hint="eastAsia" w:ascii="仿宋_GB2312" w:hAnsi="仿宋_GB2312" w:eastAsia="仿宋_GB2312" w:cs="仿宋_GB2312"/>
                <w:color w:val="auto"/>
                <w:szCs w:val="21"/>
                <w:highlight w:val="none"/>
                <w:lang w:val="en-US" w:eastAsia="zh-CN"/>
              </w:rPr>
              <w:t>2025</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月的社保证明（如投标人为新成立且成立时间不足</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个月的，提供加盖投标人</w:t>
            </w:r>
            <w:r>
              <w:rPr>
                <w:rFonts w:hint="eastAsia" w:ascii="仿宋_GB2312" w:hAnsi="仿宋_GB2312" w:eastAsia="仿宋_GB2312" w:cs="仿宋_GB2312"/>
                <w:color w:val="auto"/>
                <w:szCs w:val="21"/>
                <w:highlight w:val="none"/>
                <w:lang w:eastAsia="zh-CN"/>
              </w:rPr>
              <w:t>公章</w:t>
            </w:r>
            <w:r>
              <w:rPr>
                <w:rFonts w:hint="eastAsia" w:ascii="仿宋_GB2312" w:hAnsi="仿宋_GB2312" w:eastAsia="仿宋_GB2312" w:cs="仿宋_GB2312"/>
                <w:color w:val="auto"/>
                <w:szCs w:val="21"/>
                <w:highlight w:val="none"/>
              </w:rPr>
              <w:t>的情况说明或证明材料的视为符合社保证明的要求）、相关证书、工作经验证明作为得分依据。</w:t>
            </w:r>
          </w:p>
          <w:p w14:paraId="41EA4DD2">
            <w:pPr>
              <w:shd w:val="clear"/>
              <w:spacing w:after="160" w:line="24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2.以上资料均要求提供扫描件，原件备查。</w:t>
            </w:r>
          </w:p>
          <w:p w14:paraId="5ADF1328">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3.社保证明资料应当至少包含医疗保险，证明资料可为社保收缴部门盖章证明资料、社保窗口打印资料或社保官网截图。</w:t>
            </w:r>
          </w:p>
          <w:p w14:paraId="29EB2681">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4.工作经验证明为项目合同关键信息，通过合同关键信息无法判断是否得分的，可提供合同甲方出具的证明文件。</w:t>
            </w:r>
          </w:p>
          <w:p w14:paraId="6CAE8561">
            <w:pPr>
              <w:shd w:val="clear"/>
              <w:rPr>
                <w:rFonts w:hint="eastAsia" w:ascii="仿宋_GB2312" w:hAnsi="仿宋_GB2312" w:eastAsia="仿宋_GB2312" w:cs="仿宋_GB2312"/>
                <w:color w:val="auto"/>
                <w:szCs w:val="21"/>
                <w:highlight w:val="none"/>
              </w:rPr>
            </w:pPr>
          </w:p>
        </w:tc>
      </w:tr>
      <w:tr w14:paraId="717A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vAlign w:val="center"/>
          </w:tcPr>
          <w:p w14:paraId="353349B6">
            <w:pPr>
              <w:shd w:val="clear"/>
              <w:ind w:firstLine="105" w:firstLineChars="50"/>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1971D787">
            <w:pPr>
              <w:shd w:val="clear"/>
              <w:ind w:firstLine="105" w:firstLineChars="50"/>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91DC052">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4</w:t>
            </w:r>
          </w:p>
        </w:tc>
        <w:tc>
          <w:tcPr>
            <w:tcW w:w="1701" w:type="dxa"/>
            <w:tcBorders>
              <w:top w:val="single" w:color="auto" w:sz="4" w:space="0"/>
              <w:left w:val="single" w:color="auto" w:sz="4" w:space="0"/>
              <w:bottom w:val="single" w:color="auto" w:sz="4" w:space="0"/>
              <w:right w:val="single" w:color="auto" w:sz="4" w:space="0"/>
            </w:tcBorders>
          </w:tcPr>
          <w:p w14:paraId="47E3E476">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服务网点</w:t>
            </w:r>
          </w:p>
        </w:tc>
        <w:tc>
          <w:tcPr>
            <w:tcW w:w="850" w:type="dxa"/>
            <w:gridSpan w:val="2"/>
            <w:tcBorders>
              <w:top w:val="single" w:color="auto" w:sz="4" w:space="0"/>
              <w:left w:val="single" w:color="auto" w:sz="4" w:space="0"/>
              <w:bottom w:val="single" w:color="auto" w:sz="4" w:space="0"/>
              <w:right w:val="single" w:color="auto" w:sz="4" w:space="0"/>
            </w:tcBorders>
          </w:tcPr>
          <w:p w14:paraId="46A2FC29">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3</w:t>
            </w:r>
          </w:p>
        </w:tc>
        <w:tc>
          <w:tcPr>
            <w:tcW w:w="3261" w:type="dxa"/>
            <w:gridSpan w:val="2"/>
            <w:tcBorders>
              <w:top w:val="single" w:color="auto" w:sz="4" w:space="0"/>
              <w:left w:val="single" w:color="auto" w:sz="4" w:space="0"/>
              <w:bottom w:val="single" w:color="auto" w:sz="4" w:space="0"/>
              <w:right w:val="single" w:color="auto" w:sz="4" w:space="0"/>
            </w:tcBorders>
          </w:tcPr>
          <w:p w14:paraId="3E2B8327">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供应商承诺中标后提供与项目相关的服务承诺。要求提供承诺（格式自定）作为得分依据，未提供承诺或承诺内容不满足要求不得分。</w:t>
            </w:r>
            <w:bookmarkStart w:id="2" w:name="_GoBack"/>
            <w:bookmarkEnd w:id="2"/>
          </w:p>
        </w:tc>
      </w:tr>
      <w:tr w14:paraId="2864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tcPr>
          <w:p w14:paraId="4BAA42F6">
            <w:pPr>
              <w:shd w:val="clear"/>
              <w:jc w:val="center"/>
              <w:rPr>
                <w:rFonts w:hint="eastAsia" w:ascii="仿宋_GB2312" w:hAnsi="仿宋_GB2312" w:eastAsia="仿宋_GB2312" w:cs="仿宋_GB2312"/>
                <w:color w:val="auto"/>
                <w:szCs w:val="21"/>
                <w:highlight w:val="none"/>
              </w:rPr>
            </w:pPr>
            <w:bookmarkStart w:id="1" w:name="InsertEnd"/>
            <w:bookmarkEnd w:id="1"/>
          </w:p>
        </w:tc>
        <w:tc>
          <w:tcPr>
            <w:tcW w:w="850" w:type="dxa"/>
            <w:tcBorders>
              <w:top w:val="single" w:color="auto" w:sz="4" w:space="0"/>
              <w:left w:val="single" w:color="auto" w:sz="4" w:space="0"/>
              <w:bottom w:val="single" w:color="auto" w:sz="4" w:space="0"/>
              <w:right w:val="single" w:color="auto" w:sz="4" w:space="0"/>
            </w:tcBorders>
          </w:tcPr>
          <w:p w14:paraId="5933143B">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4</w:t>
            </w:r>
          </w:p>
        </w:tc>
        <w:tc>
          <w:tcPr>
            <w:tcW w:w="2410" w:type="dxa"/>
            <w:gridSpan w:val="2"/>
            <w:tcBorders>
              <w:top w:val="single" w:color="auto" w:sz="4" w:space="0"/>
              <w:left w:val="single" w:color="auto" w:sz="4" w:space="0"/>
              <w:bottom w:val="single" w:color="auto" w:sz="4" w:space="0"/>
              <w:right w:val="single" w:color="auto" w:sz="4" w:space="0"/>
            </w:tcBorders>
          </w:tcPr>
          <w:p w14:paraId="1BC46B01">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诚信情况</w:t>
            </w:r>
          </w:p>
        </w:tc>
        <w:tc>
          <w:tcPr>
            <w:tcW w:w="4111" w:type="dxa"/>
            <w:gridSpan w:val="4"/>
            <w:tcBorders>
              <w:top w:val="single" w:color="auto" w:sz="4" w:space="0"/>
              <w:left w:val="single" w:color="auto" w:sz="4" w:space="0"/>
              <w:bottom w:val="single" w:color="auto" w:sz="4" w:space="0"/>
              <w:right w:val="single" w:color="auto" w:sz="4" w:space="0"/>
            </w:tcBorders>
          </w:tcPr>
          <w:p w14:paraId="7D715D3B">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r>
      <w:tr w14:paraId="5006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tcPr>
          <w:p w14:paraId="0CCCFC6F">
            <w:pPr>
              <w:shd w:val="clear"/>
              <w:jc w:val="center"/>
              <w:rPr>
                <w:rFonts w:hint="eastAsia" w:ascii="仿宋_GB2312" w:hAnsi="仿宋_GB2312" w:eastAsia="仿宋_GB2312" w:cs="仿宋_GB2312"/>
                <w:color w:val="auto"/>
                <w:szCs w:val="21"/>
                <w:highlight w:val="none"/>
              </w:rPr>
            </w:pPr>
          </w:p>
        </w:tc>
        <w:tc>
          <w:tcPr>
            <w:tcW w:w="850" w:type="dxa"/>
            <w:vMerge w:val="restart"/>
            <w:tcBorders>
              <w:top w:val="single" w:color="auto" w:sz="4" w:space="0"/>
              <w:left w:val="single" w:color="auto" w:sz="4" w:space="0"/>
              <w:right w:val="single" w:color="auto" w:sz="4" w:space="0"/>
            </w:tcBorders>
          </w:tcPr>
          <w:p w14:paraId="378CCE87">
            <w:pPr>
              <w:shd w:val="clear"/>
              <w:jc w:val="cente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AE97CF1">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52501EBA">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评分因素</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9346743">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权重</w:t>
            </w:r>
          </w:p>
        </w:tc>
        <w:tc>
          <w:tcPr>
            <w:tcW w:w="3261" w:type="dxa"/>
            <w:gridSpan w:val="2"/>
            <w:tcBorders>
              <w:top w:val="single" w:color="auto" w:sz="4" w:space="0"/>
              <w:left w:val="single" w:color="auto" w:sz="4" w:space="0"/>
              <w:bottom w:val="single" w:color="auto" w:sz="4" w:space="0"/>
              <w:right w:val="single" w:color="auto" w:sz="4" w:space="0"/>
            </w:tcBorders>
            <w:vAlign w:val="center"/>
          </w:tcPr>
          <w:p w14:paraId="66B2C214">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评分准则</w:t>
            </w:r>
          </w:p>
        </w:tc>
      </w:tr>
      <w:tr w14:paraId="41C1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tcPr>
          <w:p w14:paraId="15D3A18F">
            <w:pPr>
              <w:shd w:val="clear"/>
              <w:jc w:val="cente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tcPr>
          <w:p w14:paraId="724B82F3">
            <w:pPr>
              <w:shd w:val="clear"/>
              <w:jc w:val="cente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5919A290">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701" w:type="dxa"/>
            <w:tcBorders>
              <w:top w:val="single" w:color="auto" w:sz="4" w:space="0"/>
              <w:left w:val="single" w:color="auto" w:sz="4" w:space="0"/>
              <w:bottom w:val="single" w:color="auto" w:sz="4" w:space="0"/>
              <w:right w:val="single" w:color="auto" w:sz="4" w:space="0"/>
            </w:tcBorders>
          </w:tcPr>
          <w:p w14:paraId="53C2A54E">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市财政委员会诚信管理情况</w:t>
            </w:r>
          </w:p>
        </w:tc>
        <w:tc>
          <w:tcPr>
            <w:tcW w:w="850" w:type="dxa"/>
            <w:gridSpan w:val="2"/>
            <w:tcBorders>
              <w:top w:val="single" w:color="auto" w:sz="4" w:space="0"/>
              <w:left w:val="single" w:color="auto" w:sz="4" w:space="0"/>
              <w:bottom w:val="single" w:color="auto" w:sz="4" w:space="0"/>
              <w:right w:val="single" w:color="auto" w:sz="4" w:space="0"/>
            </w:tcBorders>
          </w:tcPr>
          <w:p w14:paraId="1E9DFA71">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3261" w:type="dxa"/>
            <w:gridSpan w:val="2"/>
            <w:tcBorders>
              <w:top w:val="single" w:color="auto" w:sz="4" w:space="0"/>
              <w:left w:val="single" w:color="auto" w:sz="4" w:space="0"/>
              <w:bottom w:val="single" w:color="auto" w:sz="4" w:space="0"/>
              <w:right w:val="single" w:color="auto" w:sz="4" w:space="0"/>
            </w:tcBorders>
          </w:tcPr>
          <w:p w14:paraId="2ACD7836">
            <w:pPr>
              <w:pStyle w:val="3"/>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投标人在参与政府采购活动中存在诚信相关问题且在主管部门相关处理措施实施期限内的，本项不得分，否则得满分。投标人无需提供任何证明材料，由工作人员向评审委员会提供相关信息。</w:t>
            </w:r>
          </w:p>
        </w:tc>
      </w:tr>
    </w:tbl>
    <w:p w14:paraId="2AE483C4">
      <w:pPr>
        <w:shd w:val="clear"/>
        <w:spacing w:line="360" w:lineRule="exact"/>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注：1、带“*”号的为必填表内容，其他内容可根据项目</w:t>
      </w:r>
      <w:r>
        <w:rPr>
          <w:rFonts w:hint="eastAsia" w:ascii="仿宋_GB2312" w:hAnsi="仿宋_GB2312" w:eastAsia="仿宋_GB2312" w:cs="仿宋_GB2312"/>
          <w:bCs/>
          <w:color w:val="auto"/>
          <w:szCs w:val="21"/>
          <w:highlight w:val="none"/>
          <w:lang w:eastAsia="zh-CN"/>
        </w:rPr>
        <w:t>做</w:t>
      </w:r>
      <w:r>
        <w:rPr>
          <w:rFonts w:hint="eastAsia" w:ascii="仿宋_GB2312" w:hAnsi="仿宋_GB2312" w:eastAsia="仿宋_GB2312" w:cs="仿宋_GB2312"/>
          <w:bCs/>
          <w:color w:val="auto"/>
          <w:szCs w:val="21"/>
          <w:highlight w:val="none"/>
        </w:rPr>
        <w:t>适当增减。</w:t>
      </w:r>
    </w:p>
    <w:p w14:paraId="449141FD">
      <w:pPr>
        <w:shd w:val="clear"/>
        <w:spacing w:line="36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14:paraId="505CCD4A">
      <w:pPr>
        <w:shd w:val="clear"/>
        <w:spacing w:line="360" w:lineRule="exact"/>
        <w:ind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3、采购单位以上填报的商务条款、技术条款若存在倾向性或不公正性条款，由此引起的不良后果将由采购单位自行承担。</w:t>
      </w:r>
    </w:p>
    <w:p w14:paraId="16156DC6">
      <w:pPr>
        <w:shd w:val="clear"/>
        <w:jc w:val="left"/>
        <w:rPr>
          <w:rFonts w:hint="eastAsia" w:ascii="仿宋_GB2312" w:hAnsi="仿宋_GB2312" w:eastAsia="仿宋_GB2312" w:cs="仿宋_GB2312"/>
          <w:bCs/>
          <w:color w:val="auto"/>
          <w:sz w:val="32"/>
          <w:szCs w:val="32"/>
          <w:highlight w:val="none"/>
        </w:rPr>
      </w:pPr>
    </w:p>
    <w:p w14:paraId="32CAAD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A9CA2"/>
    <w:multiLevelType w:val="singleLevel"/>
    <w:tmpl w:val="9D9A9CA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779CF"/>
    <w:rsid w:val="002E76F2"/>
    <w:rsid w:val="020016E9"/>
    <w:rsid w:val="030E7E36"/>
    <w:rsid w:val="041F054D"/>
    <w:rsid w:val="04582A4A"/>
    <w:rsid w:val="04A24F9A"/>
    <w:rsid w:val="05515D8E"/>
    <w:rsid w:val="06AF315D"/>
    <w:rsid w:val="089E704C"/>
    <w:rsid w:val="0AA9051B"/>
    <w:rsid w:val="0EFC741B"/>
    <w:rsid w:val="10577025"/>
    <w:rsid w:val="107557B1"/>
    <w:rsid w:val="10A1277E"/>
    <w:rsid w:val="1237356F"/>
    <w:rsid w:val="126E3608"/>
    <w:rsid w:val="128768F0"/>
    <w:rsid w:val="12A52594"/>
    <w:rsid w:val="12BF7A28"/>
    <w:rsid w:val="17546C84"/>
    <w:rsid w:val="17F60290"/>
    <w:rsid w:val="196247E2"/>
    <w:rsid w:val="19AD63E9"/>
    <w:rsid w:val="1AD556B8"/>
    <w:rsid w:val="1B1C47EA"/>
    <w:rsid w:val="1B3A6526"/>
    <w:rsid w:val="1B9B2757"/>
    <w:rsid w:val="1D8564EE"/>
    <w:rsid w:val="1D9F76F4"/>
    <w:rsid w:val="21352D06"/>
    <w:rsid w:val="267A69ED"/>
    <w:rsid w:val="26B77A91"/>
    <w:rsid w:val="26B9787D"/>
    <w:rsid w:val="276A4D84"/>
    <w:rsid w:val="27781449"/>
    <w:rsid w:val="284871B2"/>
    <w:rsid w:val="290B6F54"/>
    <w:rsid w:val="29E66F16"/>
    <w:rsid w:val="2A660353"/>
    <w:rsid w:val="2BCB5F42"/>
    <w:rsid w:val="2BD83540"/>
    <w:rsid w:val="2C091017"/>
    <w:rsid w:val="2C245E51"/>
    <w:rsid w:val="2C6B024C"/>
    <w:rsid w:val="2F0E691F"/>
    <w:rsid w:val="2F513CD6"/>
    <w:rsid w:val="316339BD"/>
    <w:rsid w:val="37353C51"/>
    <w:rsid w:val="38C30481"/>
    <w:rsid w:val="39484984"/>
    <w:rsid w:val="3B7C27AA"/>
    <w:rsid w:val="3BC91B67"/>
    <w:rsid w:val="3D3A7B10"/>
    <w:rsid w:val="3EB74AE1"/>
    <w:rsid w:val="3FAF4101"/>
    <w:rsid w:val="406C64DC"/>
    <w:rsid w:val="42FC5A29"/>
    <w:rsid w:val="463C5516"/>
    <w:rsid w:val="46885AEC"/>
    <w:rsid w:val="48C404F1"/>
    <w:rsid w:val="48E03828"/>
    <w:rsid w:val="497270BE"/>
    <w:rsid w:val="4B3612A5"/>
    <w:rsid w:val="4CE378F3"/>
    <w:rsid w:val="4D7779CF"/>
    <w:rsid w:val="4DDF3DA6"/>
    <w:rsid w:val="4F455A46"/>
    <w:rsid w:val="536F7A4A"/>
    <w:rsid w:val="544C6701"/>
    <w:rsid w:val="55A40832"/>
    <w:rsid w:val="56137C48"/>
    <w:rsid w:val="57F86260"/>
    <w:rsid w:val="58496ABB"/>
    <w:rsid w:val="59DE7832"/>
    <w:rsid w:val="5B247662"/>
    <w:rsid w:val="5E9479CE"/>
    <w:rsid w:val="5EF404C3"/>
    <w:rsid w:val="64882FBC"/>
    <w:rsid w:val="64C97DC7"/>
    <w:rsid w:val="658D3840"/>
    <w:rsid w:val="672603DD"/>
    <w:rsid w:val="67FD4F4F"/>
    <w:rsid w:val="6A457BA4"/>
    <w:rsid w:val="6BA50FF5"/>
    <w:rsid w:val="6DB8318D"/>
    <w:rsid w:val="70461B73"/>
    <w:rsid w:val="704A7F86"/>
    <w:rsid w:val="726722DF"/>
    <w:rsid w:val="7750356B"/>
    <w:rsid w:val="78987B8C"/>
    <w:rsid w:val="7F231565"/>
    <w:rsid w:val="7FA27E58"/>
    <w:rsid w:val="7FB65F35"/>
    <w:rsid w:val="7FDE71B8"/>
    <w:rsid w:val="B7D627E2"/>
    <w:rsid w:val="D97FEC03"/>
    <w:rsid w:val="FFDF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spacing w:after="160" w:line="259" w:lineRule="auto"/>
    </w:pPr>
    <w:rPr>
      <w:rFonts w:ascii="等线" w:hAnsi="等线" w:eastAsia="等线" w:cs="Times New Roman"/>
      <w:kern w:val="0"/>
      <w:sz w:val="22"/>
    </w:rPr>
  </w:style>
  <w:style w:type="paragraph" w:styleId="4">
    <w:name w:val="Body Text"/>
    <w:basedOn w:val="1"/>
    <w:next w:val="5"/>
    <w:qFormat/>
    <w:uiPriority w:val="0"/>
    <w:pPr>
      <w:spacing w:before="61"/>
      <w:ind w:left="102"/>
    </w:pPr>
    <w:rPr>
      <w:rFonts w:ascii="宋体" w:hAnsi="宋体" w:eastAsia="宋体"/>
      <w:kern w:val="0"/>
      <w:sz w:val="28"/>
      <w:szCs w:val="28"/>
      <w:lang w:eastAsia="en-US"/>
    </w:rPr>
  </w:style>
  <w:style w:type="paragraph" w:styleId="5">
    <w:name w:val="Body Text 2"/>
    <w:basedOn w:val="1"/>
    <w:qFormat/>
    <w:uiPriority w:val="0"/>
    <w:pPr>
      <w:spacing w:line="360" w:lineRule="auto"/>
    </w:pPr>
    <w:rPr>
      <w:rFonts w:ascii="Times New Roman" w:hAnsi="Times New Roman"/>
      <w:kern w:val="0"/>
      <w:sz w:val="24"/>
      <w:szCs w:val="24"/>
    </w:rPr>
  </w:style>
  <w:style w:type="paragraph" w:styleId="6">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129b6833-9e68-4786-989f-4c00d4d06429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7AC40845</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de0e3d7f-78c7-4584-9ace-e3c7550dea64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396AEACD</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e42f3190-6c9e-4fd3-baae-e2accdd27af7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47AFF807</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12755e56-7b39-49ce-9f00-6e3bb7a41671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 1412B59</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15791efd-ac55-4dc0-bbb3-f9e00bf6ba69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 DBF7A60</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e82fb055-6e4f-4442-8dbd-e9e69a9a224f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248AED23</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2d044027-2a8d-4cc8-955a-322c9cd0d6da</errorID>
      <errorWord xmlns="http://schemas.wps.cn/vas-ai-hub/contract-review">和合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折合</item>
      </candidateList>
      <explain xmlns="http://schemas.wps.cn/vas-ai-hub/contract-review"/>
      <paraID xmlns="http://schemas.wps.cn/vas-ai-hub/contract-review">14F1AEF5</paraID>
      <start xmlns="http://schemas.wps.cn/vas-ai-hub/contract-review">43</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2c87d07d-a6ac-4b44-b523-5f632eec9d20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45969890</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cecee5be-7e67-4929-ba15-0701dc7f84f7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7BFA56FE</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58721107-9bd3-4e10-8593-42f738e41ccb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2A64918D</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9ac8f871-8088-448e-a986-d95b7be099a0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55978B41</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a09b7cc2-bf18-4040-bdce-0f5e43243eb8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2F14DC93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6e7c59aa-7661-4f67-9528-59989d06099e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1D32D6AE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066d15c4-2353-4796-bcad-e0b9aa5bb5c3</errorID>
      <errorWord xmlns="http://schemas.wps.cn/vas-ai-hub/contract-review">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晰地</item>
      </candidateList>
      <explain xmlns="http://schemas.wps.cn/vas-ai-hub/contract-review"/>
      <paraID xmlns="http://schemas.wps.cn/vas-ai-hub/contract-review">582E3481</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33bf1e39-3d45-44d3-8fa5-600374ef4e1f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2F680168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d5087c31-95b8-4816-95ad-02420ebab813</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97DBC0D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fd0bb5b3-7e3f-422f-a2c7-1619f234d531</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171B3F34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3d0dc15c-e58e-4305-91b0-4f3500bf43f2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A7F8930</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a4bdc412-4f35-443e-bcc1-c5c1ea040606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A7F8930</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75afb5c0-cd74-4786-9921-a4ce600f4e3a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24CD6059</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935766f2-005a-40c1-b218-aa389fcb6745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24CD6059</paraID>
      <start xmlns="http://schemas.wps.cn/vas-ai-hub/contract-review">88</start>
      <end xmlns="http://schemas.wps.cn/vas-ai-hub/contract-review">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50c1148d-6fc5-4459-be8a-2b99feb9a114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449141FD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55b60373-ce36-444f-b3e2-94f964c8ca5f</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505CCD4A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1462d3f2-b287-45a3-bf16-9fb1303be313}">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5510</Words>
  <Characters>5679</Characters>
  <Lines>0</Lines>
  <Paragraphs>0</Paragraphs>
  <TotalTime>2</TotalTime>
  <ScaleCrop>false</ScaleCrop>
  <LinksUpToDate>false</LinksUpToDate>
  <CharactersWithSpaces>5906</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2025-11-12T02:51:00Z</dcterms:created>
  <dc:creator>陈婷</dc:creator>
  <cp:lastModifiedBy>asd</cp:lastModifiedBy>
  <dcterms:modified xsi:type="dcterms:W3CDTF">2025-12-12T12:46:18Z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37E094F596524478BB7F1BBB173F04C9_11</vt:lpwstr>
  </property>
  <property fmtid="{D5CDD505-2E9C-101B-9397-08002B2CF9AE}" pid="4" name="KSOTemplateDocerSaveRecord">
    <vt:lpwstr>eyJoZGlkIjoiMDljYzUzMWQ4OWI0YzBkYjYzMDRhZTY5ZjZkYmFmYTgiLCJ1c2VySWQiOiIyOTI1NDU0ODQifQ==</vt:lpwstr>
  </property>
</Properties>
</file>