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ascii="仿宋" w:hAnsi="仿宋" w:eastAsia="仿宋"/>
          <w:szCs w:val="21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深圳市规划国土发展研究中心就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</w:rPr>
              <w:t>深圳市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规划国土发展研究中心山海大厦东座</w:t>
            </w:r>
            <w:r>
              <w:rPr>
                <w:rFonts w:hint="eastAsia" w:ascii="仿宋" w:hAnsi="仿宋" w:eastAsia="仿宋"/>
                <w:szCs w:val="21"/>
              </w:rPr>
              <w:t>办公区域清洁服务采购</w:t>
            </w:r>
            <w:r>
              <w:rPr>
                <w:rFonts w:ascii="仿宋" w:hAnsi="仿宋" w:eastAsia="仿宋"/>
                <w:szCs w:val="21"/>
              </w:rPr>
              <w:t>》项目采用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  <w:lang w:eastAsia="zh-CN"/>
              </w:rPr>
              <w:t>询价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</w:rPr>
              <w:t>深圳市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规划国土发展研究中心山海大厦东座</w:t>
            </w:r>
            <w:r>
              <w:rPr>
                <w:rFonts w:hint="eastAsia" w:ascii="仿宋" w:hAnsi="仿宋" w:eastAsia="仿宋"/>
                <w:szCs w:val="21"/>
              </w:rPr>
              <w:t>办公区域清洁服务采购项目</w:t>
            </w:r>
            <w:r>
              <w:rPr>
                <w:rFonts w:ascii="仿宋" w:hAnsi="仿宋" w:eastAsia="仿宋"/>
                <w:szCs w:val="21"/>
              </w:rPr>
              <w:t>》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项目。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11.5万元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>
            <w:pPr>
              <w:pStyle w:val="5"/>
              <w:ind w:left="0" w:leftChars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1、</w:t>
            </w:r>
            <w:r>
              <w:rPr>
                <w:rFonts w:ascii="仿宋" w:hAnsi="仿宋" w:eastAsia="仿宋"/>
                <w:color w:val="000000"/>
                <w:szCs w:val="21"/>
              </w:rPr>
              <w:t>建立环境卫生管理制度并认真落实，环卫设施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设置合理、完备，垃圾日清，保洁工作满足政府办公环境和外来人员流量大的特点要求。</w:t>
            </w:r>
          </w:p>
          <w:p>
            <w:pPr>
              <w:pStyle w:val="5"/>
              <w:ind w:left="0" w:leftChars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2、办公室、会议室、室内公共区域及开水间、卫生间的天花无蜘蛛网，地面无尘，无积水。室内主要通道地面无尘印。对公共区域定期消杀。</w:t>
            </w:r>
          </w:p>
          <w:p>
            <w:pPr>
              <w:pStyle w:val="5"/>
              <w:ind w:left="0" w:leftChars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3、会议室、接待室和其它功能室定期吸尘、清洗、擦拭，随时保洁。</w:t>
            </w:r>
          </w:p>
          <w:p>
            <w:pPr>
              <w:pStyle w:val="5"/>
              <w:ind w:left="0" w:leftChars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4、公共玻璃门、窗、玻璃隔断保持无污迹、灰尘；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pStyle w:val="5"/>
              <w:ind w:left="0" w:leftChars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5、保证各楼层卫生间清洁卫生无异味。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color w:val="auto"/>
                <w:szCs w:val="21"/>
              </w:rPr>
            </w:pPr>
            <w:r>
              <w:rPr>
                <w:rFonts w:ascii="仿宋" w:hAnsi="仿宋" w:eastAsia="仿宋"/>
                <w:bCs/>
                <w:color w:val="auto"/>
                <w:szCs w:val="21"/>
              </w:rPr>
              <w:t>拟定供应商名单：</w:t>
            </w:r>
          </w:p>
          <w:p>
            <w:pPr>
              <w:numPr>
                <w:ilvl w:val="0"/>
                <w:numId w:val="0"/>
              </w:numPr>
              <w:spacing w:before="62" w:beforeLines="20" w:line="360" w:lineRule="auto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FF0000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深圳市景新格清洁服务有限公司2.深圳市万科物业服务有限公司3.深圳市铭月物业管理有限公司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中心山海大厦办公区原物业为山水宾馆物业公司，近期正在裁员。通知中心不能继续提供保洁服务，福田局遴选的新物业，预计到2026年4月中旬才能采购完成，中心就要面临1-4份没有保洁服务的困境，为了中心员工能够在良好环境下正常工作，行政部拟通过询价评选一家物业公司在过渡期紧急提供保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征求意见期限（不少于5个工作日）：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31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采购人:深圳市规划国土发展研究中心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ascii="仿宋" w:hAnsi="仿宋" w:eastAsia="仿宋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  <w:lang w:eastAsia="zh-CN"/>
              </w:rPr>
              <w:t>高工</w:t>
            </w:r>
            <w:r>
              <w:rPr>
                <w:rFonts w:ascii="仿宋" w:hAnsi="仿宋" w:eastAsia="仿宋" w:cs="宋体"/>
                <w:kern w:val="0"/>
                <w:szCs w:val="21"/>
                <w:u w:val="single"/>
              </w:rPr>
              <w:t xml:space="preserve">       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　　 地址：深圳市红荔西路8009号规划大厦</w:t>
            </w:r>
          </w:p>
          <w:p>
            <w:pPr>
              <w:widowControl/>
              <w:spacing w:before="100" w:beforeAutospacing="1" w:after="100" w:afterAutospacing="1" w:line="360" w:lineRule="auto"/>
              <w:ind w:firstLine="525" w:firstLineChars="25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联系电话：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23965106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   传真：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485A2C"/>
    <w:rsid w:val="00600F20"/>
    <w:rsid w:val="009426B5"/>
    <w:rsid w:val="00A47943"/>
    <w:rsid w:val="00B059E0"/>
    <w:rsid w:val="00BA7F65"/>
    <w:rsid w:val="00C747B4"/>
    <w:rsid w:val="071FF32E"/>
    <w:rsid w:val="0B2F6435"/>
    <w:rsid w:val="18083576"/>
    <w:rsid w:val="19F10845"/>
    <w:rsid w:val="21EE11B9"/>
    <w:rsid w:val="2E771032"/>
    <w:rsid w:val="3BEF9F21"/>
    <w:rsid w:val="3FE74E7D"/>
    <w:rsid w:val="40DD0A54"/>
    <w:rsid w:val="4323409F"/>
    <w:rsid w:val="435F0C7D"/>
    <w:rsid w:val="456A1771"/>
    <w:rsid w:val="45CA7A30"/>
    <w:rsid w:val="463A4656"/>
    <w:rsid w:val="47EB631F"/>
    <w:rsid w:val="4FF2E104"/>
    <w:rsid w:val="4FFFB482"/>
    <w:rsid w:val="52E564FD"/>
    <w:rsid w:val="577D29CB"/>
    <w:rsid w:val="5AFD1402"/>
    <w:rsid w:val="5B571389"/>
    <w:rsid w:val="5FF38A06"/>
    <w:rsid w:val="64C63AA4"/>
    <w:rsid w:val="6BDFAC34"/>
    <w:rsid w:val="6DC72B91"/>
    <w:rsid w:val="6EFD54E8"/>
    <w:rsid w:val="6F877F3E"/>
    <w:rsid w:val="6FCFE3A7"/>
    <w:rsid w:val="73F74A84"/>
    <w:rsid w:val="74D350BF"/>
    <w:rsid w:val="76F6D422"/>
    <w:rsid w:val="77EE5782"/>
    <w:rsid w:val="793E15F9"/>
    <w:rsid w:val="79D6ABCE"/>
    <w:rsid w:val="7BDD7DD2"/>
    <w:rsid w:val="7BDD9EE2"/>
    <w:rsid w:val="7BFDB452"/>
    <w:rsid w:val="7BFFB6E9"/>
    <w:rsid w:val="7DF4B8CD"/>
    <w:rsid w:val="7E3F0D25"/>
    <w:rsid w:val="7EEF251D"/>
    <w:rsid w:val="7EF752A0"/>
    <w:rsid w:val="7F0DD068"/>
    <w:rsid w:val="7FBDE9EA"/>
    <w:rsid w:val="7FBE51B5"/>
    <w:rsid w:val="7FDF0D8B"/>
    <w:rsid w:val="7FF5DB53"/>
    <w:rsid w:val="7FFF5147"/>
    <w:rsid w:val="8FBE2CCB"/>
    <w:rsid w:val="96FE29FD"/>
    <w:rsid w:val="B5EB1FE3"/>
    <w:rsid w:val="B7FBADE7"/>
    <w:rsid w:val="CD2F799A"/>
    <w:rsid w:val="D7FD81CE"/>
    <w:rsid w:val="DF7E1856"/>
    <w:rsid w:val="E9FF7043"/>
    <w:rsid w:val="EAD7D6A2"/>
    <w:rsid w:val="EDF5577D"/>
    <w:rsid w:val="EEBB0F98"/>
    <w:rsid w:val="EEEF0133"/>
    <w:rsid w:val="EFD32962"/>
    <w:rsid w:val="EFF2694B"/>
    <w:rsid w:val="EFFF6B26"/>
    <w:rsid w:val="F5AE9BF6"/>
    <w:rsid w:val="F76BBA6D"/>
    <w:rsid w:val="F76FE5A5"/>
    <w:rsid w:val="F7CD85DD"/>
    <w:rsid w:val="F7F71841"/>
    <w:rsid w:val="F7FDBBCC"/>
    <w:rsid w:val="F7FF96BD"/>
    <w:rsid w:val="F9E0BE6F"/>
    <w:rsid w:val="FBADB092"/>
    <w:rsid w:val="FBCD036D"/>
    <w:rsid w:val="FBF570ED"/>
    <w:rsid w:val="FE5F905A"/>
    <w:rsid w:val="FF5B34F1"/>
    <w:rsid w:val="FFDD8EA8"/>
    <w:rsid w:val="FFE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451</Words>
  <Characters>466</Characters>
  <Lines>3</Lines>
  <Paragraphs>1</Paragraphs>
  <TotalTime>3</TotalTime>
  <ScaleCrop>false</ScaleCrop>
  <LinksUpToDate>false</LinksUpToDate>
  <CharactersWithSpaces>522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2022-02-25T16:16:00Z</dcterms:created>
  <dc:creator>季剑飞</dc:creator>
  <cp:lastModifiedBy>qilin</cp:lastModifiedBy>
  <cp:lastPrinted>2025-12-31T17:20:00Z</cp:lastPrinted>
  <dcterms:modified xsi:type="dcterms:W3CDTF">2025-12-31T11:40:54Z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3536F0A1146445FBA61B05FB690C3CE6</vt:lpwstr>
  </property>
</Properties>
</file>