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240" w:lineRule="auto"/>
        <w:rPr>
          <w:rFonts w:hint="default" w:ascii="仿宋_GB2312" w:hAnsi="仿宋_GB2312" w:eastAsia="仿宋_GB2312" w:cs="仿宋_GB2312"/>
          <w:b w:val="0"/>
          <w:bCs w:val="0"/>
          <w:kern w:val="2"/>
          <w:sz w:val="32"/>
          <w:szCs w:val="32"/>
          <w:highlight w:val="none"/>
          <w:lang w:val="en-US" w:eastAsia="zh-CN" w:bidi="ar-SA"/>
        </w:rPr>
      </w:pPr>
      <w:r>
        <w:rPr>
          <w:rFonts w:hint="eastAsia" w:ascii="CESI黑体-GB2312" w:hAnsi="CESI黑体-GB2312" w:eastAsia="CESI黑体-GB2312" w:cs="CESI黑体-GB2312"/>
          <w:b w:val="0"/>
          <w:bCs w:val="0"/>
          <w:kern w:val="2"/>
          <w:sz w:val="32"/>
          <w:szCs w:val="32"/>
          <w:highlight w:val="none"/>
          <w:lang w:val="en-US" w:eastAsia="zh-CN" w:bidi="ar-SA"/>
        </w:rPr>
        <w:t>附件</w:t>
      </w:r>
    </w:p>
    <w:p>
      <w:pPr>
        <w:pStyle w:val="2"/>
        <w:spacing w:line="560" w:lineRule="exact"/>
        <w:jc w:val="center"/>
        <w:rPr>
          <w:rFonts w:hint="eastAsia" w:ascii="方正小标宋简体" w:hAnsi="方正小标宋简体" w:eastAsia="方正小标宋简体" w:cs="方正小标宋简体"/>
          <w:sz w:val="44"/>
          <w:szCs w:val="44"/>
        </w:rPr>
      </w:pPr>
    </w:p>
    <w:p>
      <w:pPr>
        <w:pStyle w:val="2"/>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《深圳经济特区红树林湿地保护若干规定</w:t>
      </w:r>
    </w:p>
    <w:p>
      <w:pPr>
        <w:pStyle w:val="2"/>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送审</w:t>
      </w:r>
      <w:r>
        <w:rPr>
          <w:rFonts w:hint="eastAsia" w:ascii="方正小标宋简体" w:hAnsi="方正小标宋简体" w:eastAsia="方正小标宋简体" w:cs="方正小标宋简体"/>
          <w:sz w:val="44"/>
          <w:szCs w:val="44"/>
        </w:rPr>
        <w:t>稿）》社会公众征求意见及采纳</w:t>
      </w:r>
    </w:p>
    <w:p>
      <w:pPr>
        <w:pStyle w:val="2"/>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情况</w:t>
      </w:r>
      <w:r>
        <w:rPr>
          <w:rFonts w:hint="eastAsia" w:ascii="方正小标宋简体" w:hAnsi="方正小标宋简体" w:eastAsia="方正小标宋简体" w:cs="方正小标宋简体"/>
          <w:sz w:val="44"/>
          <w:szCs w:val="44"/>
          <w:lang w:val="en-US" w:eastAsia="zh-CN"/>
        </w:rPr>
        <w:t>处理</w:t>
      </w:r>
      <w:r>
        <w:rPr>
          <w:rFonts w:hint="eastAsia" w:ascii="方正小标宋简体" w:hAnsi="方正小标宋简体" w:eastAsia="方正小标宋简体" w:cs="方正小标宋简体"/>
          <w:sz w:val="44"/>
          <w:szCs w:val="44"/>
        </w:rPr>
        <w:t>表</w:t>
      </w:r>
    </w:p>
    <w:p>
      <w:pPr>
        <w:pStyle w:val="4"/>
        <w:spacing w:after="0" w:line="540" w:lineRule="exact"/>
        <w:rPr>
          <w:rFonts w:hint="eastAsia"/>
        </w:rPr>
      </w:pPr>
    </w:p>
    <w:p>
      <w:pPr>
        <w:pStyle w:val="5"/>
        <w:ind w:firstLine="640" w:firstLineChars="200"/>
        <w:rPr>
          <w:rFonts w:hint="eastAsia"/>
        </w:rPr>
      </w:pPr>
      <w:r>
        <w:rPr>
          <w:rFonts w:hint="eastAsia" w:ascii="仿宋_GB2312" w:hAnsi="仿宋_GB2312" w:eastAsia="仿宋_GB2312" w:cs="仿宋_GB2312"/>
          <w:sz w:val="32"/>
          <w:szCs w:val="32"/>
        </w:rPr>
        <w:t>收</w:t>
      </w:r>
      <w:r>
        <w:rPr>
          <w:rFonts w:hint="eastAsia" w:ascii="仿宋_GB2312" w:hAnsi="仿宋_GB2312" w:eastAsia="仿宋_GB2312" w:cs="仿宋_GB2312"/>
          <w:spacing w:val="-6"/>
          <w:sz w:val="32"/>
          <w:szCs w:val="32"/>
        </w:rPr>
        <w:t>集社会公众意见和咨询共计</w:t>
      </w:r>
      <w:r>
        <w:rPr>
          <w:rFonts w:hint="eastAsia" w:ascii="仿宋_GB2312" w:hAnsi="仿宋_GB2312" w:eastAsia="仿宋_GB2312" w:cs="仿宋_GB2312"/>
          <w:spacing w:val="-6"/>
          <w:sz w:val="32"/>
          <w:szCs w:val="32"/>
          <w:lang w:val="en-US" w:eastAsia="zh-CN"/>
        </w:rPr>
        <w:t>10</w:t>
      </w:r>
      <w:r>
        <w:rPr>
          <w:rFonts w:hint="eastAsia" w:ascii="仿宋_GB2312" w:hAnsi="仿宋_GB2312" w:eastAsia="仿宋_GB2312" w:cs="仿宋_GB2312"/>
          <w:spacing w:val="-6"/>
          <w:sz w:val="32"/>
          <w:szCs w:val="32"/>
        </w:rPr>
        <w:t>条。其中意见</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条，采纳</w:t>
      </w: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rPr>
        <w:t>条</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部分采纳1条，解释1条</w:t>
      </w:r>
      <w:r>
        <w:rPr>
          <w:rFonts w:hint="eastAsia" w:ascii="仿宋_GB2312" w:hAnsi="仿宋_GB2312" w:eastAsia="仿宋_GB2312" w:cs="仿宋_GB2312"/>
          <w:spacing w:val="-6"/>
          <w:sz w:val="32"/>
          <w:szCs w:val="32"/>
        </w:rPr>
        <w:t>。咨询5条，</w:t>
      </w:r>
      <w:r>
        <w:rPr>
          <w:rFonts w:hint="eastAsia" w:ascii="仿宋_GB2312" w:hAnsi="仿宋_GB2312" w:eastAsia="仿宋_GB2312" w:cs="仿宋_GB2312"/>
          <w:spacing w:val="-6"/>
          <w:sz w:val="32"/>
          <w:szCs w:val="32"/>
          <w:lang w:val="en-US" w:eastAsia="zh-CN"/>
        </w:rPr>
        <w:t>答复</w:t>
      </w:r>
      <w:r>
        <w:rPr>
          <w:rFonts w:hint="eastAsia" w:ascii="仿宋_GB2312" w:hAnsi="仿宋_GB2312" w:eastAsia="仿宋_GB2312" w:cs="仿宋_GB2312"/>
          <w:spacing w:val="-6"/>
          <w:sz w:val="32"/>
          <w:szCs w:val="32"/>
        </w:rPr>
        <w:t>5条。</w:t>
      </w:r>
    </w:p>
    <w:tbl>
      <w:tblPr>
        <w:tblStyle w:val="7"/>
        <w:tblW w:w="92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1"/>
        <w:gridCol w:w="1106"/>
        <w:gridCol w:w="3556"/>
        <w:gridCol w:w="808"/>
        <w:gridCol w:w="3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blHeader/>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hint="eastAsia" w:ascii="黑体" w:hAnsi="黑体" w:eastAsia="黑体" w:cs="黑体"/>
                <w:sz w:val="24"/>
                <w:szCs w:val="22"/>
                <w14:ligatures w14:val="none"/>
              </w:rPr>
            </w:pPr>
            <w:r>
              <w:rPr>
                <w:rFonts w:hint="eastAsia" w:ascii="黑体" w:hAnsi="黑体" w:eastAsia="黑体" w:cs="黑体"/>
                <w:sz w:val="24"/>
                <w:szCs w:val="22"/>
                <w14:ligatures w14:val="none"/>
              </w:rPr>
              <w:t>序号</w:t>
            </w:r>
          </w:p>
        </w:tc>
        <w:tc>
          <w:tcPr>
            <w:tcW w:w="1106"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hint="eastAsia" w:ascii="黑体" w:hAnsi="黑体" w:eastAsia="黑体" w:cs="黑体"/>
                <w:sz w:val="24"/>
                <w:szCs w:val="22"/>
                <w14:ligatures w14:val="none"/>
              </w:rPr>
            </w:pPr>
            <w:r>
              <w:rPr>
                <w:rFonts w:hint="eastAsia" w:ascii="黑体" w:hAnsi="黑体" w:eastAsia="黑体" w:cs="黑体"/>
                <w:sz w:val="24"/>
                <w:szCs w:val="22"/>
                <w14:ligatures w14:val="none"/>
              </w:rPr>
              <w:t>有关单位/个人</w:t>
            </w:r>
          </w:p>
        </w:tc>
        <w:tc>
          <w:tcPr>
            <w:tcW w:w="3556"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hint="eastAsia" w:ascii="黑体" w:hAnsi="黑体" w:eastAsia="黑体" w:cs="黑体"/>
                <w:sz w:val="24"/>
                <w:szCs w:val="22"/>
                <w14:ligatures w14:val="none"/>
              </w:rPr>
            </w:pPr>
            <w:r>
              <w:rPr>
                <w:rFonts w:hint="eastAsia" w:ascii="黑体" w:hAnsi="黑体" w:eastAsia="黑体" w:cs="黑体"/>
                <w:sz w:val="24"/>
                <w:szCs w:val="22"/>
                <w14:ligatures w14:val="none"/>
              </w:rPr>
              <w:t>提出的意见和咨询</w:t>
            </w:r>
          </w:p>
        </w:tc>
        <w:tc>
          <w:tcPr>
            <w:tcW w:w="808"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hint="eastAsia" w:ascii="黑体" w:hAnsi="黑体" w:eastAsia="黑体" w:cs="黑体"/>
                <w:sz w:val="24"/>
                <w:szCs w:val="22"/>
                <w14:ligatures w14:val="none"/>
              </w:rPr>
            </w:pPr>
            <w:r>
              <w:rPr>
                <w:rFonts w:hint="eastAsia" w:ascii="黑体" w:hAnsi="黑体" w:eastAsia="黑体" w:cs="黑体"/>
                <w:sz w:val="24"/>
                <w:szCs w:val="22"/>
                <w14:ligatures w14:val="none"/>
              </w:rPr>
              <w:t>采纳情况</w:t>
            </w:r>
          </w:p>
        </w:tc>
        <w:tc>
          <w:tcPr>
            <w:tcW w:w="3015"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hint="eastAsia" w:ascii="黑体" w:hAnsi="黑体" w:eastAsia="黑体" w:cs="黑体"/>
                <w:sz w:val="24"/>
                <w:szCs w:val="22"/>
                <w14:ligatures w14:val="none"/>
              </w:rPr>
            </w:pPr>
            <w:r>
              <w:rPr>
                <w:rFonts w:hint="eastAsia" w:ascii="黑体" w:hAnsi="黑体" w:eastAsia="黑体" w:cs="黑体"/>
                <w:sz w:val="24"/>
                <w:szCs w:val="22"/>
                <w14:ligatures w14:val="none"/>
              </w:rPr>
              <w:t>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0" w:hRule="atLeast"/>
          <w:jc w:val="center"/>
        </w:trPr>
        <w:tc>
          <w:tcPr>
            <w:tcW w:w="751" w:type="dxa"/>
            <w:tcBorders>
              <w:top w:val="single" w:color="000000" w:sz="4" w:space="0"/>
              <w:left w:val="single" w:color="000000" w:sz="4" w:space="0"/>
              <w:right w:val="single" w:color="000000" w:sz="4" w:space="0"/>
            </w:tcBorders>
            <w:vAlign w:val="center"/>
          </w:tcPr>
          <w:p>
            <w:pPr>
              <w:widowControl/>
              <w:spacing w:after="0" w:line="240" w:lineRule="atLeast"/>
              <w:jc w:val="center"/>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1</w:t>
            </w:r>
          </w:p>
        </w:tc>
        <w:tc>
          <w:tcPr>
            <w:tcW w:w="1106" w:type="dxa"/>
            <w:vMerge w:val="restart"/>
            <w:tcBorders>
              <w:left w:val="single" w:color="000000" w:sz="4" w:space="0"/>
              <w:right w:val="single" w:color="000000" w:sz="4" w:space="0"/>
            </w:tcBorders>
            <w:vAlign w:val="center"/>
          </w:tcPr>
          <w:p>
            <w:pPr>
              <w:spacing w:after="0" w:line="240" w:lineRule="atLeast"/>
              <w:jc w:val="center"/>
              <w:rPr>
                <w:rFonts w:hint="eastAsia" w:ascii="仿宋_GB2312" w:hAnsi="仿宋_GB2312" w:eastAsia="仿宋_GB2312" w:cs="仿宋_GB2312"/>
                <w:sz w:val="24"/>
                <w:szCs w:val="22"/>
                <w14:ligatures w14:val="none"/>
              </w:rPr>
            </w:pPr>
            <w:r>
              <w:rPr>
                <w:rFonts w:hint="eastAsia" w:ascii="仿宋_GB2312" w:hAnsi="仿宋_GB2312" w:eastAsia="仿宋_GB2312" w:cs="仿宋_GB2312"/>
                <w:sz w:val="24"/>
                <w:szCs w:val="22"/>
                <w14:ligatures w14:val="none"/>
              </w:rPr>
              <w:t>邹先生</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atLeast"/>
              <w:jc w:val="both"/>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第四条：“区人民政府（含新区管理机构，以下简称区政府）负责本行政区域内红树林湿地保护、修复和管理，依职责确定辖区内红树林湿地保护管理机构或管护责任单位。”</w:t>
            </w:r>
          </w:p>
          <w:p>
            <w:pPr>
              <w:widowControl/>
              <w:spacing w:after="0" w:line="240" w:lineRule="atLeast"/>
              <w:jc w:val="both"/>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根据该表述，是否可以理解为区人民政府既是本行政区的红树林保护修复管理责任主体，同时还要确定红树林的保护管理主体或管护责任主体？</w:t>
            </w:r>
          </w:p>
          <w:p>
            <w:pPr>
              <w:widowControl/>
              <w:spacing w:after="0" w:line="240" w:lineRule="atLeast"/>
              <w:textAlignment w:val="center"/>
              <w:rPr>
                <w:rFonts w:hint="eastAsia" w:ascii="仿宋_GB2312" w:hAnsi="仿宋_GB2312" w:eastAsia="仿宋_GB2312" w:cs="仿宋_GB2312"/>
                <w:sz w:val="24"/>
                <w:szCs w:val="22"/>
                <w14:ligatures w14:val="none"/>
              </w:rPr>
            </w:pPr>
            <w:r>
              <w:rPr>
                <w:rFonts w:hint="eastAsia" w:ascii="仿宋_GB2312" w:hAnsi="仿宋_GB2312" w:eastAsia="仿宋_GB2312" w:cs="仿宋_GB2312"/>
                <w:kern w:val="0"/>
                <w:sz w:val="24"/>
                <w:szCs w:val="22"/>
                <w:lang w:bidi="ar"/>
                <w14:ligatures w14:val="none"/>
              </w:rPr>
              <w:t>“保护管理机构或管护责任单位”这是两个功能责任完全不同的主体，为什么用”或”而不是“和”？（第八条同样问题）保护管理机构是指政府具体管理部门，这里是否可理解为区林业主管部门？管护责任单位是否指负责具体日常维护的具体企业或其他主体？</w:t>
            </w:r>
          </w:p>
        </w:tc>
        <w:tc>
          <w:tcPr>
            <w:tcW w:w="808" w:type="dxa"/>
            <w:tcBorders>
              <w:top w:val="single" w:color="000000" w:sz="4" w:space="0"/>
              <w:left w:val="single" w:color="000000" w:sz="4" w:space="0"/>
              <w:bottom w:val="single" w:color="000000" w:sz="4" w:space="0"/>
              <w:right w:val="single" w:color="000000" w:sz="4" w:space="0"/>
            </w:tcBorders>
            <w:vAlign w:val="center"/>
          </w:tcPr>
          <w:p>
            <w:pPr>
              <w:spacing w:after="0" w:line="240" w:lineRule="atLeast"/>
              <w:jc w:val="center"/>
              <w:rPr>
                <w:rFonts w:hint="eastAsia" w:ascii="仿宋_GB2312" w:hAnsi="仿宋_GB2312" w:eastAsia="仿宋_GB2312" w:cs="仿宋_GB2312"/>
                <w:sz w:val="24"/>
                <w:szCs w:val="22"/>
                <w14:ligatures w14:val="none"/>
              </w:rPr>
            </w:pPr>
            <w:r>
              <w:rPr>
                <w:rFonts w:hint="eastAsia" w:ascii="仿宋_GB2312" w:hAnsi="仿宋_GB2312" w:eastAsia="仿宋_GB2312" w:cs="仿宋_GB2312"/>
                <w:sz w:val="24"/>
                <w:szCs w:val="22"/>
                <w14:ligatures w14:val="none"/>
              </w:rPr>
              <w:t>采纳</w:t>
            </w:r>
          </w:p>
        </w:tc>
        <w:tc>
          <w:tcPr>
            <w:tcW w:w="3015"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after="0" w:line="240" w:lineRule="atLeast"/>
              <w:jc w:val="both"/>
              <w:rPr>
                <w:rFonts w:hint="eastAsia" w:ascii="仿宋_GB2312" w:hAnsi="仿宋_GB2312" w:eastAsia="仿宋_GB2312" w:cs="仿宋_GB2312"/>
                <w:sz w:val="24"/>
                <w:szCs w:val="22"/>
                <w14:ligatures w14:val="none"/>
              </w:rPr>
            </w:pPr>
            <w:r>
              <w:rPr>
                <w:rFonts w:hint="eastAsia" w:ascii="仿宋_GB2312" w:hAnsi="仿宋_GB2312" w:eastAsia="仿宋_GB2312" w:cs="仿宋_GB2312"/>
                <w:sz w:val="24"/>
                <w:szCs w:val="22"/>
                <w14:ligatures w14:val="none"/>
              </w:rPr>
              <w:t>区人民政府是本行政区的红树林保护修复管理责任主体，但涉及具体管理范围时，需要确定红树林的保护管理机构或管护责任单位进行实际管理。</w:t>
            </w:r>
          </w:p>
          <w:p>
            <w:pPr>
              <w:numPr>
                <w:ilvl w:val="0"/>
                <w:numId w:val="1"/>
              </w:numPr>
              <w:spacing w:after="0" w:line="240" w:lineRule="atLeast"/>
              <w:jc w:val="both"/>
              <w:rPr>
                <w:rFonts w:hint="eastAsia" w:ascii="仿宋_GB2312" w:hAnsi="仿宋_GB2312" w:eastAsia="仿宋_GB2312" w:cs="仿宋_GB2312"/>
                <w:sz w:val="24"/>
                <w:szCs w:val="22"/>
                <w14:ligatures w14:val="none"/>
              </w:rPr>
            </w:pPr>
            <w:r>
              <w:rPr>
                <w:rFonts w:hint="eastAsia" w:ascii="仿宋_GB2312" w:hAnsi="仿宋_GB2312" w:eastAsia="仿宋_GB2312" w:cs="仿宋_GB2312"/>
                <w:sz w:val="24"/>
                <w:szCs w:val="22"/>
                <w14:ligatures w14:val="none"/>
              </w:rPr>
              <w:t>已根据意见将“或”修改为“和”。</w:t>
            </w:r>
          </w:p>
          <w:p>
            <w:pPr>
              <w:numPr>
                <w:ilvl w:val="0"/>
                <w:numId w:val="1"/>
              </w:numPr>
              <w:spacing w:after="0" w:line="240" w:lineRule="atLeast"/>
              <w:jc w:val="both"/>
              <w:rPr>
                <w:rFonts w:hint="eastAsia" w:ascii="仿宋_GB2312" w:hAnsi="仿宋_GB2312" w:eastAsia="仿宋_GB2312" w:cs="仿宋_GB2312"/>
                <w:sz w:val="24"/>
                <w:szCs w:val="22"/>
                <w14:ligatures w14:val="none"/>
              </w:rPr>
            </w:pPr>
            <w:r>
              <w:rPr>
                <w:rFonts w:hint="eastAsia" w:ascii="仿宋_GB2312" w:hAnsi="仿宋_GB2312" w:eastAsia="仿宋_GB2312" w:cs="仿宋_GB2312"/>
                <w:sz w:val="24"/>
                <w:szCs w:val="22"/>
                <w14:ligatures w14:val="none"/>
              </w:rPr>
              <w:t>“</w:t>
            </w:r>
            <w:r>
              <w:rPr>
                <w:rFonts w:hint="eastAsia" w:ascii="仿宋_GB2312" w:hAnsi="仿宋_GB2312" w:eastAsia="仿宋_GB2312" w:cs="仿宋_GB2312"/>
                <w:kern w:val="0"/>
                <w:sz w:val="24"/>
                <w:szCs w:val="22"/>
                <w:lang w:bidi="ar"/>
                <w14:ligatures w14:val="none"/>
              </w:rPr>
              <w:t>保护管理机构</w:t>
            </w:r>
            <w:r>
              <w:rPr>
                <w:rFonts w:hint="eastAsia" w:ascii="仿宋_GB2312" w:hAnsi="仿宋_GB2312" w:eastAsia="仿宋_GB2312" w:cs="仿宋_GB2312"/>
                <w:sz w:val="24"/>
                <w:szCs w:val="22"/>
                <w14:ligatures w14:val="none"/>
              </w:rPr>
              <w:t>”一般指红树林保护区内的由政府设立、具有行政管理或公益事业职能的正式机构；“管护责任单位”一般指通过政府购买服务、委托或合同等方式，承担具体养护工作的实体。</w:t>
            </w:r>
          </w:p>
          <w:p>
            <w:pPr>
              <w:spacing w:after="0" w:line="240" w:lineRule="atLeast"/>
              <w:jc w:val="both"/>
              <w:rPr>
                <w:rFonts w:hint="eastAsia" w:ascii="仿宋_GB2312" w:hAnsi="仿宋_GB2312" w:eastAsia="仿宋_GB2312" w:cs="仿宋_GB2312"/>
                <w:sz w:val="24"/>
                <w:szCs w:val="22"/>
                <w14:ligatures w14: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6" w:hRule="atLeast"/>
          <w:jc w:val="center"/>
        </w:trPr>
        <w:tc>
          <w:tcPr>
            <w:tcW w:w="751" w:type="dxa"/>
            <w:tcBorders>
              <w:left w:val="single" w:color="000000" w:sz="4" w:space="0"/>
              <w:right w:val="single" w:color="000000" w:sz="4" w:space="0"/>
            </w:tcBorders>
            <w:vAlign w:val="center"/>
          </w:tcPr>
          <w:p>
            <w:pPr>
              <w:widowControl/>
              <w:spacing w:after="0" w:line="240" w:lineRule="atLeast"/>
              <w:jc w:val="center"/>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2</w:t>
            </w:r>
          </w:p>
        </w:tc>
        <w:tc>
          <w:tcPr>
            <w:tcW w:w="1106" w:type="dxa"/>
            <w:vMerge w:val="continue"/>
            <w:tcBorders>
              <w:left w:val="single" w:color="000000" w:sz="4" w:space="0"/>
              <w:right w:val="single" w:color="000000" w:sz="4" w:space="0"/>
            </w:tcBorders>
            <w:vAlign w:val="center"/>
          </w:tcPr>
          <w:p>
            <w:pPr>
              <w:spacing w:after="0" w:line="240" w:lineRule="atLeast"/>
              <w:jc w:val="both"/>
              <w:rPr>
                <w:rFonts w:hint="eastAsia" w:ascii="仿宋_GB2312" w:hAnsi="仿宋_GB2312" w:eastAsia="仿宋_GB2312" w:cs="仿宋_GB2312"/>
                <w:sz w:val="24"/>
                <w:szCs w:val="22"/>
                <w14:ligatures w14:val="none"/>
              </w:rPr>
            </w:pP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atLeast"/>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第四条、第八条同样问题。“红树林湿地保护管理机构”与“管护责任单位”不是“或”的并列关系。</w:t>
            </w:r>
          </w:p>
        </w:tc>
        <w:tc>
          <w:tcPr>
            <w:tcW w:w="808" w:type="dxa"/>
            <w:tcBorders>
              <w:top w:val="single" w:color="000000" w:sz="4" w:space="0"/>
              <w:left w:val="single" w:color="000000" w:sz="4" w:space="0"/>
              <w:bottom w:val="single" w:color="000000" w:sz="4" w:space="0"/>
              <w:right w:val="single" w:color="000000" w:sz="4" w:space="0"/>
            </w:tcBorders>
            <w:vAlign w:val="center"/>
          </w:tcPr>
          <w:p>
            <w:pPr>
              <w:spacing w:after="0" w:line="240" w:lineRule="atLeast"/>
              <w:jc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采纳</w:t>
            </w:r>
          </w:p>
        </w:tc>
        <w:tc>
          <w:tcPr>
            <w:tcW w:w="3015" w:type="dxa"/>
            <w:tcBorders>
              <w:top w:val="single" w:color="000000" w:sz="4" w:space="0"/>
              <w:left w:val="single" w:color="000000" w:sz="4" w:space="0"/>
              <w:bottom w:val="single" w:color="000000" w:sz="4" w:space="0"/>
              <w:right w:val="single" w:color="000000" w:sz="4" w:space="0"/>
            </w:tcBorders>
            <w:vAlign w:val="center"/>
          </w:tcPr>
          <w:p>
            <w:pPr>
              <w:spacing w:after="0" w:line="240" w:lineRule="atLeast"/>
              <w:jc w:val="both"/>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sz w:val="24"/>
                <w:szCs w:val="22"/>
                <w14:ligatures w14:val="none"/>
              </w:rPr>
              <w:t>已根据意见修改。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7" w:hRule="atLeast"/>
          <w:jc w:val="center"/>
        </w:trPr>
        <w:tc>
          <w:tcPr>
            <w:tcW w:w="751" w:type="dxa"/>
            <w:tcBorders>
              <w:left w:val="single" w:color="000000" w:sz="4" w:space="0"/>
              <w:right w:val="single" w:color="000000" w:sz="4" w:space="0"/>
            </w:tcBorders>
            <w:vAlign w:val="center"/>
          </w:tcPr>
          <w:p>
            <w:pPr>
              <w:widowControl/>
              <w:spacing w:after="0" w:line="240" w:lineRule="atLeast"/>
              <w:jc w:val="center"/>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3</w:t>
            </w:r>
          </w:p>
        </w:tc>
        <w:tc>
          <w:tcPr>
            <w:tcW w:w="1106" w:type="dxa"/>
            <w:vMerge w:val="continue"/>
            <w:tcBorders>
              <w:left w:val="single" w:color="000000" w:sz="4" w:space="0"/>
              <w:right w:val="single" w:color="000000" w:sz="4" w:space="0"/>
            </w:tcBorders>
            <w:vAlign w:val="center"/>
          </w:tcPr>
          <w:p>
            <w:pPr>
              <w:spacing w:after="0" w:line="240" w:lineRule="atLeast"/>
              <w:jc w:val="both"/>
              <w:rPr>
                <w:rFonts w:hint="eastAsia" w:ascii="仿宋_GB2312" w:hAnsi="仿宋_GB2312" w:eastAsia="仿宋_GB2312" w:cs="仿宋_GB2312"/>
                <w:kern w:val="0"/>
                <w:sz w:val="24"/>
                <w:szCs w:val="22"/>
                <w:lang w:bidi="ar"/>
                <w14:ligatures w14:val="none"/>
              </w:rPr>
            </w:pP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atLeast"/>
              <w:jc w:val="both"/>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第五条：</w:t>
            </w:r>
          </w:p>
          <w:p>
            <w:pPr>
              <w:widowControl/>
              <w:spacing w:after="0" w:line="240" w:lineRule="atLeast"/>
              <w:jc w:val="both"/>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（1）所述“林业主管部门”应该是指市级林业主管部门。区级林业主管部门的工作职责是什么？</w:t>
            </w:r>
          </w:p>
          <w:p>
            <w:pPr>
              <w:widowControl/>
              <w:spacing w:after="0" w:line="240" w:lineRule="atLeast"/>
              <w:jc w:val="both"/>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（2）“河口滩涂”具体空间范围是多大，如何界定河口边界？</w:t>
            </w:r>
          </w:p>
          <w:p>
            <w:pPr>
              <w:widowControl/>
              <w:spacing w:after="0" w:line="240" w:lineRule="atLeast"/>
              <w:jc w:val="both"/>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（3）位于非河口、非公园区域内的红树林，保护修复、日常养护及管理是具体什么单位负责？</w:t>
            </w:r>
          </w:p>
          <w:p>
            <w:pPr>
              <w:widowControl/>
              <w:spacing w:after="0" w:line="240" w:lineRule="atLeast"/>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（4）发展改革、财政、生态环境、海洋发展等相关部门各自职责具体是什么？</w:t>
            </w:r>
          </w:p>
        </w:tc>
        <w:tc>
          <w:tcPr>
            <w:tcW w:w="808" w:type="dxa"/>
            <w:tcBorders>
              <w:top w:val="single" w:color="000000" w:sz="4" w:space="0"/>
              <w:left w:val="single" w:color="000000" w:sz="4" w:space="0"/>
              <w:bottom w:val="single" w:color="000000" w:sz="4" w:space="0"/>
              <w:right w:val="single" w:color="000000" w:sz="4" w:space="0"/>
            </w:tcBorders>
            <w:vAlign w:val="center"/>
          </w:tcPr>
          <w:p>
            <w:pPr>
              <w:spacing w:after="0" w:line="240" w:lineRule="atLeast"/>
              <w:jc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解释</w:t>
            </w:r>
          </w:p>
        </w:tc>
        <w:tc>
          <w:tcPr>
            <w:tcW w:w="3015" w:type="dxa"/>
            <w:tcBorders>
              <w:top w:val="single" w:color="000000" w:sz="4" w:space="0"/>
              <w:left w:val="single" w:color="000000" w:sz="4" w:space="0"/>
              <w:bottom w:val="single" w:color="000000" w:sz="4" w:space="0"/>
              <w:right w:val="single" w:color="000000" w:sz="4" w:space="0"/>
            </w:tcBorders>
            <w:vAlign w:val="center"/>
          </w:tcPr>
          <w:p>
            <w:pPr>
              <w:spacing w:after="0" w:line="240" w:lineRule="atLeast"/>
              <w:jc w:val="both"/>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（1）本规定中所称“林业主管部门”指代市、区两级林业主管部门，统称主管部门。</w:t>
            </w:r>
          </w:p>
          <w:p>
            <w:pPr>
              <w:spacing w:after="0" w:line="240" w:lineRule="atLeast"/>
              <w:jc w:val="both"/>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（2）“河口滩涂”具范围由自然资源、水务等主管部门依据国家及地方相关技术标准与管理规定确定。</w:t>
            </w:r>
          </w:p>
          <w:p>
            <w:pPr>
              <w:spacing w:after="0" w:line="240" w:lineRule="atLeast"/>
              <w:jc w:val="both"/>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（3）对于非河口、非公园的区域，其管护责任单位由所在地的区人民政府依据本规定第四条予以明确。</w:t>
            </w:r>
          </w:p>
          <w:p>
            <w:pPr>
              <w:spacing w:after="0" w:line="240" w:lineRule="atLeast"/>
              <w:jc w:val="both"/>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（4）相关部门职责可参考部门“三定”方案及《中华人民共和国湿地保护法》等上位法规定。相关部门的具体职责可登录政府网站进行查询。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6" w:hRule="atLeast"/>
          <w:jc w:val="center"/>
        </w:trPr>
        <w:tc>
          <w:tcPr>
            <w:tcW w:w="751" w:type="dxa"/>
            <w:tcBorders>
              <w:left w:val="single" w:color="000000" w:sz="4" w:space="0"/>
              <w:right w:val="single" w:color="000000" w:sz="4" w:space="0"/>
            </w:tcBorders>
            <w:vAlign w:val="center"/>
          </w:tcPr>
          <w:p>
            <w:pPr>
              <w:widowControl/>
              <w:spacing w:after="0" w:line="240" w:lineRule="atLeast"/>
              <w:jc w:val="center"/>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4</w:t>
            </w:r>
          </w:p>
        </w:tc>
        <w:tc>
          <w:tcPr>
            <w:tcW w:w="1106" w:type="dxa"/>
            <w:vMerge w:val="continue"/>
            <w:tcBorders>
              <w:left w:val="single" w:color="000000" w:sz="4" w:space="0"/>
              <w:right w:val="single" w:color="000000" w:sz="4" w:space="0"/>
            </w:tcBorders>
            <w:vAlign w:val="center"/>
          </w:tcPr>
          <w:p>
            <w:pPr>
              <w:spacing w:after="0" w:line="240" w:lineRule="atLeast"/>
              <w:jc w:val="both"/>
              <w:rPr>
                <w:rFonts w:hint="eastAsia" w:ascii="仿宋_GB2312" w:hAnsi="仿宋_GB2312" w:eastAsia="仿宋_GB2312" w:cs="仿宋_GB2312"/>
                <w:kern w:val="0"/>
                <w:sz w:val="24"/>
                <w:szCs w:val="22"/>
                <w:lang w:bidi="ar"/>
                <w14:ligatures w14:val="none"/>
              </w:rPr>
            </w:pP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atLeast"/>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第十一条：红树林“采伐、采挖、移植、采摘的，应当经主管部门批准”，其中“主管部门”是哪一级主管部门？具体对应前面第五条应有所说明。</w:t>
            </w:r>
          </w:p>
        </w:tc>
        <w:tc>
          <w:tcPr>
            <w:tcW w:w="808" w:type="dxa"/>
            <w:tcBorders>
              <w:top w:val="single" w:color="000000" w:sz="4" w:space="0"/>
              <w:left w:val="single" w:color="000000" w:sz="4" w:space="0"/>
              <w:bottom w:val="single" w:color="000000" w:sz="4" w:space="0"/>
              <w:right w:val="single" w:color="000000" w:sz="4" w:space="0"/>
            </w:tcBorders>
            <w:vAlign w:val="center"/>
          </w:tcPr>
          <w:p>
            <w:pPr>
              <w:spacing w:after="0" w:line="240" w:lineRule="atLeast"/>
              <w:jc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解释</w:t>
            </w:r>
          </w:p>
        </w:tc>
        <w:tc>
          <w:tcPr>
            <w:tcW w:w="3015" w:type="dxa"/>
            <w:tcBorders>
              <w:top w:val="single" w:color="000000" w:sz="4" w:space="0"/>
              <w:left w:val="single" w:color="000000" w:sz="4" w:space="0"/>
              <w:bottom w:val="single" w:color="000000" w:sz="4" w:space="0"/>
              <w:right w:val="single" w:color="000000" w:sz="4" w:space="0"/>
            </w:tcBorders>
            <w:vAlign w:val="center"/>
          </w:tcPr>
          <w:p>
            <w:pPr>
              <w:spacing w:after="0" w:line="240" w:lineRule="atLeast"/>
              <w:jc w:val="both"/>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国家实行湿地分级管理原则，红树林“采伐、采挖、移植、采摘”审批权限与湿地的等级挂钩，由与该红树林湿地等级相对应的林业主管部门负责批准。本规定属于原则性规定，具体审批规则由相关部门另行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6" w:hRule="atLeast"/>
          <w:jc w:val="center"/>
        </w:trPr>
        <w:tc>
          <w:tcPr>
            <w:tcW w:w="751" w:type="dxa"/>
            <w:tcBorders>
              <w:left w:val="single" w:color="000000" w:sz="4" w:space="0"/>
              <w:right w:val="single" w:color="000000" w:sz="4" w:space="0"/>
            </w:tcBorders>
            <w:vAlign w:val="center"/>
          </w:tcPr>
          <w:p>
            <w:pPr>
              <w:widowControl/>
              <w:spacing w:after="0" w:line="240" w:lineRule="atLeast"/>
              <w:jc w:val="center"/>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5</w:t>
            </w:r>
          </w:p>
        </w:tc>
        <w:tc>
          <w:tcPr>
            <w:tcW w:w="1106" w:type="dxa"/>
            <w:vMerge w:val="continue"/>
            <w:tcBorders>
              <w:left w:val="single" w:color="000000" w:sz="4" w:space="0"/>
              <w:right w:val="single" w:color="000000" w:sz="4" w:space="0"/>
            </w:tcBorders>
            <w:vAlign w:val="center"/>
          </w:tcPr>
          <w:p>
            <w:pPr>
              <w:spacing w:after="0" w:line="240" w:lineRule="atLeast"/>
              <w:jc w:val="both"/>
              <w:rPr>
                <w:rFonts w:hint="eastAsia" w:ascii="仿宋_GB2312" w:hAnsi="仿宋_GB2312" w:eastAsia="仿宋_GB2312" w:cs="仿宋_GB2312"/>
                <w:kern w:val="0"/>
                <w:sz w:val="24"/>
                <w:szCs w:val="22"/>
                <w:lang w:bidi="ar"/>
                <w14:ligatures w14:val="none"/>
              </w:rPr>
            </w:pP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atLeast"/>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第十二条：“市、区政府相关部门应当加强红树林湿地有害生物和外来物种入侵防治”，其中“相关部门”具体是指哪些？在前面第五条也应有对应说明。</w:t>
            </w:r>
          </w:p>
        </w:tc>
        <w:tc>
          <w:tcPr>
            <w:tcW w:w="808" w:type="dxa"/>
            <w:tcBorders>
              <w:top w:val="single" w:color="000000" w:sz="4" w:space="0"/>
              <w:left w:val="single" w:color="000000" w:sz="4" w:space="0"/>
              <w:bottom w:val="single" w:color="000000" w:sz="4" w:space="0"/>
              <w:right w:val="single" w:color="000000" w:sz="4" w:space="0"/>
            </w:tcBorders>
            <w:vAlign w:val="center"/>
          </w:tcPr>
          <w:p>
            <w:pPr>
              <w:spacing w:after="0" w:line="240" w:lineRule="atLeast"/>
              <w:jc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解释</w:t>
            </w:r>
          </w:p>
        </w:tc>
        <w:tc>
          <w:tcPr>
            <w:tcW w:w="3015" w:type="dxa"/>
            <w:tcBorders>
              <w:top w:val="single" w:color="000000" w:sz="4" w:space="0"/>
              <w:left w:val="single" w:color="000000" w:sz="4" w:space="0"/>
              <w:bottom w:val="single" w:color="000000" w:sz="4" w:space="0"/>
              <w:right w:val="single" w:color="000000" w:sz="4" w:space="0"/>
            </w:tcBorders>
            <w:vAlign w:val="center"/>
          </w:tcPr>
          <w:p>
            <w:pPr>
              <w:spacing w:after="0" w:line="240" w:lineRule="atLeast"/>
              <w:jc w:val="both"/>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红树林湿地有害生物和外来物种入侵防治工作，由林业主管部门统筹，生态环境、水务、城市管理和综合执法、海关等相关部门，依据《中华人民共和国湿地保护法》、《中华人民共和国生物安全法》等上位法及部门“三定”方案，在各自职责范围内承担相应的防治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2" w:hRule="atLeast"/>
          <w:jc w:val="center"/>
        </w:trPr>
        <w:tc>
          <w:tcPr>
            <w:tcW w:w="751" w:type="dxa"/>
            <w:tcBorders>
              <w:left w:val="single" w:color="000000" w:sz="4" w:space="0"/>
              <w:right w:val="single" w:color="000000" w:sz="4" w:space="0"/>
            </w:tcBorders>
            <w:vAlign w:val="center"/>
          </w:tcPr>
          <w:p>
            <w:pPr>
              <w:widowControl/>
              <w:spacing w:after="0" w:line="240" w:lineRule="atLeast"/>
              <w:jc w:val="center"/>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6</w:t>
            </w:r>
          </w:p>
        </w:tc>
        <w:tc>
          <w:tcPr>
            <w:tcW w:w="1106" w:type="dxa"/>
            <w:vMerge w:val="continue"/>
            <w:tcBorders>
              <w:left w:val="single" w:color="000000" w:sz="4" w:space="0"/>
              <w:right w:val="single" w:color="000000" w:sz="4" w:space="0"/>
            </w:tcBorders>
            <w:vAlign w:val="center"/>
          </w:tcPr>
          <w:p>
            <w:pPr>
              <w:spacing w:after="0" w:line="240" w:lineRule="atLeast"/>
              <w:jc w:val="both"/>
              <w:rPr>
                <w:rFonts w:hint="eastAsia" w:ascii="仿宋_GB2312" w:hAnsi="仿宋_GB2312" w:eastAsia="仿宋_GB2312" w:cs="仿宋_GB2312"/>
                <w:kern w:val="0"/>
                <w:sz w:val="24"/>
                <w:szCs w:val="22"/>
                <w:lang w:bidi="ar"/>
                <w14:ligatures w14:val="none"/>
              </w:rPr>
            </w:pP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atLeast"/>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第十条：红树林占用应依法办理论证、评估和审批手续，其中“依法”是具体哪些法律法规？名称是什么。</w:t>
            </w:r>
          </w:p>
        </w:tc>
        <w:tc>
          <w:tcPr>
            <w:tcW w:w="808" w:type="dxa"/>
            <w:tcBorders>
              <w:top w:val="single" w:color="000000" w:sz="4" w:space="0"/>
              <w:left w:val="single" w:color="000000" w:sz="4" w:space="0"/>
              <w:bottom w:val="single" w:color="000000" w:sz="4" w:space="0"/>
              <w:right w:val="single" w:color="000000" w:sz="4" w:space="0"/>
            </w:tcBorders>
            <w:vAlign w:val="center"/>
          </w:tcPr>
          <w:p>
            <w:pPr>
              <w:spacing w:after="0" w:line="240" w:lineRule="atLeast"/>
              <w:jc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解释</w:t>
            </w:r>
          </w:p>
        </w:tc>
        <w:tc>
          <w:tcPr>
            <w:tcW w:w="3015" w:type="dxa"/>
            <w:tcBorders>
              <w:top w:val="single" w:color="000000" w:sz="4" w:space="0"/>
              <w:left w:val="single" w:color="000000" w:sz="4" w:space="0"/>
              <w:bottom w:val="single" w:color="000000" w:sz="4" w:space="0"/>
              <w:right w:val="single" w:color="000000" w:sz="4" w:space="0"/>
            </w:tcBorders>
            <w:vAlign w:val="center"/>
          </w:tcPr>
          <w:p>
            <w:pPr>
              <w:spacing w:after="0" w:line="240" w:lineRule="atLeast"/>
              <w:jc w:val="both"/>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依据《中华人民共和国湿地保护法》《广东省湿地保护条例》《深圳经济特区海域使用管理条例》等。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4" w:hRule="atLeast"/>
          <w:jc w:val="center"/>
        </w:trPr>
        <w:tc>
          <w:tcPr>
            <w:tcW w:w="751" w:type="dxa"/>
            <w:tcBorders>
              <w:left w:val="single" w:color="000000" w:sz="4" w:space="0"/>
              <w:right w:val="single" w:color="000000" w:sz="4" w:space="0"/>
            </w:tcBorders>
            <w:vAlign w:val="center"/>
          </w:tcPr>
          <w:p>
            <w:pPr>
              <w:widowControl/>
              <w:spacing w:after="0" w:line="240" w:lineRule="atLeast"/>
              <w:jc w:val="center"/>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7</w:t>
            </w:r>
          </w:p>
        </w:tc>
        <w:tc>
          <w:tcPr>
            <w:tcW w:w="1106" w:type="dxa"/>
            <w:vMerge w:val="continue"/>
            <w:tcBorders>
              <w:left w:val="single" w:color="000000" w:sz="4" w:space="0"/>
              <w:right w:val="single" w:color="000000" w:sz="4" w:space="0"/>
            </w:tcBorders>
            <w:vAlign w:val="center"/>
          </w:tcPr>
          <w:p>
            <w:pPr>
              <w:spacing w:after="0" w:line="240" w:lineRule="atLeast"/>
              <w:jc w:val="both"/>
              <w:rPr>
                <w:rFonts w:hint="eastAsia" w:ascii="仿宋_GB2312" w:hAnsi="仿宋_GB2312" w:eastAsia="仿宋_GB2312" w:cs="仿宋_GB2312"/>
                <w:kern w:val="0"/>
                <w:sz w:val="24"/>
                <w:szCs w:val="22"/>
                <w:lang w:bidi="ar"/>
                <w14:ligatures w14:val="none"/>
              </w:rPr>
            </w:pP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atLeast"/>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第九条，对集中连片生态功能重要的红树林湿地区域，“主管部门应当通过纳入自然保护地和生态保护红线......”，是否可理解为，如果一片红树林划定为自然保护地，同时一定要划定为生态保护红线？这里用“和”还是“或？</w:t>
            </w:r>
          </w:p>
        </w:tc>
        <w:tc>
          <w:tcPr>
            <w:tcW w:w="808" w:type="dxa"/>
            <w:tcBorders>
              <w:top w:val="single" w:color="000000" w:sz="4" w:space="0"/>
              <w:left w:val="single" w:color="000000" w:sz="4" w:space="0"/>
              <w:bottom w:val="single" w:color="000000" w:sz="4" w:space="0"/>
              <w:right w:val="single" w:color="000000" w:sz="4" w:space="0"/>
            </w:tcBorders>
            <w:vAlign w:val="center"/>
          </w:tcPr>
          <w:p>
            <w:pPr>
              <w:spacing w:after="0" w:line="240" w:lineRule="atLeast"/>
              <w:jc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解释</w:t>
            </w:r>
          </w:p>
        </w:tc>
        <w:tc>
          <w:tcPr>
            <w:tcW w:w="3015" w:type="dxa"/>
            <w:tcBorders>
              <w:top w:val="single" w:color="000000" w:sz="4" w:space="0"/>
              <w:left w:val="single" w:color="000000" w:sz="4" w:space="0"/>
              <w:bottom w:val="single" w:color="000000" w:sz="4" w:space="0"/>
              <w:right w:val="single" w:color="000000" w:sz="4" w:space="0"/>
            </w:tcBorders>
            <w:vAlign w:val="center"/>
          </w:tcPr>
          <w:p>
            <w:pPr>
              <w:spacing w:after="0" w:line="240" w:lineRule="atLeast"/>
              <w:jc w:val="both"/>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根据中共中央办公厅、国务院办公厅印发的《关于在国土空间规划中统筹划定落实三条控制线的指导意见》，“自然保护地”是“生态保护红线”的核心组成部分，评估调整后的自然保护地必须划入生态保护红线。因此这里用“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6" w:hRule="atLeast"/>
          <w:jc w:val="center"/>
        </w:trPr>
        <w:tc>
          <w:tcPr>
            <w:tcW w:w="751" w:type="dxa"/>
            <w:tcBorders>
              <w:left w:val="single" w:color="000000" w:sz="4" w:space="0"/>
              <w:right w:val="single" w:color="000000" w:sz="4" w:space="0"/>
            </w:tcBorders>
            <w:vAlign w:val="center"/>
          </w:tcPr>
          <w:p>
            <w:pPr>
              <w:widowControl/>
              <w:spacing w:after="0" w:line="240" w:lineRule="atLeast"/>
              <w:jc w:val="center"/>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8</w:t>
            </w:r>
          </w:p>
        </w:tc>
        <w:tc>
          <w:tcPr>
            <w:tcW w:w="1106" w:type="dxa"/>
            <w:vMerge w:val="restart"/>
            <w:tcBorders>
              <w:left w:val="single" w:color="000000" w:sz="4" w:space="0"/>
              <w:right w:val="single" w:color="000000" w:sz="4" w:space="0"/>
            </w:tcBorders>
            <w:vAlign w:val="center"/>
          </w:tcPr>
          <w:p>
            <w:pPr>
              <w:spacing w:after="0" w:line="240" w:lineRule="atLeast"/>
              <w:jc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中国农工民主党深圳市委员会</w:t>
            </w: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atLeast"/>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建议第六条将“每年十一月五日为深圳市红树林湿地保护日”修改为“每年十一月五日为深圳市红树林湿地日”或者“每年十一月五日为深圳市红树林日”。</w:t>
            </w:r>
          </w:p>
        </w:tc>
        <w:tc>
          <w:tcPr>
            <w:tcW w:w="808" w:type="dxa"/>
            <w:tcBorders>
              <w:top w:val="single" w:color="000000" w:sz="4" w:space="0"/>
              <w:left w:val="single" w:color="000000" w:sz="4" w:space="0"/>
              <w:bottom w:val="single" w:color="000000" w:sz="4" w:space="0"/>
              <w:right w:val="single" w:color="000000" w:sz="4" w:space="0"/>
            </w:tcBorders>
            <w:vAlign w:val="center"/>
          </w:tcPr>
          <w:p>
            <w:pPr>
              <w:spacing w:after="0" w:line="240" w:lineRule="atLeast"/>
              <w:jc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解释</w:t>
            </w:r>
          </w:p>
        </w:tc>
        <w:tc>
          <w:tcPr>
            <w:tcW w:w="3015" w:type="dxa"/>
            <w:tcBorders>
              <w:top w:val="single" w:color="000000" w:sz="4" w:space="0"/>
              <w:left w:val="single" w:color="000000" w:sz="4" w:space="0"/>
              <w:bottom w:val="single" w:color="000000" w:sz="4" w:space="0"/>
              <w:right w:val="single" w:color="000000" w:sz="4" w:space="0"/>
            </w:tcBorders>
            <w:vAlign w:val="center"/>
          </w:tcPr>
          <w:p>
            <w:pPr>
              <w:spacing w:after="0" w:line="240" w:lineRule="atLeast"/>
              <w:jc w:val="both"/>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（1）“红树林湿地保护日” 中的 “保护” 是涵盖保护与合理利用的广义概念，并非仅指单一保护行为，其内涵充分契合“绿水青山就是金山银山”理念，既突出保护的核心地位，也为生态产品价值实现预留了空间</w:t>
            </w:r>
            <w:bookmarkStart w:id="0" w:name="_GoBack"/>
            <w:bookmarkEnd w:id="0"/>
            <w:r>
              <w:rPr>
                <w:rFonts w:hint="eastAsia" w:ascii="仿宋_GB2312" w:hAnsi="仿宋_GB2312" w:eastAsia="仿宋_GB2312" w:cs="仿宋_GB2312"/>
                <w:kern w:val="0"/>
                <w:sz w:val="24"/>
                <w:szCs w:val="22"/>
                <w:lang w:bidi="ar"/>
                <w14:ligatures w14:val="none"/>
              </w:rPr>
              <w:t>。</w:t>
            </w:r>
          </w:p>
          <w:p>
            <w:pPr>
              <w:spacing w:after="0" w:line="240" w:lineRule="atLeast"/>
              <w:jc w:val="both"/>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（2）</w:t>
            </w:r>
            <w:r>
              <w:rPr>
                <w:rFonts w:hint="eastAsia" w:ascii="仿宋_GB2312" w:hAnsi="仿宋_GB2312" w:eastAsia="仿宋_GB2312" w:cs="仿宋_GB2312"/>
                <w:kern w:val="0"/>
                <w:sz w:val="24"/>
                <w:szCs w:val="22"/>
                <w:lang w:eastAsia="zh-CN" w:bidi="ar"/>
                <w14:ligatures w14:val="none"/>
              </w:rPr>
              <w:t>“</w:t>
            </w:r>
            <w:r>
              <w:rPr>
                <w:rFonts w:hint="eastAsia" w:ascii="仿宋_GB2312" w:hAnsi="仿宋_GB2312" w:eastAsia="仿宋_GB2312" w:cs="仿宋_GB2312"/>
                <w:kern w:val="0"/>
                <w:sz w:val="24"/>
                <w:szCs w:val="22"/>
                <w:lang w:bidi="ar"/>
                <w14:ligatures w14:val="none"/>
              </w:rPr>
              <w:t>红树林湿地</w:t>
            </w:r>
            <w:r>
              <w:rPr>
                <w:rFonts w:hint="eastAsia" w:ascii="仿宋_GB2312" w:hAnsi="仿宋_GB2312" w:eastAsia="仿宋_GB2312" w:cs="仿宋_GB2312"/>
                <w:kern w:val="0"/>
                <w:sz w:val="24"/>
                <w:szCs w:val="22"/>
                <w:lang w:val="en-US" w:eastAsia="zh-CN" w:bidi="ar"/>
                <w14:ligatures w14:val="none"/>
              </w:rPr>
              <w:t>保护日</w:t>
            </w:r>
            <w:r>
              <w:rPr>
                <w:rFonts w:hint="eastAsia" w:ascii="仿宋_GB2312" w:hAnsi="仿宋_GB2312" w:eastAsia="仿宋_GB2312" w:cs="仿宋_GB2312"/>
                <w:kern w:val="0"/>
                <w:sz w:val="24"/>
                <w:szCs w:val="22"/>
                <w:lang w:eastAsia="zh-CN" w:bidi="ar"/>
                <w14:ligatures w14:val="none"/>
              </w:rPr>
              <w:t>”</w:t>
            </w:r>
            <w:r>
              <w:rPr>
                <w:rFonts w:hint="eastAsia" w:ascii="仿宋_GB2312" w:hAnsi="仿宋_GB2312" w:eastAsia="仿宋_GB2312" w:cs="仿宋_GB2312"/>
                <w:kern w:val="0"/>
                <w:sz w:val="24"/>
                <w:szCs w:val="22"/>
                <w:lang w:bidi="ar"/>
                <w14:ligatures w14:val="none"/>
              </w:rPr>
              <w:t>命名突出“保护”，能够强化公众的核心责任意识，符合红树林湿地保护的现实需求。同时，该命名符合法规规范，国内多部法规及实践中均存在含动词的节日命名案例，例如《海南省湿地保护条例》相关实践中明确的“湿地保护宣传月”、《云南省滇池保护条例》配套设立的“滇池保护宣传日”等，均兼具规范性和传播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3" w:hRule="atLeast"/>
          <w:jc w:val="center"/>
        </w:trPr>
        <w:tc>
          <w:tcPr>
            <w:tcW w:w="751" w:type="dxa"/>
            <w:tcBorders>
              <w:left w:val="single" w:color="000000" w:sz="4" w:space="0"/>
              <w:right w:val="single" w:color="000000" w:sz="4" w:space="0"/>
            </w:tcBorders>
            <w:vAlign w:val="center"/>
          </w:tcPr>
          <w:p>
            <w:pPr>
              <w:widowControl/>
              <w:spacing w:after="0" w:line="240" w:lineRule="atLeast"/>
              <w:jc w:val="center"/>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9</w:t>
            </w:r>
          </w:p>
        </w:tc>
        <w:tc>
          <w:tcPr>
            <w:tcW w:w="1106" w:type="dxa"/>
            <w:vMerge w:val="continue"/>
            <w:tcBorders>
              <w:left w:val="single" w:color="000000" w:sz="4" w:space="0"/>
              <w:right w:val="single" w:color="000000" w:sz="4" w:space="0"/>
            </w:tcBorders>
            <w:vAlign w:val="center"/>
          </w:tcPr>
          <w:p>
            <w:pPr>
              <w:spacing w:after="0" w:line="240" w:lineRule="atLeast"/>
              <w:jc w:val="both"/>
              <w:rPr>
                <w:rFonts w:hint="eastAsia" w:ascii="仿宋_GB2312" w:hAnsi="仿宋_GB2312" w:eastAsia="仿宋_GB2312" w:cs="仿宋_GB2312"/>
                <w:kern w:val="0"/>
                <w:sz w:val="24"/>
                <w:szCs w:val="22"/>
                <w:lang w:bidi="ar"/>
                <w14:ligatures w14:val="none"/>
              </w:rPr>
            </w:pP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atLeast"/>
              <w:textAlignment w:val="center"/>
              <w:rPr>
                <w:rFonts w:hint="eastAsia" w:ascii="仿宋_GB2312" w:hAnsi="仿宋_GB2312" w:eastAsia="仿宋_GB2312" w:cs="仿宋_GB2312"/>
                <w:kern w:val="0"/>
                <w:sz w:val="24"/>
                <w:szCs w:val="22"/>
                <w:lang w:eastAsia="zh-CN" w:bidi="ar"/>
                <w14:ligatures w14:val="none"/>
              </w:rPr>
            </w:pPr>
            <w:r>
              <w:rPr>
                <w:rFonts w:hint="eastAsia" w:ascii="仿宋_GB2312" w:hAnsi="仿宋_GB2312" w:eastAsia="仿宋_GB2312" w:cs="仿宋_GB2312"/>
                <w:kern w:val="0"/>
                <w:sz w:val="24"/>
                <w:szCs w:val="22"/>
                <w:lang w:bidi="ar"/>
                <w14:ligatures w14:val="none"/>
              </w:rPr>
              <w:t>建议第二条进一步明确红树林保护对象。其中“红树植物”建议明确是否包括人工种植的红树植物。“以及在红树林湿地栖息、觅食的各种野生动物等”建议修改为“以及在红树林湿地栖息、觅食、繁殖、迁徙的各种野生动物”</w:t>
            </w:r>
            <w:r>
              <w:rPr>
                <w:rFonts w:hint="eastAsia" w:ascii="仿宋_GB2312" w:hAnsi="仿宋_GB2312" w:eastAsia="仿宋_GB2312" w:cs="仿宋_GB2312"/>
                <w:kern w:val="0"/>
                <w:sz w:val="24"/>
                <w:szCs w:val="22"/>
                <w:lang w:eastAsia="zh-CN" w:bidi="ar"/>
                <w14:ligatures w14:val="none"/>
              </w:rPr>
              <w:t>。</w:t>
            </w:r>
          </w:p>
        </w:tc>
        <w:tc>
          <w:tcPr>
            <w:tcW w:w="808" w:type="dxa"/>
            <w:tcBorders>
              <w:top w:val="single" w:color="000000" w:sz="4" w:space="0"/>
              <w:left w:val="single" w:color="000000" w:sz="4" w:space="0"/>
              <w:bottom w:val="single" w:color="000000" w:sz="4" w:space="0"/>
              <w:right w:val="single" w:color="000000" w:sz="4" w:space="0"/>
            </w:tcBorders>
            <w:vAlign w:val="center"/>
          </w:tcPr>
          <w:p>
            <w:pPr>
              <w:spacing w:after="0" w:line="240" w:lineRule="atLeast"/>
              <w:jc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部分采纳</w:t>
            </w:r>
          </w:p>
        </w:tc>
        <w:tc>
          <w:tcPr>
            <w:tcW w:w="3015" w:type="dxa"/>
            <w:tcBorders>
              <w:top w:val="single" w:color="000000" w:sz="4" w:space="0"/>
              <w:left w:val="single" w:color="000000" w:sz="4" w:space="0"/>
              <w:bottom w:val="single" w:color="000000" w:sz="4" w:space="0"/>
              <w:right w:val="single" w:color="000000" w:sz="4" w:space="0"/>
            </w:tcBorders>
            <w:vAlign w:val="center"/>
          </w:tcPr>
          <w:p>
            <w:pPr>
              <w:spacing w:after="0" w:line="240" w:lineRule="atLeast"/>
              <w:jc w:val="both"/>
              <w:rPr>
                <w:rFonts w:hint="default" w:ascii="仿宋_GB2312" w:hAnsi="仿宋_GB2312" w:eastAsia="仿宋_GB2312" w:cs="仿宋_GB2312"/>
                <w:kern w:val="0"/>
                <w:sz w:val="24"/>
                <w:szCs w:val="22"/>
                <w:lang w:val="en-US" w:eastAsia="zh-CN" w:bidi="ar"/>
                <w14:ligatures w14:val="none"/>
              </w:rPr>
            </w:pPr>
            <w:r>
              <w:rPr>
                <w:rFonts w:hint="eastAsia" w:ascii="仿宋_GB2312" w:hAnsi="仿宋_GB2312" w:eastAsia="仿宋_GB2312" w:cs="仿宋_GB2312"/>
                <w:kern w:val="0"/>
                <w:sz w:val="24"/>
                <w:szCs w:val="22"/>
                <w:lang w:bidi="ar"/>
                <w14:ligatures w14:val="none"/>
              </w:rPr>
              <w:t>（1）“红树植物”是植物学领域的固有名词，其定义涵盖自然生长和人工种植的红树植物。</w:t>
            </w:r>
            <w:r>
              <w:rPr>
                <w:rFonts w:hint="eastAsia" w:ascii="仿宋_GB2312" w:hAnsi="仿宋_GB2312" w:eastAsia="仿宋_GB2312" w:cs="仿宋_GB2312"/>
                <w:kern w:val="0"/>
                <w:sz w:val="24"/>
                <w:szCs w:val="22"/>
                <w:lang w:eastAsia="zh-CN" w:bidi="ar"/>
                <w14:ligatures w14:val="none"/>
              </w:rPr>
              <w:t>《</w:t>
            </w:r>
            <w:r>
              <w:rPr>
                <w:rFonts w:hint="eastAsia" w:ascii="仿宋_GB2312" w:hAnsi="仿宋_GB2312" w:eastAsia="仿宋_GB2312" w:cs="仿宋_GB2312"/>
                <w:kern w:val="0"/>
                <w:sz w:val="24"/>
                <w:szCs w:val="22"/>
                <w:lang w:val="en-US" w:eastAsia="zh-CN" w:bidi="ar"/>
                <w14:ligatures w14:val="none"/>
              </w:rPr>
              <w:t>若干规定</w:t>
            </w:r>
            <w:r>
              <w:rPr>
                <w:rFonts w:hint="eastAsia" w:ascii="仿宋_GB2312" w:hAnsi="仿宋_GB2312" w:eastAsia="仿宋_GB2312" w:cs="仿宋_GB2312"/>
                <w:kern w:val="0"/>
                <w:sz w:val="24"/>
                <w:szCs w:val="22"/>
                <w:lang w:eastAsia="zh-CN" w:bidi="ar"/>
                <w14:ligatures w14:val="none"/>
              </w:rPr>
              <w:t>》</w:t>
            </w:r>
            <w:r>
              <w:rPr>
                <w:rFonts w:hint="eastAsia" w:ascii="仿宋_GB2312" w:hAnsi="仿宋_GB2312" w:eastAsia="仿宋_GB2312" w:cs="仿宋_GB2312"/>
                <w:kern w:val="0"/>
                <w:sz w:val="24"/>
                <w:szCs w:val="22"/>
                <w:lang w:val="en-US" w:eastAsia="zh-CN" w:bidi="ar"/>
                <w14:ligatures w14:val="none"/>
              </w:rPr>
              <w:t>采纳建议，在起草说明加以说明。</w:t>
            </w:r>
          </w:p>
          <w:p>
            <w:pPr>
              <w:spacing w:after="0" w:line="240" w:lineRule="atLeast"/>
              <w:jc w:val="both"/>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（2）“栖息”作为野生动物生存的核心行为范畴，已涵盖繁殖、迁徙等相关衍生行为，现行表述能够满足保护工作的原则性要求。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8" w:hRule="atLeast"/>
          <w:jc w:val="center"/>
        </w:trPr>
        <w:tc>
          <w:tcPr>
            <w:tcW w:w="751" w:type="dxa"/>
            <w:tcBorders>
              <w:left w:val="single" w:color="000000" w:sz="4" w:space="0"/>
              <w:bottom w:val="single" w:color="000000" w:sz="4" w:space="0"/>
              <w:right w:val="single" w:color="000000" w:sz="4" w:space="0"/>
            </w:tcBorders>
            <w:vAlign w:val="center"/>
          </w:tcPr>
          <w:p>
            <w:pPr>
              <w:widowControl/>
              <w:spacing w:after="0" w:line="240" w:lineRule="atLeast"/>
              <w:jc w:val="center"/>
              <w:textAlignment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10</w:t>
            </w:r>
          </w:p>
        </w:tc>
        <w:tc>
          <w:tcPr>
            <w:tcW w:w="1106" w:type="dxa"/>
            <w:vMerge w:val="continue"/>
            <w:tcBorders>
              <w:left w:val="single" w:color="000000" w:sz="4" w:space="0"/>
              <w:right w:val="single" w:color="000000" w:sz="4" w:space="0"/>
            </w:tcBorders>
            <w:vAlign w:val="center"/>
          </w:tcPr>
          <w:p>
            <w:pPr>
              <w:spacing w:after="0" w:line="240" w:lineRule="atLeast"/>
              <w:jc w:val="both"/>
              <w:rPr>
                <w:rFonts w:hint="eastAsia" w:ascii="仿宋_GB2312" w:hAnsi="仿宋_GB2312" w:eastAsia="仿宋_GB2312" w:cs="仿宋_GB2312"/>
                <w:kern w:val="0"/>
                <w:sz w:val="24"/>
                <w:szCs w:val="22"/>
                <w:lang w:bidi="ar"/>
                <w14:ligatures w14:val="none"/>
              </w:rPr>
            </w:pPr>
          </w:p>
        </w:tc>
        <w:tc>
          <w:tcPr>
            <w:tcW w:w="355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atLeast"/>
              <w:textAlignment w:val="center"/>
              <w:rPr>
                <w:rFonts w:hint="eastAsia" w:ascii="仿宋_GB2312" w:hAnsi="仿宋_GB2312" w:eastAsia="仿宋_GB2312" w:cs="仿宋_GB2312"/>
                <w:kern w:val="0"/>
                <w:sz w:val="24"/>
                <w:szCs w:val="22"/>
                <w:lang w:eastAsia="zh-CN" w:bidi="ar"/>
                <w14:ligatures w14:val="none"/>
              </w:rPr>
            </w:pPr>
            <w:r>
              <w:rPr>
                <w:rFonts w:hint="eastAsia" w:ascii="仿宋_GB2312" w:hAnsi="仿宋_GB2312" w:eastAsia="仿宋_GB2312" w:cs="仿宋_GB2312"/>
                <w:kern w:val="0"/>
                <w:sz w:val="24"/>
                <w:szCs w:val="22"/>
                <w:lang w:bidi="ar"/>
                <w14:ligatures w14:val="none"/>
              </w:rPr>
              <w:t>第十四条建议增加“修复应当尽量采用本地树种”</w:t>
            </w:r>
            <w:r>
              <w:rPr>
                <w:rFonts w:hint="eastAsia" w:ascii="仿宋_GB2312" w:hAnsi="仿宋_GB2312" w:eastAsia="仿宋_GB2312" w:cs="仿宋_GB2312"/>
                <w:kern w:val="0"/>
                <w:sz w:val="24"/>
                <w:szCs w:val="22"/>
                <w:lang w:eastAsia="zh-CN" w:bidi="ar"/>
                <w14:ligatures w14:val="none"/>
              </w:rPr>
              <w:t>。</w:t>
            </w:r>
          </w:p>
        </w:tc>
        <w:tc>
          <w:tcPr>
            <w:tcW w:w="808" w:type="dxa"/>
            <w:tcBorders>
              <w:top w:val="single" w:color="000000" w:sz="4" w:space="0"/>
              <w:left w:val="single" w:color="000000" w:sz="4" w:space="0"/>
              <w:bottom w:val="single" w:color="000000" w:sz="4" w:space="0"/>
              <w:right w:val="single" w:color="000000" w:sz="4" w:space="0"/>
            </w:tcBorders>
            <w:vAlign w:val="center"/>
          </w:tcPr>
          <w:p>
            <w:pPr>
              <w:spacing w:after="0" w:line="240" w:lineRule="atLeast"/>
              <w:jc w:val="center"/>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采纳</w:t>
            </w:r>
          </w:p>
        </w:tc>
        <w:tc>
          <w:tcPr>
            <w:tcW w:w="3015" w:type="dxa"/>
            <w:tcBorders>
              <w:top w:val="single" w:color="000000" w:sz="4" w:space="0"/>
              <w:left w:val="single" w:color="000000" w:sz="4" w:space="0"/>
              <w:bottom w:val="single" w:color="000000" w:sz="4" w:space="0"/>
              <w:right w:val="single" w:color="000000" w:sz="4" w:space="0"/>
            </w:tcBorders>
            <w:vAlign w:val="center"/>
          </w:tcPr>
          <w:p>
            <w:pPr>
              <w:spacing w:after="0" w:line="240" w:lineRule="atLeast"/>
              <w:jc w:val="both"/>
              <w:rPr>
                <w:rFonts w:hint="eastAsia" w:ascii="仿宋_GB2312" w:hAnsi="仿宋_GB2312" w:eastAsia="仿宋_GB2312" w:cs="仿宋_GB2312"/>
                <w:kern w:val="0"/>
                <w:sz w:val="24"/>
                <w:szCs w:val="22"/>
                <w:lang w:bidi="ar"/>
                <w14:ligatures w14:val="none"/>
              </w:rPr>
            </w:pPr>
            <w:r>
              <w:rPr>
                <w:rFonts w:hint="eastAsia" w:ascii="仿宋_GB2312" w:hAnsi="仿宋_GB2312" w:eastAsia="仿宋_GB2312" w:cs="仿宋_GB2312"/>
                <w:kern w:val="0"/>
                <w:sz w:val="24"/>
                <w:szCs w:val="22"/>
                <w:lang w:bidi="ar"/>
                <w14:ligatures w14:val="none"/>
              </w:rPr>
              <w:t>已</w:t>
            </w:r>
            <w:r>
              <w:rPr>
                <w:rFonts w:hint="eastAsia" w:ascii="仿宋_GB2312" w:hAnsi="仿宋_GB2312" w:eastAsia="仿宋_GB2312" w:cs="仿宋_GB2312"/>
                <w:kern w:val="0"/>
                <w:sz w:val="24"/>
                <w:szCs w:val="22"/>
                <w:lang w:val="en-US" w:eastAsia="zh-CN" w:bidi="ar"/>
                <w14:ligatures w14:val="none"/>
              </w:rPr>
              <w:t>结合有关</w:t>
            </w:r>
            <w:r>
              <w:rPr>
                <w:rFonts w:hint="eastAsia" w:ascii="仿宋_GB2312" w:hAnsi="仿宋_GB2312" w:eastAsia="仿宋_GB2312" w:cs="仿宋_GB2312"/>
                <w:kern w:val="0"/>
                <w:sz w:val="24"/>
                <w:szCs w:val="22"/>
                <w:lang w:bidi="ar"/>
                <w14:ligatures w14:val="none"/>
              </w:rPr>
              <w:t>意见修改</w:t>
            </w:r>
            <w:r>
              <w:rPr>
                <w:rFonts w:hint="eastAsia" w:ascii="仿宋_GB2312" w:hAnsi="仿宋_GB2312" w:eastAsia="仿宋_GB2312" w:cs="仿宋_GB2312"/>
                <w:kern w:val="0"/>
                <w:sz w:val="24"/>
                <w:szCs w:val="22"/>
                <w:lang w:val="en-US" w:eastAsia="zh-CN" w:bidi="ar"/>
                <w14:ligatures w14:val="none"/>
              </w:rPr>
              <w:t>为“乡土红树植物物种”</w:t>
            </w:r>
            <w:r>
              <w:rPr>
                <w:rFonts w:hint="eastAsia" w:ascii="仿宋_GB2312" w:hAnsi="仿宋_GB2312" w:eastAsia="仿宋_GB2312" w:cs="仿宋_GB2312"/>
                <w:kern w:val="0"/>
                <w:sz w:val="24"/>
                <w:szCs w:val="22"/>
                <w:lang w:bidi="ar"/>
                <w14:ligatures w14:val="none"/>
              </w:rPr>
              <w:t>。</w:t>
            </w:r>
          </w:p>
        </w:tc>
      </w:tr>
    </w:tbl>
    <w:p>
      <w:pPr>
        <w:overflowPunct w:val="0"/>
        <w:adjustRightInd w:val="0"/>
        <w:snapToGrid w:val="0"/>
        <w:spacing w:line="240" w:lineRule="auto"/>
        <w:rPr>
          <w:rFonts w:hint="eastAsia" w:ascii="CESI黑体-GB2312" w:hAnsi="CESI黑体-GB2312" w:eastAsia="CESI黑体-GB2312" w:cs="CESI黑体-GB2312"/>
          <w:b w:val="0"/>
          <w:bCs w:val="0"/>
          <w:kern w:val="2"/>
          <w:sz w:val="32"/>
          <w:szCs w:val="32"/>
          <w:highlight w:val="none"/>
          <w:lang w:val="en-US" w:eastAsia="zh-CN" w:bidi="ar-SA"/>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Calibri Light">
    <w:altName w:val="DejaVu Sans"/>
    <w:panose1 w:val="020F0302020204030204"/>
    <w:charset w:val="00"/>
    <w:family w:val="auto"/>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7BA235"/>
    <w:multiLevelType w:val="singleLevel"/>
    <w:tmpl w:val="777BA23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B16F4"/>
    <w:rsid w:val="17084D71"/>
    <w:rsid w:val="2B6E173C"/>
    <w:rsid w:val="4090448C"/>
    <w:rsid w:val="56577E7F"/>
    <w:rsid w:val="5DA27C0C"/>
    <w:rsid w:val="731B16F4"/>
    <w:rsid w:val="76973142"/>
    <w:rsid w:val="77BF66DB"/>
    <w:rsid w:val="785D723E"/>
    <w:rsid w:val="791E29FC"/>
    <w:rsid w:val="E955B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3"/>
    <w:next w:val="4"/>
    <w:qFormat/>
    <w:uiPriority w:val="0"/>
    <w:pPr>
      <w:spacing w:line="560" w:lineRule="atLeast"/>
    </w:pPr>
    <w:rPr>
      <w:rFonts w:ascii="等线" w:hAnsi="等线" w:eastAsia="等线"/>
    </w:rPr>
  </w:style>
  <w:style w:type="paragraph" w:customStyle="1" w:styleId="3">
    <w:name w:val="正文_0_0"/>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Title"/>
    <w:basedOn w:val="5"/>
    <w:next w:val="5"/>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customStyle="1" w:styleId="5">
    <w:name w:val="正文_0_0_0"/>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样式 首行缩进:  2 字符"/>
    <w:basedOn w:val="1"/>
    <w:qFormat/>
    <w:uiPriority w:val="0"/>
    <w:pPr>
      <w:widowControl/>
      <w:spacing w:line="360" w:lineRule="auto"/>
      <w:ind w:firstLine="480" w:firstLineChars="200"/>
    </w:pPr>
    <w:rPr>
      <w:rFonts w:ascii="Arial" w:hAnsi="Arial" w:cs="宋体"/>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2241</Words>
  <Characters>2248</Characters>
  <Lines>0</Lines>
  <Paragraphs>0</Paragraphs>
  <TotalTime>1</TotalTime>
  <ScaleCrop>false</ScaleCrop>
  <LinksUpToDate>false</LinksUpToDate>
  <CharactersWithSpaces>2251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2025-12-17T15:34:00Z</dcterms:created>
  <dc:creator>^jiān</dc:creator>
  <cp:lastModifiedBy>zhuyuanyuan</cp:lastModifiedBy>
  <dcterms:modified xsi:type="dcterms:W3CDTF">2025-12-24T17:22:15Z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40CECF367E407465C7B04B6920BCBA5C</vt:lpwstr>
  </property>
  <property fmtid="{D5CDD505-2E9C-101B-9397-08002B2CF9AE}" pid="4" name="KSOTemplateDocerSaveRecord">
    <vt:lpwstr>eyJoZGlkIjoiMGYzZjMwNjAxYTVjODMzYmVlNzJiMzM5MDlmNGU4MjMiLCJ1c2VySWQiOiI3MDM2NTExMDMifQ==</vt:lpwstr>
  </property>
</Properties>
</file>