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95" w:hanging="199" w:hangingChars="62"/>
        <w:jc w:val="center"/>
        <w:rPr>
          <w:rFonts w:hint="eastAsia" w:ascii="宋体" w:hAnsi="宋体" w:eastAsia="宋体" w:cs="宋体"/>
          <w:b/>
          <w:sz w:val="32"/>
          <w:szCs w:val="32"/>
        </w:rPr>
      </w:pPr>
      <w:bookmarkStart w:id="0" w:name="_GoBack"/>
      <w:bookmarkEnd w:id="0"/>
      <w:r>
        <w:rPr>
          <w:rFonts w:hint="eastAsia" w:ascii="宋体" w:hAnsi="宋体" w:eastAsia="宋体" w:cs="宋体"/>
          <w:b/>
          <w:sz w:val="32"/>
          <w:szCs w:val="32"/>
        </w:rPr>
        <w:t>深圳大鹏半岛国家地质自然公园管理处</w:t>
      </w:r>
    </w:p>
    <w:p>
      <w:pPr>
        <w:ind w:left="0" w:leftChars="-95" w:hanging="199" w:hangingChars="62"/>
        <w:jc w:val="center"/>
        <w:rPr>
          <w:rFonts w:hint="default" w:ascii="黑体" w:hAnsi="黑体" w:eastAsia="宋体" w:cs="黑体"/>
          <w:b/>
          <w:sz w:val="44"/>
          <w:szCs w:val="44"/>
          <w:lang w:val="en-US" w:eastAsia="zh-CN"/>
        </w:rPr>
      </w:pPr>
      <w:r>
        <w:rPr>
          <w:rFonts w:hint="eastAsia" w:ascii="宋体" w:hAnsi="宋体" w:eastAsia="宋体" w:cs="宋体"/>
          <w:b/>
          <w:sz w:val="32"/>
          <w:szCs w:val="32"/>
        </w:rPr>
        <w:t>网络信息安全服务项目</w:t>
      </w:r>
      <w:r>
        <w:rPr>
          <w:rFonts w:hint="eastAsia" w:ascii="宋体" w:hAnsi="宋体" w:cs="宋体"/>
          <w:b/>
          <w:sz w:val="32"/>
          <w:szCs w:val="32"/>
          <w:lang w:val="en-US" w:eastAsia="zh-CN"/>
        </w:rPr>
        <w:t>需求</w:t>
      </w:r>
    </w:p>
    <w:p>
      <w:pPr>
        <w:jc w:val="left"/>
        <w:outlineLvl w:val="0"/>
        <w:rPr>
          <w:rFonts w:ascii="仿宋" w:hAnsi="仿宋" w:eastAsia="仿宋"/>
          <w:b/>
          <w:szCs w:val="21"/>
        </w:rPr>
      </w:pPr>
    </w:p>
    <w:tbl>
      <w:tblPr>
        <w:tblStyle w:val="5"/>
        <w:tblW w:w="9051"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3364"/>
        <w:gridCol w:w="1487"/>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w:t>
            </w:r>
          </w:p>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名称</w:t>
            </w:r>
          </w:p>
        </w:tc>
        <w:tc>
          <w:tcPr>
            <w:tcW w:w="7785" w:type="dxa"/>
            <w:gridSpan w:val="3"/>
            <w:noWrap w:val="0"/>
            <w:vAlign w:val="center"/>
          </w:tcPr>
          <w:p>
            <w:pPr>
              <w:spacing w:line="320" w:lineRule="exact"/>
              <w:jc w:val="center"/>
              <w:rPr>
                <w:rFonts w:hint="default" w:ascii="仿宋" w:hAnsi="仿宋" w:eastAsia="仿宋" w:cs="仿宋"/>
                <w:sz w:val="24"/>
                <w:szCs w:val="24"/>
                <w:lang w:val="en-US"/>
              </w:rPr>
            </w:pPr>
            <w:r>
              <w:rPr>
                <w:rFonts w:hint="eastAsia" w:ascii="仿宋" w:hAnsi="仿宋" w:eastAsia="仿宋" w:cs="仿宋"/>
                <w:color w:val="000000"/>
                <w:sz w:val="24"/>
                <w:szCs w:val="24"/>
              </w:rPr>
              <w:t>深圳大鹏半岛国家地质自然公园管理处网络信息安全服务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采购单位名称</w:t>
            </w:r>
          </w:p>
        </w:tc>
        <w:tc>
          <w:tcPr>
            <w:tcW w:w="3364"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深圳大鹏半岛国家地质自然</w:t>
            </w:r>
          </w:p>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公园管理处</w:t>
            </w: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934" w:type="dxa"/>
            <w:noWrap w:val="0"/>
            <w:vAlign w:val="center"/>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364" w:type="dxa"/>
            <w:noWrap w:val="0"/>
            <w:vAlign w:val="center"/>
          </w:tcPr>
          <w:p>
            <w:pPr>
              <w:spacing w:line="360" w:lineRule="exact"/>
              <w:jc w:val="center"/>
              <w:rPr>
                <w:rFonts w:hint="eastAsia" w:ascii="仿宋" w:hAnsi="仿宋" w:eastAsia="仿宋" w:cs="仿宋"/>
                <w:sz w:val="24"/>
                <w:szCs w:val="24"/>
              </w:rPr>
            </w:pPr>
          </w:p>
        </w:tc>
        <w:tc>
          <w:tcPr>
            <w:tcW w:w="1487"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2934"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785" w:type="dxa"/>
            <w:gridSpan w:val="3"/>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66" w:type="dxa"/>
            <w:noWrap w:val="0"/>
            <w:vAlign w:val="center"/>
          </w:tcPr>
          <w:p>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785" w:type="dxa"/>
            <w:gridSpan w:val="3"/>
            <w:noWrap w:val="0"/>
            <w:vAlign w:val="center"/>
          </w:tcPr>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为落实网络信息安全管理制度关于网络信息安全的要求，需要购买网络信息安全服务，提高网络安全防护能力、完善技术保障措施，减少安全风险和隐患，保障信息系统安全稳定运行。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66"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785" w:type="dxa"/>
            <w:gridSpan w:val="3"/>
            <w:noWrap w:val="0"/>
            <w:vAlign w:val="center"/>
          </w:tcPr>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66"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投标人</w:t>
            </w:r>
          </w:p>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资质要求</w:t>
            </w:r>
          </w:p>
        </w:tc>
        <w:tc>
          <w:tcPr>
            <w:tcW w:w="7785" w:type="dxa"/>
            <w:gridSpan w:val="3"/>
            <w:noWrap w:val="0"/>
            <w:vAlign w:val="top"/>
          </w:tcPr>
          <w:p>
            <w:pPr>
              <w:spacing w:line="360" w:lineRule="exact"/>
              <w:jc w:val="left"/>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注意：提供明确、具体的资格要求（设置的投标人资格要求必须提交有法律法规依据，且不具备倾向性，否则，不予受理。）</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投标人必须是在中华人民共和国境内注册的、具有合法经营资格的独立法人单位，提供营业执照复印件（加盖公章）</w:t>
            </w:r>
            <w:r>
              <w:rPr>
                <w:rFonts w:hint="eastAsia" w:ascii="仿宋" w:hAnsi="仿宋" w:eastAsia="仿宋" w:cs="仿宋"/>
                <w:color w:val="auto"/>
                <w:kern w:val="0"/>
                <w:sz w:val="24"/>
                <w:szCs w:val="24"/>
                <w:lang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本项目不接受联合体投标，不允许分包，（不接受投标人选用进口产品参与投标）</w:t>
            </w:r>
            <w:r>
              <w:rPr>
                <w:rFonts w:hint="eastAsia" w:ascii="仿宋" w:hAnsi="仿宋" w:eastAsia="仿宋" w:cs="仿宋"/>
                <w:color w:val="auto"/>
                <w:kern w:val="0"/>
                <w:sz w:val="24"/>
                <w:szCs w:val="24"/>
                <w:lang w:val="en-US" w:eastAsia="zh-CN"/>
              </w:rPr>
              <w:t>。</w:t>
            </w:r>
          </w:p>
          <w:p>
            <w:pPr>
              <w:spacing w:line="360" w:lineRule="exact"/>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投标人须提供《政府采购投标及履约承诺函》（见附件），加盖投标人公章。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66" w:type="dxa"/>
            <w:noWrap w:val="0"/>
            <w:vAlign w:val="center"/>
          </w:tcPr>
          <w:p>
            <w:pPr>
              <w:spacing w:line="360" w:lineRule="exact"/>
              <w:jc w:val="center"/>
              <w:rPr>
                <w:rFonts w:hint="eastAsia" w:ascii="仿宋" w:hAnsi="仿宋" w:eastAsia="仿宋" w:cs="仿宋"/>
                <w:color w:val="000000"/>
                <w:sz w:val="24"/>
                <w:szCs w:val="24"/>
              </w:rPr>
            </w:pPr>
            <w:r>
              <w:rPr>
                <w:rFonts w:hint="eastAsia" w:ascii="仿宋" w:hAnsi="仿宋" w:eastAsia="仿宋" w:cs="仿宋"/>
                <w:bCs/>
                <w:sz w:val="24"/>
                <w:szCs w:val="24"/>
              </w:rPr>
              <w:t>需求内容</w:t>
            </w:r>
          </w:p>
        </w:tc>
        <w:tc>
          <w:tcPr>
            <w:tcW w:w="7785" w:type="dxa"/>
            <w:gridSpan w:val="3"/>
            <w:noWrap w:val="0"/>
            <w:vAlign w:val="top"/>
          </w:tcPr>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*1、报价要求</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（2）投标供应商应当根据本企业的成本自行决定报价，但不得以低于其企业成本的报价投标。</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（3）投标供应商的报价不得超过项目预算金额。</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（4）投标供应商的报价，应当是本项目采购范围和采购文件及合同条款上所列的各项内容中所述的全部，不得以任何理由予以重复。</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除非采购人通过修改采购文件予以更正，否则，投标供应商应毫无例外地按响应文件所列的清单中项目和数量填报综合单价和合价。投标供应商未填综合单价或合价的项目，在项目实施后一律不予支付，并视作该项费用已包括在其它有价款的综合单价或合价内，</w:t>
            </w:r>
            <w:r>
              <w:rPr>
                <w:rFonts w:hint="eastAsia" w:ascii="仿宋" w:hAnsi="仿宋" w:eastAsia="仿宋" w:cs="仿宋"/>
                <w:color w:val="auto"/>
                <w:kern w:val="0"/>
                <w:sz w:val="24"/>
                <w:szCs w:val="24"/>
              </w:rPr>
              <w:t>投标方不得再以任何理由主张追加该部分费用</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相关损失由投标方自行承担</w:t>
            </w:r>
            <w:r>
              <w:rPr>
                <w:rFonts w:hint="eastAsia" w:ascii="仿宋" w:hAnsi="仿宋" w:eastAsia="仿宋" w:cs="仿宋"/>
                <w:color w:val="auto"/>
                <w:kern w:val="0"/>
                <w:sz w:val="24"/>
                <w:szCs w:val="24"/>
                <w:lang w:val="en-US" w:eastAsia="zh-CN"/>
              </w:rPr>
              <w:t>。</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（6）投标供应商应先到项目地点踏勘以充分了解项目的位置、情况、道路及任何其它足以影响投标报价的情况，任何因忽视或误解项目情况而导致的索赔或服务期限延长申请将不获批准。</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*2、付款方式</w:t>
            </w:r>
          </w:p>
          <w:p>
            <w:pPr>
              <w:spacing w:line="32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sz w:val="24"/>
                <w:szCs w:val="24"/>
              </w:rPr>
              <w:t>合同签订生效后，根据中标单位的付款申请，支付合同总额的50%；中标单位完成项目所有内容，提交项目成果，并通过履约验收，支付合同总额的50%。</w:t>
            </w:r>
            <w:r>
              <w:rPr>
                <w:rFonts w:hint="eastAsia" w:ascii="仿宋" w:hAnsi="仿宋" w:eastAsia="仿宋" w:cs="仿宋"/>
                <w:color w:val="auto"/>
                <w:kern w:val="0"/>
                <w:sz w:val="24"/>
                <w:szCs w:val="24"/>
                <w:lang w:val="en-US" w:eastAsia="zh-CN"/>
              </w:rPr>
              <w:t xml:space="preserve"> </w:t>
            </w:r>
          </w:p>
          <w:p>
            <w:pPr>
              <w:spacing w:line="360" w:lineRule="exact"/>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*3、履约保证金</w:t>
            </w:r>
            <w:r>
              <w:rPr>
                <w:rFonts w:hint="eastAsia" w:ascii="仿宋" w:hAnsi="仿宋" w:eastAsia="仿宋" w:cs="仿宋"/>
                <w:color w:val="auto"/>
                <w:kern w:val="0"/>
                <w:sz w:val="24"/>
                <w:szCs w:val="24"/>
                <w:lang w:val="en-US" w:eastAsia="zh-CN"/>
              </w:rPr>
              <w:t xml:space="preserve">  </w:t>
            </w:r>
          </w:p>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无。</w:t>
            </w:r>
          </w:p>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*4、违约责任</w:t>
            </w:r>
            <w:r>
              <w:rPr>
                <w:rFonts w:hint="eastAsia" w:ascii="仿宋" w:hAnsi="仿宋" w:eastAsia="仿宋" w:cs="仿宋"/>
                <w:color w:val="auto"/>
                <w:kern w:val="0"/>
                <w:sz w:val="24"/>
                <w:szCs w:val="24"/>
                <w:lang w:val="en-US" w:eastAsia="zh-CN"/>
              </w:rPr>
              <w:t xml:space="preserve">   </w:t>
            </w:r>
          </w:p>
          <w:p>
            <w:pPr>
              <w:spacing w:line="360" w:lineRule="exact"/>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以具体合同约定为准。</w:t>
            </w:r>
          </w:p>
          <w:p>
            <w:pPr>
              <w:spacing w:line="36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*5、服务质量监督和项目验收要求</w:t>
            </w:r>
          </w:p>
          <w:p>
            <w:pPr>
              <w:spacing w:line="360" w:lineRule="exact"/>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对本单位内网、外网范围内的计算机终端、服务器、网络打印机等进行漏洞扫描，通过专业设备生成漏洞扫描报告，并根据漏洞扫描结果进行分析，发现并修复存在的高风险漏洞，确保计算机终端、服务器及网络打印机安全运行，</w:t>
            </w:r>
            <w:r>
              <w:rPr>
                <w:rFonts w:hint="eastAsia" w:ascii="仿宋" w:hAnsi="仿宋" w:eastAsia="仿宋" w:cs="仿宋"/>
                <w:color w:val="auto"/>
                <w:sz w:val="24"/>
                <w:szCs w:val="24"/>
              </w:rPr>
              <w:t>并出具漏洞扫描报告</w:t>
            </w:r>
            <w:r>
              <w:rPr>
                <w:rFonts w:hint="eastAsia" w:ascii="仿宋" w:hAnsi="仿宋" w:eastAsia="仿宋" w:cs="仿宋"/>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66" w:type="dxa"/>
            <w:noWrap w:val="0"/>
            <w:vAlign w:val="center"/>
          </w:tcPr>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具体技术要求</w:t>
            </w:r>
          </w:p>
        </w:tc>
        <w:tc>
          <w:tcPr>
            <w:tcW w:w="7785" w:type="dxa"/>
            <w:gridSpan w:val="3"/>
            <w:noWrap w:val="0"/>
            <w:vAlign w:val="top"/>
          </w:tcPr>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使用专业漏洞检查设备对本单位内</w:t>
            </w:r>
            <w:r>
              <w:rPr>
                <w:rFonts w:hint="eastAsia" w:ascii="仿宋" w:hAnsi="仿宋" w:eastAsia="仿宋" w:cs="仿宋"/>
                <w:color w:val="auto"/>
                <w:sz w:val="24"/>
                <w:szCs w:val="24"/>
                <w:lang w:val="en-US" w:eastAsia="zh-CN"/>
              </w:rPr>
              <w:t>外</w:t>
            </w:r>
            <w:r>
              <w:rPr>
                <w:rFonts w:hint="eastAsia" w:ascii="仿宋" w:hAnsi="仿宋" w:eastAsia="仿宋" w:cs="仿宋"/>
                <w:color w:val="auto"/>
                <w:sz w:val="24"/>
                <w:szCs w:val="24"/>
              </w:rPr>
              <w:t>网计算机终端、服务器、网络打印机等进行漏洞扫描，并出具漏洞扫描报告。</w:t>
            </w:r>
          </w:p>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确保漏洞扫描设备软件版本处于最新状态，并及时更新相关漏洞扫描数据库。</w:t>
            </w:r>
          </w:p>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对漏洞扫描报告进行技术分析，对其中误报、错报进行甄别剔除，对存在的高风险漏洞进行技术验证，并提出对应的解决方案或系统补丁。</w:t>
            </w:r>
          </w:p>
          <w:p>
            <w:pPr>
              <w:spacing w:line="3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安全修复加固：在安全扫描的基础上，对存在高风险漏洞的主机进行补丁更新或封堵，从而及时消除因为系统漏洞而产生的风险。</w:t>
            </w:r>
          </w:p>
          <w:p>
            <w:pPr>
              <w:pStyle w:val="2"/>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回归验证：在进行补丁更新或封堵后，重新进行漏洞扫描工作，并与上一次的漏扫报告进行对比，确保高风险漏洞已被修复。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66" w:type="dxa"/>
            <w:noWrap w:val="0"/>
            <w:vAlign w:val="center"/>
          </w:tcPr>
          <w:p>
            <w:pPr>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商务</w:t>
            </w:r>
          </w:p>
          <w:p>
            <w:pPr>
              <w:spacing w:line="320" w:lineRule="exact"/>
              <w:jc w:val="center"/>
              <w:rPr>
                <w:rFonts w:hint="eastAsia" w:ascii="仿宋" w:hAnsi="仿宋" w:eastAsia="仿宋" w:cs="仿宋"/>
                <w:kern w:val="0"/>
                <w:sz w:val="24"/>
                <w:szCs w:val="24"/>
              </w:rPr>
            </w:pPr>
            <w:r>
              <w:rPr>
                <w:rFonts w:hint="eastAsia" w:ascii="仿宋" w:hAnsi="仿宋" w:eastAsia="仿宋" w:cs="仿宋"/>
                <w:color w:val="000000"/>
                <w:sz w:val="24"/>
                <w:szCs w:val="24"/>
              </w:rPr>
              <w:t>需求</w:t>
            </w:r>
          </w:p>
        </w:tc>
        <w:tc>
          <w:tcPr>
            <w:tcW w:w="7785" w:type="dxa"/>
            <w:gridSpan w:val="3"/>
            <w:noWrap w:val="0"/>
            <w:vAlign w:val="top"/>
          </w:tcPr>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1、服务地点：深圳市大鹏新区南澳街道新大社区地质公园路1号。</w:t>
            </w:r>
          </w:p>
          <w:p>
            <w:pPr>
              <w:numPr>
                <w:ilvl w:val="0"/>
                <w:numId w:val="0"/>
              </w:num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2、服务期限：本项目服务期限为1年。</w:t>
            </w:r>
          </w:p>
          <w:p>
            <w:pPr>
              <w:numPr>
                <w:ilvl w:val="0"/>
                <w:numId w:val="0"/>
              </w:num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3、根据国家、省、市等上级部门下发的网络与信息安全相关文件的要求和内容进行维护。</w:t>
            </w:r>
          </w:p>
          <w:p>
            <w:pPr>
              <w:numPr>
                <w:ilvl w:val="0"/>
                <w:numId w:val="0"/>
              </w:num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严格按照网络信息管理要求进行管理</w:t>
            </w:r>
            <w:r>
              <w:rPr>
                <w:rFonts w:hint="eastAsia" w:ascii="仿宋" w:hAnsi="仿宋" w:eastAsia="仿宋" w:cs="仿宋"/>
                <w:color w:val="auto"/>
                <w:sz w:val="24"/>
                <w:szCs w:val="24"/>
                <w:lang w:val="en-US" w:eastAsia="zh-CN"/>
              </w:rPr>
              <w:t>，每月安排工程师到现场进行一天运维服务</w:t>
            </w:r>
            <w:r>
              <w:rPr>
                <w:rFonts w:hint="default" w:ascii="仿宋" w:hAnsi="仿宋" w:eastAsia="仿宋" w:cs="仿宋"/>
                <w:color w:val="auto"/>
                <w:sz w:val="24"/>
                <w:szCs w:val="24"/>
                <w:lang w:val="en-US" w:eastAsia="zh-CN"/>
              </w:rPr>
              <w:t>。</w:t>
            </w:r>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5、项目成果：</w:t>
            </w:r>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（1）计算机终端、服务器、网络打印机漏洞扫描季度报告4套(每季度1套)。</w:t>
            </w:r>
          </w:p>
          <w:p>
            <w:pPr>
              <w:spacing w:line="3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（2）计算机终端、服务器、网络打印机安全加固服务季度报告4套(每季度1套)。</w:t>
            </w:r>
          </w:p>
          <w:p>
            <w:pPr>
              <w:spacing w:line="32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（3）《项目总结报告》（服务到期时提供）1套。</w:t>
            </w:r>
          </w:p>
          <w:p>
            <w:pPr>
              <w:spacing w:line="320" w:lineRule="exact"/>
              <w:jc w:val="left"/>
              <w:rPr>
                <w:rFonts w:hint="eastAsia" w:ascii="仿宋" w:hAnsi="仿宋" w:eastAsia="仿宋" w:cs="仿宋"/>
                <w:color w:val="auto"/>
                <w:sz w:val="24"/>
                <w:szCs w:val="24"/>
              </w:rPr>
            </w:pPr>
          </w:p>
        </w:tc>
      </w:tr>
    </w:tbl>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BmYzY3MmM2Nzk4M2IzODBjYzM0NzlkYzZiNTMifQ=="/>
  </w:docVars>
  <w:rsids>
    <w:rsidRoot w:val="7DF419B8"/>
    <w:rsid w:val="02C76C9E"/>
    <w:rsid w:val="02D80E4A"/>
    <w:rsid w:val="03880C19"/>
    <w:rsid w:val="096F2804"/>
    <w:rsid w:val="0CE52937"/>
    <w:rsid w:val="15CE400A"/>
    <w:rsid w:val="16EC5336"/>
    <w:rsid w:val="19A57BD3"/>
    <w:rsid w:val="1EF92460"/>
    <w:rsid w:val="2229215A"/>
    <w:rsid w:val="266E04A3"/>
    <w:rsid w:val="28B7048D"/>
    <w:rsid w:val="2D0C1674"/>
    <w:rsid w:val="378E4F91"/>
    <w:rsid w:val="3CD045EF"/>
    <w:rsid w:val="3FFF87A0"/>
    <w:rsid w:val="42D975C5"/>
    <w:rsid w:val="46890388"/>
    <w:rsid w:val="4C445E1B"/>
    <w:rsid w:val="4C572A08"/>
    <w:rsid w:val="53DF697E"/>
    <w:rsid w:val="57E35015"/>
    <w:rsid w:val="5A051DDA"/>
    <w:rsid w:val="5B770AB5"/>
    <w:rsid w:val="5C2458BC"/>
    <w:rsid w:val="5D13395A"/>
    <w:rsid w:val="5FFB8D46"/>
    <w:rsid w:val="673FC3BF"/>
    <w:rsid w:val="69BCBCD5"/>
    <w:rsid w:val="6AC83AF3"/>
    <w:rsid w:val="6CC6267F"/>
    <w:rsid w:val="6E7D3CA6"/>
    <w:rsid w:val="6EE66EE3"/>
    <w:rsid w:val="706F5BB2"/>
    <w:rsid w:val="79FFC352"/>
    <w:rsid w:val="7DB85FFB"/>
    <w:rsid w:val="7DF419B8"/>
    <w:rsid w:val="DFFF9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1635</Words>
  <Characters>1745</Characters>
  <Lines>0</Lines>
  <Paragraphs>0</Paragraphs>
  <TotalTime>166</TotalTime>
  <ScaleCrop>false</ScaleCrop>
  <LinksUpToDate>false</LinksUpToDate>
  <CharactersWithSpaces>1760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2023-05-16T19:05:00Z</dcterms:created>
  <dc:creator>admin</dc:creator>
  <cp:lastModifiedBy>小红帽</cp:lastModifiedBy>
  <cp:lastPrinted>2025-11-25T18:33:00Z</cp:lastPrinted>
  <dcterms:modified xsi:type="dcterms:W3CDTF">2025-12-02T07:35:50Z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52B66EC4339C4B3DBFEAB2780B3704AB</vt:lpwstr>
  </property>
</Properties>
</file>