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94DF1">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国际红树林中心临时秘书处全年工作系列宣传项目采购需求</w:t>
      </w:r>
      <w:r>
        <w:rPr>
          <w:rFonts w:hint="eastAsia" w:ascii="方正小标宋_GBK" w:hAnsi="方正小标宋_GBK" w:eastAsia="方正小标宋_GBK" w:cs="方正小标宋_GBK"/>
          <w:bCs/>
          <w:color w:val="000000"/>
          <w:sz w:val="44"/>
          <w:szCs w:val="44"/>
          <w:highlight w:val="none"/>
          <w:lang w:eastAsia="zh-CN"/>
        </w:rPr>
        <w:t>文件</w:t>
      </w:r>
    </w:p>
    <w:tbl>
      <w:tblPr>
        <w:tblStyle w:val="12"/>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14:paraId="343C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14:paraId="643DE64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4"/>
            <w:vAlign w:val="center"/>
          </w:tcPr>
          <w:p w14:paraId="3B48DFAE">
            <w:pPr>
              <w:keepNext w:val="0"/>
              <w:keepLines w:val="0"/>
              <w:pageBreakBefore w:val="0"/>
              <w:kinsoku/>
              <w:wordWrap/>
              <w:overflowPunct/>
              <w:topLinePunct w:val="0"/>
              <w:autoSpaceDE/>
              <w:autoSpaceDN/>
              <w:bidi w:val="0"/>
              <w:adjustRightInd/>
              <w:snapToGrid/>
              <w:spacing w:after="120"/>
              <w:jc w:val="left"/>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 w:eastAsia="zh-CN"/>
              </w:rPr>
              <w:t>国际红树林中心临时秘书处全年工作系列宣传项目</w:t>
            </w:r>
          </w:p>
        </w:tc>
      </w:tr>
      <w:tr w14:paraId="453C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14:paraId="6BDCF29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14:paraId="1DDA55A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w:t>
            </w:r>
          </w:p>
        </w:tc>
        <w:tc>
          <w:tcPr>
            <w:tcW w:w="1366" w:type="dxa"/>
            <w:vAlign w:val="center"/>
          </w:tcPr>
          <w:p w14:paraId="22C12629">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14:paraId="655AD815">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直接确定供应商</w:t>
            </w:r>
          </w:p>
        </w:tc>
      </w:tr>
      <w:tr w14:paraId="708D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62769B9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14:paraId="3FC5EF05">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14:paraId="3FBE4F84">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14:paraId="2A6060C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部门预算</w:t>
            </w:r>
          </w:p>
        </w:tc>
      </w:tr>
      <w:tr w14:paraId="5043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006B6DD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14:paraId="3CE3030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highlight w:val="none"/>
                <w:lang w:val="en-US" w:eastAsia="zh-CN"/>
              </w:rPr>
              <w:t>98,000</w:t>
            </w:r>
            <w:r>
              <w:rPr>
                <w:rFonts w:hint="eastAsia" w:ascii="仿宋" w:hAnsi="仿宋" w:eastAsia="仿宋" w:cs="仿宋"/>
                <w:color w:val="000000"/>
                <w:szCs w:val="21"/>
                <w:highlight w:val="none"/>
              </w:rPr>
              <w:t>元</w:t>
            </w:r>
          </w:p>
        </w:tc>
        <w:tc>
          <w:tcPr>
            <w:tcW w:w="1366" w:type="dxa"/>
            <w:vAlign w:val="center"/>
          </w:tcPr>
          <w:p w14:paraId="735EE59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p>
        </w:tc>
        <w:tc>
          <w:tcPr>
            <w:tcW w:w="2261" w:type="dxa"/>
            <w:vAlign w:val="center"/>
          </w:tcPr>
          <w:p w14:paraId="48D48C51">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p>
        </w:tc>
      </w:tr>
      <w:tr w14:paraId="11C9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1" w:hRule="atLeast"/>
        </w:trPr>
        <w:tc>
          <w:tcPr>
            <w:tcW w:w="1560" w:type="dxa"/>
            <w:vAlign w:val="center"/>
          </w:tcPr>
          <w:p w14:paraId="51FB4520">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14:paraId="7C983475">
            <w:pPr>
              <w:keepNext w:val="0"/>
              <w:keepLines w:val="0"/>
              <w:pageBreakBefore w:val="0"/>
              <w:widowControl w:val="0"/>
              <w:kinsoku/>
              <w:wordWrap/>
              <w:overflowPunct/>
              <w:topLinePunct w:val="0"/>
              <w:autoSpaceDE/>
              <w:autoSpaceDN/>
              <w:bidi w:val="0"/>
              <w:adjustRightInd/>
              <w:snapToGrid/>
              <w:spacing w:after="120" w:line="279" w:lineRule="auto"/>
              <w:ind w:firstLine="420" w:firstLineChars="200"/>
              <w:jc w:val="left"/>
              <w:textAlignment w:val="auto"/>
              <w:rPr>
                <w:rFonts w:hint="default" w:ascii="仿宋" w:hAnsi="仿宋" w:eastAsia="仿宋" w:cs="仿宋"/>
                <w:color w:val="auto"/>
                <w:szCs w:val="21"/>
                <w:lang w:val="en-US" w:eastAsia="zh-CN"/>
              </w:rPr>
            </w:pPr>
            <w:r>
              <w:rPr>
                <w:rFonts w:hint="default" w:ascii="仿宋" w:hAnsi="仿宋" w:eastAsia="仿宋" w:cs="仿宋"/>
                <w:color w:val="auto"/>
                <w:szCs w:val="21"/>
                <w:lang w:val="en-US" w:eastAsia="zh-CN"/>
              </w:rPr>
              <w:t>2022年11月5日，习近平总书记在《湿地公约》第十四届缔约方大会开幕式上发表致辞，正式提出“在深圳建立国际红树林中心”的重要倡议。2023年9月6日，《湿地公约》第62次常委会审议通过设立国际红树林中心的区域动议提案，全球首个国际红树林中心（以下简称“中心”）正式落户深圳。2024年11月6日，国际红树林中心成立协定在深圳正式签署，首批18个创始成员国共同签署协定并为中心揭牌，中心正稳步发展成为推动红树林保护全球合作的重要枢纽平台。</w:t>
            </w:r>
          </w:p>
          <w:p w14:paraId="2B712BFC">
            <w:pPr>
              <w:keepNext w:val="0"/>
              <w:keepLines w:val="0"/>
              <w:pageBreakBefore w:val="0"/>
              <w:widowControl w:val="0"/>
              <w:kinsoku/>
              <w:wordWrap/>
              <w:overflowPunct/>
              <w:topLinePunct w:val="0"/>
              <w:autoSpaceDE/>
              <w:autoSpaceDN/>
              <w:bidi w:val="0"/>
              <w:adjustRightInd/>
              <w:snapToGrid/>
              <w:spacing w:after="120" w:line="279" w:lineRule="auto"/>
              <w:ind w:firstLine="420" w:firstLineChars="200"/>
              <w:jc w:val="left"/>
              <w:textAlignment w:val="auto"/>
              <w:rPr>
                <w:rFonts w:hint="default" w:ascii="仿宋" w:hAnsi="仿宋" w:eastAsia="仿宋" w:cs="仿宋"/>
                <w:color w:val="auto"/>
                <w:szCs w:val="21"/>
                <w:lang w:val="en-US" w:eastAsia="zh-CN"/>
              </w:rPr>
            </w:pPr>
            <w:r>
              <w:rPr>
                <w:rFonts w:hint="default" w:ascii="仿宋" w:hAnsi="仿宋" w:eastAsia="仿宋" w:cs="仿宋"/>
                <w:color w:val="auto"/>
                <w:szCs w:val="21"/>
                <w:lang w:val="en-US" w:eastAsia="zh-CN"/>
              </w:rPr>
              <w:t>国际红树林中心临时秘书处已在深圳正常运行，负责推动中心各项事务的开展。中心自成立以来，在国际交流、落地</w:t>
            </w:r>
            <w:r>
              <w:rPr>
                <w:rFonts w:hint="eastAsia" w:ascii="仿宋" w:hAnsi="仿宋" w:eastAsia="仿宋" w:cs="仿宋"/>
                <w:color w:val="auto"/>
                <w:szCs w:val="21"/>
                <w:lang w:val="en-US" w:eastAsia="zh-CN"/>
              </w:rPr>
              <w:t>运行</w:t>
            </w:r>
            <w:r>
              <w:rPr>
                <w:rFonts w:hint="default" w:ascii="仿宋" w:hAnsi="仿宋" w:eastAsia="仿宋" w:cs="仿宋"/>
                <w:color w:val="auto"/>
                <w:szCs w:val="21"/>
                <w:lang w:val="en-US" w:eastAsia="zh-CN"/>
              </w:rPr>
              <w:t>、经验共享等方面取得实质性进展：成员国数量已拓展至20个，在《湿地公约》第十五届缔约方大会（COP15）期间联合多国部门举办主题边会，国际合作网络不断扩大；打造“国际红树林之夜”品牌项目，促进红树林保护理念融入市民日常生活；举办多期国际研讨班，系统分享红树林保护与修复的中国经验，为全球红树林治理贡献“中国智慧”与“中国方案”。</w:t>
            </w:r>
          </w:p>
          <w:p w14:paraId="7F7B2532">
            <w:pPr>
              <w:keepNext w:val="0"/>
              <w:keepLines w:val="0"/>
              <w:pageBreakBefore w:val="0"/>
              <w:widowControl w:val="0"/>
              <w:kinsoku/>
              <w:wordWrap/>
              <w:overflowPunct/>
              <w:topLinePunct w:val="0"/>
              <w:autoSpaceDE/>
              <w:autoSpaceDN/>
              <w:bidi w:val="0"/>
              <w:adjustRightInd/>
              <w:snapToGrid/>
              <w:spacing w:after="120" w:line="279" w:lineRule="auto"/>
              <w:ind w:firstLine="420" w:firstLineChars="200"/>
              <w:jc w:val="left"/>
              <w:textAlignment w:val="auto"/>
              <w:rPr>
                <w:rFonts w:hint="eastAsia" w:ascii="仿宋" w:hAnsi="仿宋" w:eastAsia="仿宋" w:cs="仿宋"/>
                <w:color w:val="000000"/>
                <w:szCs w:val="21"/>
              </w:rPr>
            </w:pPr>
            <w:r>
              <w:rPr>
                <w:rFonts w:hint="default" w:ascii="仿宋" w:hAnsi="仿宋" w:eastAsia="仿宋" w:cs="仿宋"/>
                <w:color w:val="auto"/>
                <w:szCs w:val="21"/>
                <w:lang w:val="en-US" w:eastAsia="zh-CN"/>
              </w:rPr>
              <w:t>当前，正值国际红树林中心成立一周年之际，是回顾总结前期发展成果、展望未来发展的重要节点，也是进一步提升中心国际影响力、增强公众认知度的关键契机。为此，本项目拟依托深圳晚报公众号平台“覆盖广、传播快、互动强”的特点，策划推出一周年主题宣传推文，系统梳理中心工作成效，生动呈现其在红树林保护与可持续发展领域的努力与贡献，广泛传播红树林生态价值与保护理念，动员更多社会力量参与支持，为中心的高质量建设运行营造良好的社会氛围。</w:t>
            </w:r>
          </w:p>
        </w:tc>
      </w:tr>
      <w:tr w14:paraId="0702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560" w:type="dxa"/>
            <w:vAlign w:val="center"/>
          </w:tcPr>
          <w:p w14:paraId="7F2D84A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14:paraId="1D49BEA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p>
        </w:tc>
      </w:tr>
      <w:tr w14:paraId="3732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275F1C07">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14:paraId="0B8B0360">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b/>
                <w:color w:val="auto"/>
                <w:kern w:val="0"/>
                <w:szCs w:val="21"/>
              </w:rPr>
            </w:pPr>
            <w:r>
              <w:rPr>
                <w:rFonts w:hint="eastAsia" w:ascii="仿宋" w:hAnsi="仿宋" w:eastAsia="仿宋" w:cs="仿宋"/>
                <w:b/>
                <w:color w:val="auto"/>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2321940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1）具有独立法人资格；</w:t>
            </w:r>
          </w:p>
          <w:p w14:paraId="4613C159">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2）本项目不接受联合体投标，不允许分包，（不接受投标人选用进口产品参与投标）。</w:t>
            </w:r>
          </w:p>
          <w:p w14:paraId="196623B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3）参与本项目投标前三年内，在经营活动中没有重大违法记录（由供应商在《供应商声明函》中作出声明）。</w:t>
            </w:r>
          </w:p>
          <w:p w14:paraId="37537E59">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4）参与本项目政府采购活动时不存在被有关部门禁止参与政府采购活动且在有效期内的情况（由供应商在《供应商声明函》中作出声明）。</w:t>
            </w:r>
          </w:p>
          <w:p w14:paraId="1C24C52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5）具备《中华人民共和国政府采购法》第二十二条第一款的条件（由供应商在《供应商声明函》中作出声明）。</w:t>
            </w:r>
          </w:p>
          <w:p w14:paraId="76EF0D33">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6）参与政府采购项目投标的供应商未被列入失信被执行人、重大税收违法案件当事人名单、政府采购严重违法失信行为记录名单，不存在《深圳市财政局政府采购供应商信用信息管理办法》（深财规〔2023〕3号）列明的严重违法失信行为（由供应商在《政府采购投标及履约承诺函》中作出声明</w:t>
            </w:r>
            <w:r>
              <w:rPr>
                <w:rFonts w:hint="eastAsia" w:ascii="仿宋" w:hAnsi="仿宋" w:eastAsia="仿宋" w:cs="仿宋"/>
                <w:color w:val="auto"/>
                <w:kern w:val="0"/>
                <w:szCs w:val="21"/>
                <w:lang w:eastAsia="zh-CN"/>
              </w:rPr>
              <w:t>）。</w:t>
            </w:r>
          </w:p>
        </w:tc>
      </w:tr>
      <w:tr w14:paraId="4D94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4977B81C">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14:paraId="52457FE0">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1、报价要求</w:t>
            </w:r>
          </w:p>
          <w:p w14:paraId="130F027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（1）本项目服务费采用包干制，应包括服务成本、法定税费和企业的利润。由投标供应商根据采购文件所提供的资料自行测算投标报价；报价总价作为中标供应商与采购人</w:t>
            </w:r>
            <w:r>
              <w:rPr>
                <w:rFonts w:hint="eastAsia" w:ascii="仿宋" w:hAnsi="仿宋" w:eastAsia="仿宋" w:cs="仿宋"/>
                <w:color w:val="auto"/>
                <w:szCs w:val="21"/>
                <w:lang w:eastAsia="zh-CN"/>
              </w:rPr>
              <w:t>签订</w:t>
            </w:r>
            <w:r>
              <w:rPr>
                <w:rFonts w:hint="eastAsia" w:ascii="仿宋" w:hAnsi="仿宋" w:eastAsia="仿宋" w:cs="仿宋"/>
                <w:color w:val="auto"/>
                <w:szCs w:val="21"/>
              </w:rPr>
              <w:t>的合同金额。</w:t>
            </w:r>
          </w:p>
          <w:p w14:paraId="2F3615C4">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（2）供应商应当根据本企业的成本自行决定报价，但不得以低于其企业成本的报价投标。</w:t>
            </w:r>
          </w:p>
          <w:p w14:paraId="318335FA">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（3）本项目预算金额为人民币</w:t>
            </w:r>
            <w:r>
              <w:rPr>
                <w:rFonts w:hint="eastAsia" w:ascii="仿宋" w:hAnsi="仿宋" w:eastAsia="仿宋" w:cs="仿宋"/>
                <w:color w:val="auto"/>
                <w:szCs w:val="21"/>
                <w:highlight w:val="none"/>
                <w:lang w:val="en-US" w:eastAsia="zh-CN"/>
              </w:rPr>
              <w:t>98,000</w:t>
            </w:r>
            <w:r>
              <w:rPr>
                <w:rFonts w:ascii="仿宋" w:hAnsi="仿宋" w:eastAsia="仿宋" w:cs="仿宋"/>
                <w:color w:val="auto"/>
                <w:szCs w:val="21"/>
                <w:highlight w:val="none"/>
              </w:rPr>
              <w:t>元</w:t>
            </w:r>
            <w:r>
              <w:rPr>
                <w:rFonts w:hint="eastAsia" w:ascii="仿宋" w:hAnsi="仿宋" w:eastAsia="仿宋" w:cs="仿宋"/>
                <w:color w:val="auto"/>
                <w:szCs w:val="21"/>
                <w:highlight w:val="none"/>
              </w:rPr>
              <w:t>，供应商的报价不得超过项目预算金额。</w:t>
            </w:r>
          </w:p>
          <w:p w14:paraId="70DFDEE1">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（4）供应商的报价，应当是本项目采购范围和采购文件及合同条款上所列的各项内容中所述的全部，不得以任何理由予以重复。</w:t>
            </w:r>
          </w:p>
          <w:p w14:paraId="529A4EC8">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（5）供应商应先充分了解项目的位置、情况及任何</w:t>
            </w:r>
            <w:r>
              <w:rPr>
                <w:rFonts w:hint="eastAsia" w:ascii="仿宋" w:hAnsi="仿宋" w:eastAsia="仿宋" w:cs="仿宋"/>
                <w:color w:val="auto"/>
                <w:szCs w:val="21"/>
                <w:lang w:eastAsia="zh-CN"/>
              </w:rPr>
              <w:t>其他</w:t>
            </w:r>
            <w:r>
              <w:rPr>
                <w:rFonts w:hint="eastAsia" w:ascii="仿宋" w:hAnsi="仿宋" w:eastAsia="仿宋" w:cs="仿宋"/>
                <w:color w:val="auto"/>
                <w:szCs w:val="21"/>
              </w:rPr>
              <w:t>足以影响投标报价的情况，任何因忽视或误解项目情况而导致的索赔或服务期限延长申请将不获批准。</w:t>
            </w:r>
          </w:p>
          <w:p w14:paraId="2699A549">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2、付款方式</w:t>
            </w:r>
          </w:p>
          <w:p w14:paraId="7B9F599E">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分二期付款。</w:t>
            </w:r>
          </w:p>
          <w:p w14:paraId="77AAA31B">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第一期：自双方签订合同之日起10个工作日内付合同首期款，供应商提交有效发票，采购方根据合同金额支付供应商合同总价款的70%。</w:t>
            </w:r>
          </w:p>
          <w:p w14:paraId="448D1742">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第二期：</w:t>
            </w:r>
            <w:r>
              <w:rPr>
                <w:rFonts w:hint="eastAsia" w:ascii="仿宋" w:hAnsi="仿宋" w:eastAsia="仿宋" w:cs="仿宋"/>
                <w:color w:val="auto"/>
                <w:szCs w:val="21"/>
                <w:lang w:val="en-US" w:eastAsia="zh-CN"/>
              </w:rPr>
              <w:t>供应商完成合同规定的各项工作内容，经采购方验收通过后，提供有效发票，采购方支付供应商实际总价款剩余的30%。</w:t>
            </w:r>
          </w:p>
          <w:p w14:paraId="43E69DCF">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3、履约保证金</w:t>
            </w:r>
          </w:p>
          <w:p w14:paraId="52A70FB3">
            <w:pPr>
              <w:keepNext w:val="0"/>
              <w:keepLines w:val="0"/>
              <w:pageBreakBefore w:val="0"/>
              <w:widowControl/>
              <w:kinsoku/>
              <w:wordWrap/>
              <w:overflowPunct/>
              <w:topLinePunct w:val="0"/>
              <w:autoSpaceDE/>
              <w:autoSpaceDN/>
              <w:bidi w:val="0"/>
              <w:adjustRightInd/>
              <w:snapToGrid/>
              <w:spacing w:after="0" w:line="279" w:lineRule="auto"/>
              <w:jc w:val="left"/>
              <w:textAlignment w:val="auto"/>
              <w:rPr>
                <w:rFonts w:hint="eastAsia" w:ascii="仿宋" w:hAnsi="仿宋" w:eastAsia="仿宋" w:cs="仿宋"/>
                <w:color w:val="auto"/>
                <w:kern w:val="0"/>
                <w:szCs w:val="21"/>
              </w:rPr>
            </w:pPr>
            <w:r>
              <w:rPr>
                <w:rFonts w:hint="eastAsia" w:ascii="仿宋" w:hAnsi="仿宋" w:eastAsia="仿宋" w:cs="仿宋"/>
                <w:color w:val="auto"/>
                <w:szCs w:val="21"/>
              </w:rPr>
              <w:t>无需缴纳履约保证金。</w:t>
            </w:r>
          </w:p>
        </w:tc>
      </w:tr>
      <w:tr w14:paraId="4EF3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60" w:type="dxa"/>
            <w:vAlign w:val="center"/>
          </w:tcPr>
          <w:p w14:paraId="704747F0">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14:paraId="592423BD">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1.总体要求</w:t>
            </w:r>
          </w:p>
          <w:p w14:paraId="69305B4B">
            <w:pPr>
              <w:keepNext w:val="0"/>
              <w:keepLines w:val="0"/>
              <w:pageBreakBefore w:val="0"/>
              <w:kinsoku/>
              <w:wordWrap/>
              <w:overflowPunct/>
              <w:topLinePunct w:val="0"/>
              <w:autoSpaceDE/>
              <w:autoSpaceDN/>
              <w:bidi w:val="0"/>
              <w:adjustRightInd/>
              <w:snapToGrid/>
              <w:spacing w:after="120"/>
              <w:jc w:val="left"/>
              <w:textAlignment w:val="auto"/>
              <w:rPr>
                <w:rFonts w:hint="default" w:ascii="仿宋" w:hAnsi="仿宋" w:eastAsia="仿宋" w:cs="仿宋"/>
                <w:color w:val="auto"/>
                <w:szCs w:val="21"/>
                <w:highlight w:val="yellow"/>
                <w:lang w:val="en-US" w:eastAsia="zh-CN"/>
              </w:rPr>
            </w:pPr>
            <w:r>
              <w:rPr>
                <w:rFonts w:hint="eastAsia" w:ascii="仿宋" w:hAnsi="仿宋" w:eastAsia="仿宋" w:cs="仿宋"/>
                <w:color w:val="auto"/>
                <w:szCs w:val="21"/>
                <w:highlight w:val="none"/>
                <w:lang w:val="en-US" w:eastAsia="zh-CN"/>
              </w:rPr>
              <w:t>本项目围绕国际红树林中心成立一周年的关键节点，以系统呈现国际红树林中心建设成效、深化红树林保护全球共识为核心目标，开展专题宣传策划。依托深圳晚报公众号平台，策划并发布两篇高质量原创推文，全面展示中心在制度构建、国际合作、技术输出、平台建设等方面取得的标志性成果，并融入典型案例与多维度叙事，生动诠释“红树林+”理念与“中国方案”的全球价值。</w:t>
            </w:r>
          </w:p>
          <w:p w14:paraId="3E03347B">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2.服务地点</w:t>
            </w:r>
          </w:p>
          <w:p w14:paraId="5FEAD7A7">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广东省深圳市</w:t>
            </w:r>
          </w:p>
          <w:p w14:paraId="07CD5E91">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服务时间</w:t>
            </w:r>
          </w:p>
          <w:p w14:paraId="1634DBF8">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自合同签订后</w:t>
            </w:r>
            <w:r>
              <w:rPr>
                <w:rFonts w:hint="eastAsia" w:ascii="仿宋" w:hAnsi="仿宋" w:eastAsia="仿宋" w:cs="仿宋"/>
                <w:color w:val="auto"/>
                <w:szCs w:val="21"/>
                <w:lang w:val="en-US" w:eastAsia="zh-CN"/>
              </w:rPr>
              <w:t>至</w:t>
            </w:r>
            <w:r>
              <w:rPr>
                <w:rFonts w:hint="eastAsia" w:ascii="仿宋" w:hAnsi="仿宋" w:eastAsia="仿宋" w:cs="仿宋"/>
                <w:color w:val="auto"/>
                <w:szCs w:val="21"/>
              </w:rPr>
              <w:t>2025年12月31日</w:t>
            </w:r>
          </w:p>
          <w:p w14:paraId="1F32059B">
            <w:pPr>
              <w:keepNext w:val="0"/>
              <w:keepLines w:val="0"/>
              <w:pageBreakBefore w:val="0"/>
              <w:tabs>
                <w:tab w:val="left" w:pos="6173"/>
              </w:tabs>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.人员安排要求</w:t>
            </w:r>
            <w:r>
              <w:rPr>
                <w:rFonts w:ascii="仿宋" w:hAnsi="仿宋" w:eastAsia="仿宋" w:cs="仿宋"/>
                <w:color w:val="auto"/>
                <w:szCs w:val="21"/>
              </w:rPr>
              <w:tab/>
            </w:r>
          </w:p>
          <w:p w14:paraId="5C3D675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项目组应具有丰富的宣传策划与媒体运营管理的工作经验，确保项目高质量开展。</w:t>
            </w:r>
          </w:p>
          <w:p w14:paraId="2B695501">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.内容要求</w:t>
            </w:r>
          </w:p>
          <w:p w14:paraId="4C70FDE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本项目结合“国际红树林中心成立一周年”节点，在深圳晚报公众号平台策划并发布两篇原创推文，对国际红树林中心临时秘书处全年工作与未来规划进行系统梳理和宣传。主要工作涵盖内容撰写、推文排版、推文发布三个方面。</w:t>
            </w:r>
          </w:p>
          <w:p w14:paraId="03914DA5">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1</w:t>
            </w:r>
            <w:r>
              <w:rPr>
                <w:rFonts w:hint="eastAsia" w:ascii="仿宋" w:hAnsi="仿宋" w:eastAsia="仿宋" w:cs="仿宋"/>
                <w:color w:val="auto"/>
                <w:szCs w:val="21"/>
              </w:rPr>
              <w:t>）</w:t>
            </w:r>
            <w:r>
              <w:rPr>
                <w:rFonts w:hint="eastAsia" w:ascii="仿宋" w:hAnsi="仿宋" w:eastAsia="仿宋" w:cs="仿宋"/>
                <w:color w:val="auto"/>
                <w:szCs w:val="21"/>
                <w:lang w:eastAsia="zh-CN"/>
              </w:rPr>
              <w:t>内容撰写。系统梳理中心成立一年来在制度构建、国际合作、技术输出、平台建设等方面的标志性成果，并融入典型实践案例，撰写高质量宣传稿件，确保内容兼具政策高度、专业深度与公众可读性</w:t>
            </w:r>
            <w:r>
              <w:rPr>
                <w:rFonts w:hint="eastAsia" w:ascii="仿宋" w:hAnsi="仿宋" w:eastAsia="仿宋" w:cs="仿宋"/>
                <w:color w:val="auto"/>
                <w:szCs w:val="21"/>
              </w:rPr>
              <w:t>。</w:t>
            </w:r>
          </w:p>
          <w:p w14:paraId="56CC9D22">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（2）推文排版。结合公众号传播特点，对推文进行视觉化排版设计，提升内容可读性与视觉吸引力。并嵌入相关图片，提升内容真实感与感染力。</w:t>
            </w:r>
          </w:p>
          <w:p w14:paraId="29314302">
            <w:pPr>
              <w:keepNext w:val="0"/>
              <w:keepLines w:val="0"/>
              <w:pageBreakBefore w:val="0"/>
              <w:kinsoku/>
              <w:wordWrap/>
              <w:overflowPunct/>
              <w:topLinePunct w:val="0"/>
              <w:autoSpaceDE/>
              <w:autoSpaceDN/>
              <w:bidi w:val="0"/>
              <w:adjustRightInd/>
              <w:snapToGrid/>
              <w:spacing w:after="120"/>
              <w:jc w:val="left"/>
              <w:textAlignment w:val="auto"/>
              <w:rPr>
                <w:rFonts w:hint="default"/>
                <w:lang w:val="en-US" w:eastAsia="zh-CN"/>
              </w:rPr>
            </w:pPr>
            <w:r>
              <w:rPr>
                <w:rFonts w:hint="eastAsia" w:ascii="仿宋" w:hAnsi="仿宋" w:eastAsia="仿宋" w:cs="仿宋"/>
                <w:color w:val="auto"/>
                <w:szCs w:val="21"/>
                <w:lang w:val="en-US" w:eastAsia="zh-CN"/>
              </w:rPr>
              <w:t>（3）推文发布。以公众号为核心载体，明确推文发布安排，确保两篇推文在公众号头条位置分时段发布，形成宣传热度延续效应。</w:t>
            </w:r>
          </w:p>
        </w:tc>
      </w:tr>
      <w:tr w14:paraId="27D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60" w:type="dxa"/>
          </w:tcPr>
          <w:p w14:paraId="7D4D0139">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14:paraId="091A87E1">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1.</w:t>
            </w:r>
            <w:r>
              <w:rPr>
                <w:rFonts w:hint="eastAsia" w:ascii="仿宋" w:hAnsi="仿宋" w:eastAsia="仿宋" w:cs="仿宋"/>
                <w:color w:val="auto"/>
                <w:szCs w:val="21"/>
              </w:rPr>
              <w:t>服务期限</w:t>
            </w:r>
          </w:p>
          <w:p w14:paraId="083248B2">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bookmarkStart w:id="0" w:name="_Hlk132040907"/>
            <w:r>
              <w:rPr>
                <w:rFonts w:hint="eastAsia" w:ascii="仿宋" w:hAnsi="仿宋" w:eastAsia="仿宋" w:cs="仿宋"/>
                <w:color w:val="auto"/>
                <w:szCs w:val="21"/>
              </w:rPr>
              <w:t>合同签订之日起至2025年1</w:t>
            </w:r>
            <w:r>
              <w:rPr>
                <w:rFonts w:hint="eastAsia" w:ascii="仿宋" w:hAnsi="仿宋" w:eastAsia="仿宋" w:cs="仿宋"/>
                <w:color w:val="auto"/>
                <w:szCs w:val="21"/>
                <w:lang w:val="en-US" w:eastAsia="zh-CN"/>
              </w:rPr>
              <w:t>2</w:t>
            </w:r>
            <w:r>
              <w:rPr>
                <w:rFonts w:hint="eastAsia" w:ascii="仿宋" w:hAnsi="仿宋" w:eastAsia="仿宋" w:cs="仿宋"/>
                <w:color w:val="auto"/>
                <w:szCs w:val="21"/>
              </w:rPr>
              <w:t>月3</w:t>
            </w:r>
            <w:r>
              <w:rPr>
                <w:rFonts w:hint="eastAsia" w:ascii="仿宋" w:hAnsi="仿宋" w:eastAsia="仿宋" w:cs="仿宋"/>
                <w:color w:val="auto"/>
                <w:szCs w:val="21"/>
                <w:lang w:val="en-US" w:eastAsia="zh-CN"/>
              </w:rPr>
              <w:t>1</w:t>
            </w:r>
            <w:r>
              <w:rPr>
                <w:rFonts w:hint="eastAsia" w:ascii="仿宋" w:hAnsi="仿宋" w:eastAsia="仿宋" w:cs="仿宋"/>
                <w:color w:val="auto"/>
                <w:szCs w:val="21"/>
              </w:rPr>
              <w:t>日，完成本项目的最终全部工作内容</w:t>
            </w:r>
            <w:bookmarkEnd w:id="0"/>
            <w:r>
              <w:rPr>
                <w:rFonts w:hint="eastAsia" w:ascii="仿宋" w:hAnsi="仿宋" w:eastAsia="仿宋" w:cs="仿宋"/>
                <w:color w:val="auto"/>
                <w:szCs w:val="21"/>
              </w:rPr>
              <w:t>。</w:t>
            </w:r>
          </w:p>
          <w:p w14:paraId="47BC2AC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2.</w:t>
            </w:r>
            <w:r>
              <w:rPr>
                <w:rFonts w:hint="eastAsia" w:ascii="仿宋" w:hAnsi="仿宋" w:eastAsia="仿宋" w:cs="仿宋"/>
                <w:color w:val="auto"/>
                <w:szCs w:val="21"/>
              </w:rPr>
              <w:t>进度安排</w:t>
            </w:r>
          </w:p>
          <w:p w14:paraId="6F849DF1">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lang w:val="en"/>
              </w:rPr>
            </w:pPr>
            <w:r>
              <w:rPr>
                <w:rFonts w:hint="eastAsia" w:ascii="仿宋" w:hAnsi="仿宋" w:eastAsia="仿宋" w:cs="仿宋"/>
                <w:color w:val="auto"/>
                <w:szCs w:val="21"/>
                <w:lang w:val="en"/>
              </w:rPr>
              <w:t>合同签订后，</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val="en"/>
              </w:rPr>
              <w:t>应于一周内组织项目团队启动项目有关工作。</w:t>
            </w:r>
          </w:p>
          <w:p w14:paraId="4EFA656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 w:eastAsia="zh-CN"/>
              </w:rPr>
              <w:t>3.</w:t>
            </w:r>
            <w:r>
              <w:rPr>
                <w:rFonts w:hint="eastAsia" w:ascii="仿宋" w:hAnsi="仿宋" w:eastAsia="仿宋" w:cs="仿宋"/>
                <w:color w:val="auto"/>
                <w:szCs w:val="21"/>
              </w:rPr>
              <w:t>成果要求</w:t>
            </w:r>
          </w:p>
          <w:p w14:paraId="2AF01C12">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val="en"/>
              </w:rPr>
              <w:t>按合同规定完成“国际红树林中心临时秘书处全年工作系列宣传项目”的所有</w:t>
            </w:r>
            <w:r>
              <w:rPr>
                <w:rFonts w:hint="eastAsia" w:ascii="仿宋" w:hAnsi="仿宋" w:eastAsia="仿宋" w:cs="仿宋"/>
                <w:color w:val="auto"/>
                <w:szCs w:val="21"/>
                <w:lang w:val="en-US" w:eastAsia="zh-CN"/>
              </w:rPr>
              <w:t>内容</w:t>
            </w:r>
            <w:r>
              <w:rPr>
                <w:rFonts w:hint="eastAsia" w:ascii="仿宋" w:hAnsi="仿宋" w:eastAsia="仿宋" w:cs="仿宋"/>
                <w:color w:val="auto"/>
                <w:szCs w:val="21"/>
                <w:lang w:val="en"/>
              </w:rPr>
              <w:t>撰写</w:t>
            </w:r>
            <w:r>
              <w:rPr>
                <w:rFonts w:hint="eastAsia" w:ascii="仿宋" w:hAnsi="仿宋" w:eastAsia="仿宋" w:cs="仿宋"/>
                <w:color w:val="auto"/>
                <w:szCs w:val="21"/>
                <w:lang w:val="en" w:eastAsia="zh-CN"/>
              </w:rPr>
              <w:t>、</w:t>
            </w:r>
            <w:r>
              <w:rPr>
                <w:rFonts w:hint="eastAsia" w:ascii="仿宋" w:hAnsi="仿宋" w:eastAsia="仿宋" w:cs="仿宋"/>
                <w:color w:val="auto"/>
                <w:szCs w:val="21"/>
                <w:lang w:val="en-US" w:eastAsia="zh-CN"/>
              </w:rPr>
              <w:t>推文排版与平台</w:t>
            </w:r>
            <w:r>
              <w:rPr>
                <w:rFonts w:hint="eastAsia" w:ascii="仿宋" w:hAnsi="仿宋" w:eastAsia="仿宋" w:cs="仿宋"/>
                <w:color w:val="auto"/>
                <w:szCs w:val="21"/>
                <w:lang w:val="en"/>
              </w:rPr>
              <w:t>发布工作。</w:t>
            </w:r>
          </w:p>
          <w:p w14:paraId="7988947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4.</w:t>
            </w:r>
            <w:r>
              <w:rPr>
                <w:rFonts w:hint="eastAsia" w:ascii="仿宋" w:hAnsi="仿宋" w:eastAsia="仿宋" w:cs="仿宋"/>
                <w:color w:val="auto"/>
                <w:szCs w:val="21"/>
              </w:rPr>
              <w:t xml:space="preserve">服务质量监督和项目验收要求 </w:t>
            </w:r>
          </w:p>
          <w:p w14:paraId="44F55D68">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按采购方的</w:t>
            </w:r>
            <w:r>
              <w:rPr>
                <w:rFonts w:hint="eastAsia" w:ascii="仿宋" w:hAnsi="仿宋" w:eastAsia="仿宋" w:cs="仿宋"/>
                <w:color w:val="auto"/>
                <w:szCs w:val="21"/>
                <w:lang w:eastAsia="zh-CN"/>
              </w:rPr>
              <w:t>宣传</w:t>
            </w:r>
            <w:r>
              <w:rPr>
                <w:rFonts w:hint="eastAsia" w:ascii="仿宋" w:hAnsi="仿宋" w:eastAsia="仿宋" w:cs="仿宋"/>
                <w:color w:val="auto"/>
                <w:szCs w:val="21"/>
              </w:rPr>
              <w:t>需求及时间要求，完成相应工作成果并全部提交后，采购方将进行项目验收。验收方式为采购方验收通过。验收方式为国际红树林中心</w:t>
            </w:r>
            <w:r>
              <w:rPr>
                <w:rFonts w:hint="eastAsia" w:ascii="仿宋" w:hAnsi="仿宋" w:eastAsia="仿宋" w:cs="仿宋"/>
                <w:color w:val="auto"/>
                <w:szCs w:val="21"/>
                <w:lang w:val="en-US" w:eastAsia="zh-CN"/>
              </w:rPr>
              <w:t>事务部</w:t>
            </w:r>
            <w:r>
              <w:rPr>
                <w:rFonts w:hint="eastAsia" w:ascii="仿宋" w:hAnsi="仿宋" w:eastAsia="仿宋" w:cs="仿宋"/>
                <w:color w:val="auto"/>
                <w:szCs w:val="21"/>
                <w:lang w:eastAsia="zh-CN"/>
              </w:rPr>
              <w:t>审批存档</w:t>
            </w:r>
            <w:r>
              <w:rPr>
                <w:rFonts w:hint="eastAsia" w:ascii="仿宋" w:hAnsi="仿宋" w:eastAsia="仿宋" w:cs="仿宋"/>
                <w:color w:val="auto"/>
                <w:szCs w:val="21"/>
              </w:rPr>
              <w:t>。</w:t>
            </w:r>
          </w:p>
          <w:p w14:paraId="7978352D">
            <w:pPr>
              <w:keepNext w:val="0"/>
              <w:keepLines w:val="0"/>
              <w:pageBreakBefore w:val="0"/>
              <w:widowControl/>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5.</w:t>
            </w:r>
            <w:r>
              <w:rPr>
                <w:rFonts w:ascii="仿宋" w:hAnsi="仿宋" w:eastAsia="仿宋" w:cs="仿宋"/>
                <w:color w:val="auto"/>
                <w:szCs w:val="21"/>
              </w:rPr>
              <w:t>售后服务要求</w:t>
            </w:r>
          </w:p>
          <w:p w14:paraId="14F0B8FE">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ascii="仿宋" w:hAnsi="仿宋" w:eastAsia="仿宋" w:cs="仿宋"/>
                <w:color w:val="auto"/>
                <w:szCs w:val="21"/>
              </w:rPr>
              <w:t>项目售后服务期限自最终成果提交采购方之日起的6个月内，</w:t>
            </w:r>
            <w:r>
              <w:rPr>
                <w:rFonts w:hint="eastAsia" w:ascii="仿宋" w:hAnsi="仿宋" w:eastAsia="仿宋" w:cs="仿宋"/>
                <w:color w:val="auto"/>
                <w:szCs w:val="21"/>
                <w:lang w:val="en-US" w:eastAsia="zh-CN"/>
              </w:rPr>
              <w:t>供应商</w:t>
            </w:r>
            <w:r>
              <w:rPr>
                <w:rFonts w:ascii="仿宋" w:hAnsi="仿宋" w:eastAsia="仿宋" w:cs="仿宋"/>
                <w:color w:val="auto"/>
                <w:szCs w:val="21"/>
              </w:rPr>
              <w:t>须与采购方保持密切沟通，随时跟进项目后续的服务需求，提供相关技术支持，配合做好相关汇报工作。</w:t>
            </w:r>
            <w:bookmarkStart w:id="1" w:name="_GoBack"/>
            <w:bookmarkEnd w:id="1"/>
          </w:p>
          <w:p w14:paraId="55154B1A">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其他要求</w:t>
            </w:r>
          </w:p>
          <w:p w14:paraId="5F75ED20">
            <w:pPr>
              <w:pStyle w:val="5"/>
              <w:keepNext w:val="0"/>
              <w:keepLines w:val="0"/>
              <w:pageBreakBefore w:val="0"/>
              <w:kinsoku/>
              <w:wordWrap/>
              <w:overflowPunct/>
              <w:topLinePunct w:val="0"/>
              <w:autoSpaceDE/>
              <w:autoSpaceDN/>
              <w:bidi w:val="0"/>
              <w:adjustRightInd/>
              <w:snapToGrid/>
              <w:spacing w:before="78" w:beforeLines="25" w:after="120"/>
              <w:ind w:firstLine="0"/>
              <w:textAlignment w:val="auto"/>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应确保文件中的人员信息及所提交资料的真实、有效。</w:t>
            </w:r>
          </w:p>
          <w:p w14:paraId="60E01FE0">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必须保守国家机密，</w:t>
            </w:r>
            <w:r>
              <w:rPr>
                <w:rFonts w:hint="eastAsia" w:ascii="仿宋" w:hAnsi="仿宋" w:eastAsia="仿宋" w:cs="仿宋"/>
                <w:color w:val="auto"/>
                <w:szCs w:val="21"/>
                <w:lang w:eastAsia="zh-CN"/>
              </w:rPr>
              <w:t>不得泄露</w:t>
            </w:r>
            <w:r>
              <w:rPr>
                <w:rFonts w:hint="eastAsia" w:ascii="仿宋" w:hAnsi="仿宋" w:eastAsia="仿宋" w:cs="仿宋"/>
                <w:color w:val="auto"/>
                <w:szCs w:val="21"/>
              </w:rPr>
              <w:t>采购方所提供的属国家秘密的信息和数据；未经采购方允许，不得向第三方提供本项目的相关信息或数据。</w:t>
            </w:r>
          </w:p>
        </w:tc>
      </w:tr>
      <w:tr w14:paraId="120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14:paraId="3D82E80F">
            <w:pPr>
              <w:keepNext w:val="0"/>
              <w:keepLines w:val="0"/>
              <w:pageBreakBefore w:val="0"/>
              <w:kinsoku/>
              <w:wordWrap/>
              <w:overflowPunct/>
              <w:topLinePunct w:val="0"/>
              <w:autoSpaceDE/>
              <w:autoSpaceDN/>
              <w:bidi w:val="0"/>
              <w:adjustRightInd/>
              <w:snapToGrid/>
              <w:spacing w:after="120"/>
              <w:jc w:val="center"/>
              <w:textAlignment w:val="auto"/>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14:paraId="4EA5DBE6">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rPr>
            </w:pPr>
            <w:r>
              <w:rPr>
                <w:rFonts w:hint="eastAsia" w:ascii="仿宋" w:hAnsi="仿宋" w:eastAsia="仿宋" w:cs="仿宋"/>
                <w:color w:val="auto"/>
                <w:szCs w:val="21"/>
              </w:rPr>
              <w:t>特定供应商的名称、项目负责人及联系方式</w:t>
            </w:r>
          </w:p>
        </w:tc>
      </w:tr>
      <w:tr w14:paraId="70D6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14:paraId="6689FB80">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szCs w:val="21"/>
              </w:rPr>
            </w:pPr>
          </w:p>
        </w:tc>
        <w:tc>
          <w:tcPr>
            <w:tcW w:w="850" w:type="dxa"/>
            <w:vMerge w:val="restart"/>
          </w:tcPr>
          <w:p w14:paraId="54972DE8">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特定供应商</w:t>
            </w:r>
          </w:p>
        </w:tc>
        <w:tc>
          <w:tcPr>
            <w:tcW w:w="6557" w:type="dxa"/>
            <w:gridSpan w:val="3"/>
          </w:tcPr>
          <w:p w14:paraId="50935894">
            <w:pPr>
              <w:keepNext w:val="0"/>
              <w:keepLines w:val="0"/>
              <w:pageBreakBefore w:val="0"/>
              <w:kinsoku/>
              <w:wordWrap/>
              <w:overflowPunct/>
              <w:topLinePunct w:val="0"/>
              <w:autoSpaceDE/>
              <w:autoSpaceDN/>
              <w:bidi w:val="0"/>
              <w:adjustRightInd/>
              <w:snapToGrid/>
              <w:spacing w:after="120"/>
              <w:jc w:val="left"/>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单位名称：</w:t>
            </w:r>
            <w:r>
              <w:rPr>
                <w:rFonts w:hint="eastAsia" w:ascii="仿宋" w:hAnsi="仿宋" w:eastAsia="仿宋" w:cs="仿宋"/>
                <w:color w:val="auto"/>
                <w:szCs w:val="21"/>
                <w:highlight w:val="none"/>
                <w:lang w:val="en-US" w:eastAsia="zh-CN"/>
              </w:rPr>
              <w:t>深圳晚报发展有限公司</w:t>
            </w:r>
          </w:p>
        </w:tc>
      </w:tr>
      <w:tr w14:paraId="4924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14:paraId="41B4090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szCs w:val="21"/>
              </w:rPr>
            </w:pPr>
          </w:p>
        </w:tc>
        <w:tc>
          <w:tcPr>
            <w:tcW w:w="850" w:type="dxa"/>
            <w:vMerge w:val="continue"/>
          </w:tcPr>
          <w:p w14:paraId="6B0A9FFF">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highlight w:val="none"/>
              </w:rPr>
            </w:pPr>
          </w:p>
        </w:tc>
        <w:tc>
          <w:tcPr>
            <w:tcW w:w="6557" w:type="dxa"/>
            <w:gridSpan w:val="3"/>
          </w:tcPr>
          <w:p w14:paraId="5CAE7C91">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项目负责人：魏</w:t>
            </w:r>
            <w:r>
              <w:rPr>
                <w:rFonts w:hint="eastAsia" w:ascii="仿宋" w:hAnsi="仿宋" w:eastAsia="仿宋" w:cs="仿宋"/>
                <w:color w:val="auto"/>
                <w:szCs w:val="21"/>
                <w:highlight w:val="none"/>
                <w:lang w:val="en-US" w:eastAsia="zh-CN"/>
              </w:rPr>
              <w:t>工</w:t>
            </w:r>
          </w:p>
        </w:tc>
      </w:tr>
      <w:tr w14:paraId="6FE0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14:paraId="4A0C3F43">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szCs w:val="21"/>
              </w:rPr>
            </w:pPr>
          </w:p>
        </w:tc>
        <w:tc>
          <w:tcPr>
            <w:tcW w:w="850" w:type="dxa"/>
            <w:vMerge w:val="continue"/>
          </w:tcPr>
          <w:p w14:paraId="0F548884">
            <w:pPr>
              <w:keepNext w:val="0"/>
              <w:keepLines w:val="0"/>
              <w:pageBreakBefore w:val="0"/>
              <w:kinsoku/>
              <w:wordWrap/>
              <w:overflowPunct/>
              <w:topLinePunct w:val="0"/>
              <w:autoSpaceDE/>
              <w:autoSpaceDN/>
              <w:bidi w:val="0"/>
              <w:adjustRightInd/>
              <w:snapToGrid/>
              <w:spacing w:after="120"/>
              <w:jc w:val="left"/>
              <w:textAlignment w:val="auto"/>
              <w:rPr>
                <w:rFonts w:hint="eastAsia" w:ascii="仿宋" w:hAnsi="仿宋" w:eastAsia="仿宋" w:cs="仿宋"/>
                <w:color w:val="auto"/>
                <w:szCs w:val="21"/>
                <w:highlight w:val="none"/>
              </w:rPr>
            </w:pPr>
          </w:p>
        </w:tc>
        <w:tc>
          <w:tcPr>
            <w:tcW w:w="6557" w:type="dxa"/>
            <w:gridSpan w:val="3"/>
          </w:tcPr>
          <w:p w14:paraId="597C23F1">
            <w:pPr>
              <w:keepNext w:val="0"/>
              <w:keepLines w:val="0"/>
              <w:pageBreakBefore w:val="0"/>
              <w:kinsoku/>
              <w:wordWrap/>
              <w:overflowPunct/>
              <w:topLinePunct w:val="0"/>
              <w:autoSpaceDE/>
              <w:autoSpaceDN/>
              <w:bidi w:val="0"/>
              <w:adjustRightInd/>
              <w:snapToGrid/>
              <w:spacing w:after="120"/>
              <w:jc w:val="left"/>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联系电话：0755-83515516</w:t>
            </w:r>
          </w:p>
        </w:tc>
      </w:tr>
    </w:tbl>
    <w:p w14:paraId="09459AFB">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14:paraId="1FC19EA5">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2.</w:t>
      </w:r>
      <w:r>
        <w:rPr>
          <w:rFonts w:hint="eastAsia" w:ascii="仿宋" w:hAnsi="仿宋" w:eastAsia="仿宋"/>
          <w:bCs/>
          <w:color w:val="000000"/>
          <w:szCs w:val="21"/>
        </w:rPr>
        <w:t>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32F1CAAC">
      <w:pPr>
        <w:spacing w:line="360" w:lineRule="exact"/>
        <w:ind w:firstLine="420" w:firstLineChars="200"/>
        <w:jc w:val="left"/>
        <w:rPr>
          <w:color w:val="000000"/>
        </w:rPr>
      </w:pPr>
      <w:r>
        <w:rPr>
          <w:rFonts w:hint="eastAsia" w:ascii="仿宋" w:hAnsi="仿宋" w:eastAsia="仿宋"/>
          <w:bCs/>
          <w:color w:val="000000"/>
          <w:szCs w:val="21"/>
          <w:lang w:eastAsia="zh-CN"/>
        </w:rPr>
        <w:t>3.</w:t>
      </w:r>
      <w:r>
        <w:rPr>
          <w:rFonts w:hint="eastAsia" w:ascii="仿宋" w:hAnsi="仿宋" w:eastAsia="仿宋"/>
          <w:bCs/>
          <w:color w:val="000000"/>
          <w:szCs w:val="21"/>
        </w:rPr>
        <w:t>采购单位以上填报的商务条款、技术条款若存在倾向性或不公正性条款，由此引起的不良后果将由采购单位自行承担。</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5DAFD188-0329-4A68-AD5F-5C1539042778}"/>
  </w:font>
  <w:font w:name="仿宋">
    <w:panose1 w:val="02010609060101010101"/>
    <w:charset w:val="86"/>
    <w:family w:val="modern"/>
    <w:pitch w:val="default"/>
    <w:sig w:usb0="800002BF" w:usb1="38CF7CFA" w:usb2="00000016" w:usb3="00000000" w:csb0="00040001" w:csb1="00000000"/>
    <w:embedRegular r:id="rId2" w:fontKey="{F7B82ADB-DDC8-45F5-B3DF-A7B6AD9130F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B626AB"/>
    <w:rsid w:val="02BA1778"/>
    <w:rsid w:val="04CB48D9"/>
    <w:rsid w:val="070B661E"/>
    <w:rsid w:val="094F6556"/>
    <w:rsid w:val="09C258FD"/>
    <w:rsid w:val="140B7FF3"/>
    <w:rsid w:val="17BF7966"/>
    <w:rsid w:val="1800599F"/>
    <w:rsid w:val="18BFAF94"/>
    <w:rsid w:val="1A3A4022"/>
    <w:rsid w:val="1B5129E5"/>
    <w:rsid w:val="1DAD6772"/>
    <w:rsid w:val="1DC31AF1"/>
    <w:rsid w:val="1E68704C"/>
    <w:rsid w:val="2508041F"/>
    <w:rsid w:val="25704025"/>
    <w:rsid w:val="27A21C1E"/>
    <w:rsid w:val="289D3530"/>
    <w:rsid w:val="29246737"/>
    <w:rsid w:val="2A8FCBDA"/>
    <w:rsid w:val="2DBB9ECF"/>
    <w:rsid w:val="2FFC70E5"/>
    <w:rsid w:val="31B13859"/>
    <w:rsid w:val="32C06CF3"/>
    <w:rsid w:val="35A46254"/>
    <w:rsid w:val="366F6D52"/>
    <w:rsid w:val="37D1ADBB"/>
    <w:rsid w:val="37FFECEA"/>
    <w:rsid w:val="38425367"/>
    <w:rsid w:val="3BF84DE7"/>
    <w:rsid w:val="3DBDB6A8"/>
    <w:rsid w:val="3F5DF255"/>
    <w:rsid w:val="3F7363D7"/>
    <w:rsid w:val="3FEBBE60"/>
    <w:rsid w:val="40756BFD"/>
    <w:rsid w:val="41A44B0D"/>
    <w:rsid w:val="438B54C6"/>
    <w:rsid w:val="46D25840"/>
    <w:rsid w:val="47C70063"/>
    <w:rsid w:val="47CF312A"/>
    <w:rsid w:val="48233465"/>
    <w:rsid w:val="4845001A"/>
    <w:rsid w:val="49C97A9C"/>
    <w:rsid w:val="4CF352AC"/>
    <w:rsid w:val="50F558DE"/>
    <w:rsid w:val="553755F6"/>
    <w:rsid w:val="55B15923"/>
    <w:rsid w:val="569A63F6"/>
    <w:rsid w:val="57FB3B64"/>
    <w:rsid w:val="5D6E1A8B"/>
    <w:rsid w:val="5F97E0A9"/>
    <w:rsid w:val="5FBFF009"/>
    <w:rsid w:val="67363FF7"/>
    <w:rsid w:val="6C2C3F8D"/>
    <w:rsid w:val="6C7F5490"/>
    <w:rsid w:val="6E54327C"/>
    <w:rsid w:val="6EFE6758"/>
    <w:rsid w:val="6F3592EA"/>
    <w:rsid w:val="72FA4DA6"/>
    <w:rsid w:val="743BBE01"/>
    <w:rsid w:val="74E7F739"/>
    <w:rsid w:val="74FF59F6"/>
    <w:rsid w:val="75625322"/>
    <w:rsid w:val="75BEB14A"/>
    <w:rsid w:val="76DD495A"/>
    <w:rsid w:val="77251B6B"/>
    <w:rsid w:val="77BEAB47"/>
    <w:rsid w:val="77FA9395"/>
    <w:rsid w:val="7B5F95A0"/>
    <w:rsid w:val="7BFBE2F1"/>
    <w:rsid w:val="7CFF75D7"/>
    <w:rsid w:val="7DFC9289"/>
    <w:rsid w:val="7DFFBAC9"/>
    <w:rsid w:val="7E35A5E7"/>
    <w:rsid w:val="7EC26E55"/>
    <w:rsid w:val="7EEA0760"/>
    <w:rsid w:val="7EF5E079"/>
    <w:rsid w:val="7EFFAA2F"/>
    <w:rsid w:val="7FD74127"/>
    <w:rsid w:val="7FED09B6"/>
    <w:rsid w:val="8DF6C7F1"/>
    <w:rsid w:val="8F3F4F83"/>
    <w:rsid w:val="A39F5C83"/>
    <w:rsid w:val="ABCBADA3"/>
    <w:rsid w:val="ADF99E3B"/>
    <w:rsid w:val="AF67D541"/>
    <w:rsid w:val="B7BB78EC"/>
    <w:rsid w:val="B7BC21A4"/>
    <w:rsid w:val="B7FE5796"/>
    <w:rsid w:val="BB9F010D"/>
    <w:rsid w:val="BBFA8ACB"/>
    <w:rsid w:val="BDE5BC27"/>
    <w:rsid w:val="BEDFD388"/>
    <w:rsid w:val="BFB76DC7"/>
    <w:rsid w:val="BFBF589F"/>
    <w:rsid w:val="BFFD2304"/>
    <w:rsid w:val="D76FA156"/>
    <w:rsid w:val="DBF92A12"/>
    <w:rsid w:val="DD7EB7C7"/>
    <w:rsid w:val="DDFFB6CA"/>
    <w:rsid w:val="E57D0AFD"/>
    <w:rsid w:val="E6B97382"/>
    <w:rsid w:val="E7F96DE1"/>
    <w:rsid w:val="E8AAD269"/>
    <w:rsid w:val="EBF32ADD"/>
    <w:rsid w:val="ED5FCACE"/>
    <w:rsid w:val="EDFDCE19"/>
    <w:rsid w:val="EFD724DC"/>
    <w:rsid w:val="EFDB7936"/>
    <w:rsid w:val="EFF7CC39"/>
    <w:rsid w:val="F3A58CE4"/>
    <w:rsid w:val="F3BFF85B"/>
    <w:rsid w:val="F5F3053C"/>
    <w:rsid w:val="F6FE2E1C"/>
    <w:rsid w:val="F6FF62F6"/>
    <w:rsid w:val="F70FE3E1"/>
    <w:rsid w:val="F7FF4800"/>
    <w:rsid w:val="F9FA2435"/>
    <w:rsid w:val="FB7F537E"/>
    <w:rsid w:val="FBFDC630"/>
    <w:rsid w:val="FD66A03A"/>
    <w:rsid w:val="FDEB120D"/>
    <w:rsid w:val="FDF73517"/>
    <w:rsid w:val="FDFC3904"/>
    <w:rsid w:val="FE3E357D"/>
    <w:rsid w:val="FED6A6F7"/>
    <w:rsid w:val="FEF54E4F"/>
    <w:rsid w:val="FEFD4FDF"/>
    <w:rsid w:val="FF537CD6"/>
    <w:rsid w:val="FF756E39"/>
    <w:rsid w:val="FF9FB609"/>
    <w:rsid w:val="FFA64865"/>
    <w:rsid w:val="FFBA973A"/>
    <w:rsid w:val="FFD76D0C"/>
    <w:rsid w:val="FFDE2BB1"/>
    <w:rsid w:val="FFE7509F"/>
    <w:rsid w:val="FFF96ACA"/>
    <w:rsid w:val="FFFF024A"/>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5">
    <w:name w:val="Normal Indent"/>
    <w:basedOn w:val="1"/>
    <w:qFormat/>
    <w:uiPriority w:val="0"/>
    <w:pPr>
      <w:ind w:firstLine="420"/>
    </w:pPr>
    <w:rPr>
      <w:szCs w:val="20"/>
    </w:rPr>
  </w:style>
  <w:style w:type="paragraph" w:styleId="6">
    <w:name w:val="annotation text"/>
    <w:basedOn w:val="1"/>
    <w:qFormat/>
    <w:uiPriority w:val="0"/>
    <w:pPr>
      <w:spacing w:line="259" w:lineRule="auto"/>
    </w:pPr>
    <w:rPr>
      <w:rFonts w:ascii="等线" w:hAnsi="等线" w:eastAsia="等线"/>
      <w:kern w:val="0"/>
      <w:sz w:val="22"/>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2861</Words>
  <Characters>2933</Characters>
  <Lines>22</Lines>
  <Paragraphs>6</Paragraphs>
  <TotalTime>5</TotalTime>
  <ScaleCrop>false</ScaleCrop>
  <LinksUpToDate>false</LinksUpToDate>
  <CharactersWithSpaces>2936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2025-03-24T01:37:00Z</dcterms:created>
  <dc:creator>qiling</dc:creator>
  <cp:lastModifiedBy>✨wyting✨</cp:lastModifiedBy>
  <cp:lastPrinted>2025-08-13T22:53:00Z</cp:lastPrinted>
  <dcterms:modified xsi:type="dcterms:W3CDTF">2025-12-02T09:24:54Z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30AF378CFA6C43BE8E69DD574D1F712C_13</vt:lpwstr>
  </property>
  <property fmtid="{D5CDD505-2E9C-101B-9397-08002B2CF9AE}" pid="4" name="KSOTemplateDocerSaveRecord">
    <vt:lpwstr>eyJoZGlkIjoiZTRjYWNhNTE5NDIzMWRiZjQ5ZjI5ZTBkMjJjOTNmOWUiLCJ1c2VySWQiOiIzMTM0ODMxNzQifQ==</vt:lpwstr>
  </property>
</Properties>
</file>