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rPr>
      </w:pPr>
      <w:r>
        <w:rPr>
          <w:rFonts w:hint="eastAsia" w:ascii="宋体" w:hAnsi="宋体" w:cs="宋体"/>
          <w:b/>
          <w:sz w:val="32"/>
          <w:szCs w:val="32"/>
        </w:rPr>
        <w:t>服务类项目采购需求</w:t>
      </w:r>
    </w:p>
    <w:tbl>
      <w:tblPr>
        <w:tblStyle w:val="13"/>
        <w:tblW w:w="872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522"/>
        <w:gridCol w:w="1271"/>
        <w:gridCol w:w="705"/>
        <w:gridCol w:w="432"/>
        <w:gridCol w:w="330"/>
        <w:gridCol w:w="1036"/>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160" w:type="dxa"/>
            <w:gridSpan w:val="8"/>
            <w:vAlign w:val="center"/>
          </w:tcPr>
          <w:p>
            <w:pPr>
              <w:spacing w:line="360" w:lineRule="exact"/>
              <w:jc w:val="left"/>
              <w:rPr>
                <w:rFonts w:hint="eastAsia" w:ascii="仿宋" w:hAnsi="仿宋" w:eastAsia="仿宋" w:cs="仿宋"/>
                <w:sz w:val="24"/>
                <w:szCs w:val="24"/>
              </w:rPr>
            </w:pPr>
            <w:r>
              <w:rPr>
                <w:rFonts w:hint="eastAsia"/>
                <w:spacing w:val="-10"/>
                <w:sz w:val="24"/>
                <w:szCs w:val="24"/>
              </w:rPr>
              <w:t>深圳大鹏半岛国家地质公园申报世界地质公园可行性研究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gridSpan w:val="5"/>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公众服务部</w:t>
            </w:r>
          </w:p>
        </w:tc>
        <w:tc>
          <w:tcPr>
            <w:tcW w:w="1366" w:type="dxa"/>
            <w:gridSpan w:val="2"/>
            <w:vAlign w:val="center"/>
          </w:tcPr>
          <w:p>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w:t>
            </w:r>
            <w:r>
              <w:rPr>
                <w:rFonts w:hint="eastAsia" w:ascii="仿宋" w:hAnsi="仿宋" w:eastAsia="仿宋" w:cs="仿宋"/>
                <w:sz w:val="24"/>
                <w:szCs w:val="24"/>
                <w:lang w:eastAsia="zh-Hans"/>
              </w:rPr>
              <w:t>方</w:t>
            </w:r>
            <w:r>
              <w:rPr>
                <w:rFonts w:hint="eastAsia" w:ascii="仿宋" w:hAnsi="仿宋" w:eastAsia="仿宋" w:cs="仿宋"/>
                <w:sz w:val="24"/>
                <w:szCs w:val="24"/>
              </w:rPr>
              <w:t>式</w:t>
            </w:r>
          </w:p>
        </w:tc>
        <w:tc>
          <w:tcPr>
            <w:tcW w:w="2014" w:type="dxa"/>
            <w:vAlign w:val="center"/>
          </w:tcPr>
          <w:p>
            <w:pPr>
              <w:spacing w:line="360" w:lineRule="exact"/>
              <w:jc w:val="left"/>
              <w:rPr>
                <w:rFonts w:hint="eastAsia" w:ascii="仿宋" w:hAnsi="仿宋" w:eastAsia="仿宋" w:cs="仿宋"/>
                <w:sz w:val="24"/>
                <w:szCs w:val="24"/>
              </w:rPr>
            </w:pPr>
            <w:r>
              <w:rPr>
                <w:rFonts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780" w:type="dxa"/>
            <w:gridSpan w:val="5"/>
            <w:vAlign w:val="center"/>
          </w:tcPr>
          <w:p>
            <w:pPr>
              <w:spacing w:line="360" w:lineRule="exact"/>
              <w:jc w:val="left"/>
              <w:rPr>
                <w:rFonts w:hint="eastAsia" w:ascii="仿宋" w:hAnsi="仿宋" w:eastAsia="仿宋" w:cs="仿宋"/>
                <w:sz w:val="24"/>
                <w:szCs w:val="24"/>
              </w:rPr>
            </w:pPr>
          </w:p>
        </w:tc>
        <w:tc>
          <w:tcPr>
            <w:tcW w:w="1366" w:type="dxa"/>
            <w:gridSpan w:val="2"/>
            <w:vAlign w:val="center"/>
          </w:tcPr>
          <w:p>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014" w:type="dxa"/>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160" w:type="dxa"/>
            <w:gridSpan w:val="8"/>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85</w:t>
            </w:r>
            <w:r>
              <w:rPr>
                <w:rFonts w:hint="eastAsia" w:ascii="仿宋" w:hAnsi="仿宋" w:eastAsia="仿宋" w:cs="仿宋"/>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160" w:type="dxa"/>
            <w:gridSpan w:val="8"/>
            <w:vAlign w:val="center"/>
          </w:tcPr>
          <w:p>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联合国教科文组织世界地质公园作为联合国教科文组织下的一个国际性认证品牌，它不仅是保护地质遗迹、促进科普教育的重要平台，也是推动区域可持续发展、提升地区国际知名度和影响力的重要载体。我公园于2005年获批准为国家地质公园。经过多年的建设与发展，公园在地质遗迹保护、科学研究、科普教育及旅游发展等方面取得了显著成效。为积极响应国家关于“构建人与自然和谐共生的现代化”的号召，深入实施“全球城市推广计划”，践行“绿水青山就是金山银山”的发展理念，进一步提升我公园的国际地位和品牌价值，带动地方经济与社会可持续发展，现拟启动申报世界地质公园可行性分析研究工作，重点关注拟申报范围内地质遗迹的分布、现状、价值评估和对比，为政府决策提供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160" w:type="dxa"/>
            <w:gridSpan w:val="8"/>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bCs/>
                <w:sz w:val="24"/>
                <w:szCs w:val="24"/>
              </w:rPr>
              <w:t>*</w:t>
            </w:r>
            <w:r>
              <w:rPr>
                <w:rFonts w:hint="eastAsia" w:ascii="仿宋" w:hAnsi="仿宋" w:eastAsia="仿宋" w:cs="仿宋"/>
                <w:kern w:val="0"/>
                <w:sz w:val="24"/>
                <w:szCs w:val="24"/>
              </w:rPr>
              <w:t>投标人资质要求</w:t>
            </w:r>
          </w:p>
        </w:tc>
        <w:tc>
          <w:tcPr>
            <w:tcW w:w="7160" w:type="dxa"/>
            <w:gridSpan w:val="8"/>
          </w:tcPr>
          <w:p>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1.具有独立法人资格（提供营业执照或事业单位法人证等法人证明扫描件）。</w:t>
            </w:r>
          </w:p>
          <w:p>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2.投标文件中必须签署《政府采购投标及履约承诺函》。</w:t>
            </w:r>
          </w:p>
          <w:p>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3.参与本项目投标前三年内（即至少从2022年11月开始计算，投标人成立不足三年的可从成立之日起算）在经营活动中没有重大违法记录（由投标供应商在《政府采购投标及履约承诺函》中作出声明）。</w:t>
            </w:r>
          </w:p>
          <w:p>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4.参与本项目政府采购活动时不存在被有关部门禁止参与政府采购活动且在有效期内的情况（由投标供应商在《政府采购投标及履约承诺函》中作出声明）。</w:t>
            </w:r>
          </w:p>
          <w:p>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5.未被列入失信被执行人、重大税收违法案件当事人名单、政府采购严重违法失信行为记录名单（由投标供应商在《政府采购投标及履约承诺函》中作出声明）。</w:t>
            </w:r>
          </w:p>
          <w:p>
            <w:pPr>
              <w:adjustRightInd w:val="0"/>
              <w:snapToGrid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6.本项目不接受联合体投标，不接受投标人选用进口产品参与投标，不允许分包、转包。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7160" w:type="dxa"/>
            <w:gridSpan w:val="8"/>
          </w:tcPr>
          <w:p>
            <w:pPr>
              <w:pStyle w:val="6"/>
              <w:ind w:firstLine="480" w:firstLineChars="200"/>
              <w:rPr>
                <w:rFonts w:hint="eastAsia" w:ascii="仿宋" w:hAnsi="仿宋" w:eastAsia="仿宋" w:cs="仿宋"/>
                <w:sz w:val="24"/>
              </w:rPr>
            </w:pPr>
            <w:r>
              <w:rPr>
                <w:rFonts w:hint="eastAsia" w:ascii="仿宋" w:hAnsi="仿宋" w:eastAsia="仿宋" w:cs="仿宋"/>
                <w:sz w:val="24"/>
              </w:rPr>
              <w:t>*1、报价要求</w:t>
            </w:r>
          </w:p>
          <w:p>
            <w:pPr>
              <w:pStyle w:val="5"/>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bCs/>
                <w:sz w:val="24"/>
              </w:rPr>
              <w:t>本项目费用采用包干制，应包括服务成本、法定税费和企业利润等与项目有关的全部费用。由投标人根据招标文件所提供的资料自行测算投标报价。一经中标，投标报价总价作为中标人与采购人签定的合同金额，合同期限内不做调整。</w:t>
            </w:r>
          </w:p>
          <w:p>
            <w:pPr>
              <w:pStyle w:val="5"/>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1.2 投标人应根据本企业的成本自行决定报价，但不得以低于其企业成本的报价投标；</w:t>
            </w:r>
          </w:p>
          <w:p>
            <w:pPr>
              <w:pStyle w:val="5"/>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1.3 投标人的投标报价不得超过财政预算限额，投标报价超出预算限额的将作废标处理；</w:t>
            </w:r>
          </w:p>
          <w:p>
            <w:pPr>
              <w:pStyle w:val="5"/>
              <w:adjustRightInd w:val="0"/>
              <w:snapToGrid w:val="0"/>
              <w:spacing w:line="500" w:lineRule="exact"/>
              <w:ind w:firstLine="480"/>
              <w:rPr>
                <w:rFonts w:hint="eastAsia" w:ascii="仿宋" w:hAnsi="仿宋" w:eastAsia="仿宋" w:cs="仿宋"/>
                <w:sz w:val="24"/>
              </w:rPr>
            </w:pPr>
            <w:r>
              <w:rPr>
                <w:rFonts w:hint="eastAsia" w:ascii="仿宋" w:hAnsi="仿宋" w:eastAsia="仿宋"/>
                <w:sz w:val="24"/>
              </w:rPr>
              <w:t>1.4投标供应商的报价，应当是本项目采购范围和采购文件及合同条款上所列的各项内容中所述的全部，不得以任何理由予以重复。</w:t>
            </w:r>
          </w:p>
          <w:p>
            <w:pPr>
              <w:pStyle w:val="5"/>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1.5投标人应充分了解项目的位置、情况、道路及任何其它足以影响投标报价的情况，任何因忽视或误解项目情况而导致的索赔或服务期限延长申请将不获批准。</w:t>
            </w:r>
          </w:p>
          <w:p>
            <w:pPr>
              <w:pStyle w:val="5"/>
              <w:adjustRightInd w:val="0"/>
              <w:snapToGrid w:val="0"/>
              <w:spacing w:line="500" w:lineRule="exact"/>
              <w:ind w:firstLine="480"/>
              <w:rPr>
                <w:rFonts w:hint="eastAsia" w:ascii="仿宋" w:hAnsi="仿宋" w:eastAsia="仿宋" w:cs="仿宋"/>
                <w:kern w:val="0"/>
                <w:sz w:val="24"/>
                <w:lang w:bidi="ar"/>
              </w:rPr>
            </w:pPr>
            <w:r>
              <w:rPr>
                <w:rFonts w:hint="eastAsia" w:ascii="仿宋" w:hAnsi="仿宋" w:eastAsia="仿宋" w:cs="仿宋"/>
                <w:kern w:val="0"/>
                <w:sz w:val="24"/>
                <w:lang w:bidi="ar"/>
              </w:rPr>
              <w:t>1.6采购人欢迎各投标人根据各自实际情况，提出更高的质量等级的投标方案，投标人为达到该质量等级所需投入的资金，应被视为已包含在其报价内。</w:t>
            </w:r>
          </w:p>
          <w:p>
            <w:pPr>
              <w:pStyle w:val="5"/>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*2、付款方式</w:t>
            </w:r>
          </w:p>
          <w:p>
            <w:pPr>
              <w:pStyle w:val="5"/>
              <w:widowControl/>
              <w:adjustRightInd w:val="0"/>
              <w:snapToGrid w:val="0"/>
              <w:spacing w:line="500" w:lineRule="exact"/>
              <w:ind w:firstLine="480"/>
              <w:rPr>
                <w:rFonts w:hint="eastAsia" w:ascii="仿宋" w:hAnsi="仿宋" w:eastAsia="仿宋" w:cs="仿宋"/>
                <w:sz w:val="24"/>
                <w:lang w:eastAsia="zh-CN"/>
              </w:rPr>
            </w:pPr>
            <w:r>
              <w:rPr>
                <w:rFonts w:hint="eastAsia" w:ascii="仿宋" w:hAnsi="仿宋" w:eastAsia="仿宋" w:cs="仿宋"/>
                <w:sz w:val="24"/>
              </w:rPr>
              <w:t>2.1签订项目合同后，采购人支付合同价70%的首期款，该款项在中标人提供等额发票，且采购人完成支付审批后支付</w:t>
            </w:r>
            <w:r>
              <w:rPr>
                <w:rFonts w:hint="eastAsia" w:ascii="仿宋" w:hAnsi="仿宋" w:eastAsia="仿宋" w:cs="仿宋"/>
                <w:sz w:val="24"/>
                <w:lang w:eastAsia="zh-CN"/>
              </w:rPr>
              <w:t>。</w:t>
            </w:r>
          </w:p>
          <w:p>
            <w:pPr>
              <w:pStyle w:val="5"/>
              <w:widowControl/>
              <w:adjustRightInd w:val="0"/>
              <w:snapToGrid w:val="0"/>
              <w:spacing w:line="500" w:lineRule="exact"/>
              <w:ind w:firstLine="480"/>
              <w:rPr>
                <w:rFonts w:hint="eastAsia" w:ascii="仿宋" w:hAnsi="仿宋" w:eastAsia="仿宋" w:cs="仿宋"/>
                <w:sz w:val="24"/>
              </w:rPr>
            </w:pPr>
            <w:r>
              <w:rPr>
                <w:rFonts w:hint="eastAsia" w:ascii="仿宋" w:hAnsi="仿宋" w:eastAsia="仿宋"/>
                <w:sz w:val="24"/>
              </w:rPr>
              <w:t>2.2</w:t>
            </w:r>
            <w:r>
              <w:rPr>
                <w:rFonts w:hint="eastAsia" w:ascii="仿宋" w:hAnsi="仿宋" w:eastAsia="仿宋" w:cs="仿宋"/>
                <w:sz w:val="24"/>
              </w:rPr>
              <w:t>中标人提交可行性研究报告初稿后，采购人支付合同价20%，该款项在中标人提供等额发票，且采购人完成支付审批后支付。</w:t>
            </w:r>
          </w:p>
          <w:p>
            <w:pPr>
              <w:pStyle w:val="5"/>
              <w:widowControl/>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2.3中标人提交的项目成果经采购人验收通过后，采购人支付合同价10%的尾款，该款项在中标人提供等额发票，且采购人完成支付审批后支付。</w:t>
            </w:r>
          </w:p>
          <w:p>
            <w:pPr>
              <w:pStyle w:val="5"/>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*3、履约保证金</w:t>
            </w:r>
          </w:p>
          <w:p>
            <w:pPr>
              <w:pStyle w:val="5"/>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本项目无需提交履约保证金。</w:t>
            </w:r>
          </w:p>
          <w:p>
            <w:pPr>
              <w:pStyle w:val="7"/>
              <w:adjustRightInd w:val="0"/>
              <w:snapToGrid w:val="0"/>
              <w:spacing w:before="0" w:after="0" w:line="50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*4、违约责任</w:t>
            </w:r>
          </w:p>
          <w:p>
            <w:pPr>
              <w:pStyle w:val="7"/>
              <w:adjustRightInd w:val="0"/>
              <w:snapToGrid w:val="0"/>
              <w:spacing w:before="0" w:after="0" w:line="50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（详见合同文本）</w:t>
            </w:r>
          </w:p>
          <w:p>
            <w:pPr>
              <w:pStyle w:val="7"/>
              <w:adjustRightInd w:val="0"/>
              <w:snapToGrid w:val="0"/>
              <w:spacing w:before="0" w:after="0" w:line="50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*5、项目验收要求</w:t>
            </w:r>
          </w:p>
          <w:p>
            <w:pPr>
              <w:pStyle w:val="7"/>
              <w:adjustRightInd w:val="0"/>
              <w:snapToGrid w:val="0"/>
              <w:spacing w:before="0" w:after="0" w:line="50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由采购人</w:t>
            </w:r>
            <w:bookmarkStart w:id="0" w:name="_Hlk214304055"/>
            <w:r>
              <w:rPr>
                <w:rFonts w:hint="eastAsia" w:ascii="仿宋" w:hAnsi="仿宋" w:eastAsia="仿宋" w:cs="仿宋"/>
                <w:b w:val="0"/>
                <w:bCs w:val="0"/>
                <w:sz w:val="24"/>
                <w:szCs w:val="24"/>
              </w:rPr>
              <w:t>组织召开成果验收会</w:t>
            </w:r>
            <w:bookmarkEnd w:id="0"/>
            <w:r>
              <w:rPr>
                <w:rFonts w:hint="eastAsia" w:ascii="仿宋" w:hAnsi="仿宋" w:eastAsia="仿宋" w:cs="仿宋"/>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560" w:type="dxa"/>
            <w:vAlign w:val="center"/>
          </w:tcPr>
          <w:p>
            <w:pPr>
              <w:spacing w:line="440" w:lineRule="exact"/>
              <w:rPr>
                <w:rFonts w:hint="eastAsia" w:ascii="仿宋" w:hAnsi="仿宋" w:eastAsia="仿宋" w:cs="仿宋"/>
                <w:bCs/>
                <w:kern w:val="0"/>
                <w:sz w:val="24"/>
                <w:szCs w:val="24"/>
              </w:rPr>
            </w:pPr>
            <w:r>
              <w:rPr>
                <w:rFonts w:hint="eastAsia" w:ascii="仿宋" w:hAnsi="仿宋" w:eastAsia="仿宋" w:cs="仿宋"/>
                <w:bCs/>
                <w:kern w:val="0"/>
                <w:sz w:val="24"/>
                <w:szCs w:val="24"/>
              </w:rPr>
              <w:t>具体技术</w:t>
            </w:r>
          </w:p>
          <w:p>
            <w:pPr>
              <w:spacing w:line="440" w:lineRule="exact"/>
              <w:rPr>
                <w:rFonts w:hint="eastAsia" w:ascii="仿宋" w:hAnsi="仿宋" w:eastAsia="仿宋" w:cs="仿宋"/>
                <w:bCs/>
                <w:kern w:val="0"/>
                <w:sz w:val="24"/>
                <w:szCs w:val="24"/>
              </w:rPr>
            </w:pPr>
            <w:r>
              <w:rPr>
                <w:rFonts w:hint="eastAsia" w:ascii="仿宋" w:hAnsi="仿宋" w:eastAsia="仿宋" w:cs="仿宋"/>
                <w:bCs/>
                <w:kern w:val="0"/>
                <w:sz w:val="24"/>
                <w:szCs w:val="24"/>
              </w:rPr>
              <w:t>要求</w:t>
            </w:r>
          </w:p>
        </w:tc>
        <w:tc>
          <w:tcPr>
            <w:tcW w:w="7160" w:type="dxa"/>
            <w:gridSpan w:val="8"/>
          </w:tcPr>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bookmarkStart w:id="1" w:name="_Hlk214303680"/>
            <w:bookmarkStart w:id="2" w:name="_Hlk214199015"/>
            <w:r>
              <w:rPr>
                <w:rFonts w:hint="eastAsia" w:ascii="仿宋" w:hAnsi="仿宋" w:eastAsia="仿宋" w:cs="仿宋"/>
                <w:b w:val="0"/>
                <w:bCs w:val="0"/>
                <w:sz w:val="24"/>
                <w:szCs w:val="24"/>
              </w:rPr>
              <w:t>1、服务总体要求</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全面、系统、科学地评估深圳大鹏半岛国家地质公园申报世界地质公园的可行性，编制完成《</w:t>
            </w:r>
            <w:r>
              <w:rPr>
                <w:rFonts w:hint="eastAsia" w:ascii="仿宋" w:hAnsi="仿宋" w:eastAsia="仿宋" w:cs="仿宋"/>
                <w:sz w:val="24"/>
                <w:szCs w:val="24"/>
                <w:lang w:eastAsia="zh-CN"/>
              </w:rPr>
              <w:t>深圳大鹏半岛国家地质公园</w:t>
            </w:r>
            <w:r>
              <w:rPr>
                <w:rFonts w:hint="eastAsia" w:ascii="仿宋" w:hAnsi="仿宋" w:eastAsia="仿宋" w:cs="仿宋"/>
                <w:sz w:val="24"/>
                <w:szCs w:val="24"/>
              </w:rPr>
              <w:t>申报世界地质公园可行性研究》</w:t>
            </w:r>
            <w:r>
              <w:rPr>
                <w:rFonts w:hint="eastAsia" w:ascii="仿宋" w:hAnsi="仿宋" w:eastAsia="仿宋" w:cs="仿宋"/>
                <w:sz w:val="24"/>
                <w:szCs w:val="24"/>
                <w:lang w:eastAsia="zh-CN"/>
              </w:rPr>
              <w:t>报告</w:t>
            </w:r>
            <w:r>
              <w:rPr>
                <w:rFonts w:hint="eastAsia" w:ascii="仿宋" w:hAnsi="仿宋" w:eastAsia="仿宋" w:cs="仿宋"/>
                <w:sz w:val="24"/>
                <w:szCs w:val="24"/>
              </w:rPr>
              <w:t>（以下简称《可行性研究》</w:t>
            </w:r>
            <w:r>
              <w:rPr>
                <w:rFonts w:hint="eastAsia" w:ascii="仿宋" w:hAnsi="仿宋" w:eastAsia="仿宋" w:cs="仿宋"/>
                <w:sz w:val="24"/>
                <w:szCs w:val="24"/>
                <w:lang w:eastAsia="zh-CN"/>
              </w:rPr>
              <w:t>报告</w:t>
            </w:r>
            <w:r>
              <w:rPr>
                <w:rFonts w:hint="eastAsia" w:ascii="仿宋" w:hAnsi="仿宋" w:eastAsia="仿宋" w:cs="仿宋"/>
                <w:sz w:val="24"/>
                <w:szCs w:val="24"/>
              </w:rPr>
              <w:t xml:space="preserve">），为申报决策提供科学依据。 </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工作技术及内容要求</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2.1工作依据</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研究过程中应严格遵循以下文件与规范：</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（1）UNESCO《世界地质公园操作指南》（最新版）</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（2）国家林业和草原局《世界地质公园管理办法》</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（3）国家及地方相关法律法规、国土空间规划、环境保护条例等。</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2.2工作内容</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（1）通过实地勘察与资料收集分析，梳理深圳大鹏半岛国家地质公园地质遗迹资源，并评估其在国际、国家级层面的价值；</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（2）对照联合国教科文组织世界地质公园申报标准，对拟建世界地质公园范围给出专业意见；</w:t>
            </w:r>
          </w:p>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（3）综合考量社会经济与环境适应性，科学预测申报对区域旅游、生态保护及社会发展的影响，论证社会支持基础与可持续</w:t>
            </w:r>
            <w:bookmarkEnd w:id="1"/>
            <w:bookmarkStart w:id="3" w:name="_Hlk214303707"/>
            <w:r>
              <w:rPr>
                <w:rFonts w:hint="eastAsia" w:ascii="仿宋" w:hAnsi="仿宋" w:eastAsia="仿宋" w:cs="仿宋"/>
                <w:b w:val="0"/>
                <w:bCs w:val="0"/>
                <w:sz w:val="24"/>
                <w:szCs w:val="24"/>
              </w:rPr>
              <w:t>发展潜力；</w:t>
            </w:r>
          </w:p>
          <w:bookmarkEnd w:id="2"/>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bookmarkStart w:id="4" w:name="_Hlk214199028"/>
            <w:r>
              <w:rPr>
                <w:rFonts w:hint="eastAsia" w:ascii="仿宋" w:hAnsi="仿宋" w:eastAsia="仿宋" w:cs="仿宋"/>
                <w:b w:val="0"/>
                <w:bCs w:val="0"/>
                <w:sz w:val="24"/>
                <w:szCs w:val="24"/>
              </w:rPr>
              <w:t>（4）明确给出申报世界地质公园的潜在可行路径，并针对每条路径提出下一步工作的具体建议、时间表和路线图。</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2.3成果交付</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bookmarkStart w:id="5" w:name="_Hlk214304011"/>
            <w:r>
              <w:rPr>
                <w:rFonts w:hint="eastAsia" w:ascii="仿宋" w:hAnsi="仿宋" w:eastAsia="仿宋" w:cs="仿宋"/>
                <w:b w:val="0"/>
                <w:bCs w:val="0"/>
                <w:sz w:val="24"/>
                <w:szCs w:val="24"/>
              </w:rPr>
              <w:t>（1）《可行性研究》报告正式稿（中文）纸质版10份，电子版（PDF及可编辑Word格式）1份。</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（2）《可行性研究》报告摘要（英文）电子版1份。</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（3）所有原</w:t>
            </w:r>
            <w:r>
              <w:rPr>
                <w:rFonts w:hint="eastAsia" w:ascii="仿宋" w:hAnsi="仿宋" w:eastAsia="仿宋" w:cs="仿宋"/>
                <w:b w:val="0"/>
                <w:bCs w:val="0"/>
                <w:sz w:val="24"/>
                <w:szCs w:val="24"/>
                <w:lang w:eastAsia="zh-CN"/>
              </w:rPr>
              <w:t>始</w:t>
            </w:r>
            <w:r>
              <w:rPr>
                <w:rFonts w:hint="eastAsia" w:ascii="仿宋" w:hAnsi="仿宋" w:eastAsia="仿宋" w:cs="仿宋"/>
                <w:b w:val="0"/>
                <w:bCs w:val="0"/>
                <w:sz w:val="24"/>
                <w:szCs w:val="24"/>
              </w:rPr>
              <w:t>调研数据、访谈记录、高精度图片（版权归甲方所有）等过程资料汇编1套。</w:t>
            </w:r>
          </w:p>
          <w:p>
            <w:pPr>
              <w:pStyle w:val="7"/>
              <w:adjustRightInd w:val="0"/>
              <w:snapToGrid w:val="0"/>
              <w:spacing w:before="0" w:after="0" w:line="440" w:lineRule="exact"/>
              <w:ind w:firstLine="480" w:firstLineChars="200"/>
              <w:jc w:val="both"/>
              <w:rPr>
                <w:rFonts w:hint="eastAsia" w:ascii="仿宋" w:hAnsi="仿宋" w:eastAsia="仿宋" w:cs="仿宋"/>
                <w:b w:val="0"/>
                <w:bCs w:val="0"/>
                <w:kern w:val="0"/>
                <w:sz w:val="24"/>
                <w:szCs w:val="24"/>
                <w:lang w:bidi="ar"/>
              </w:rPr>
            </w:pPr>
            <w:r>
              <w:rPr>
                <w:rFonts w:hint="eastAsia" w:ascii="仿宋" w:hAnsi="仿宋" w:eastAsia="仿宋" w:cs="仿宋"/>
                <w:b w:val="0"/>
                <w:bCs w:val="0"/>
                <w:sz w:val="24"/>
                <w:szCs w:val="24"/>
              </w:rPr>
              <w:t>（4）用于汇报的PPT演示文稿1份。</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560" w:type="dxa"/>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商务需求</w:t>
            </w:r>
          </w:p>
        </w:tc>
        <w:tc>
          <w:tcPr>
            <w:tcW w:w="7160" w:type="dxa"/>
            <w:gridSpan w:val="8"/>
          </w:tcPr>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sz w:val="24"/>
                <w:szCs w:val="24"/>
              </w:rPr>
              <w:t>本项目评标方法：综合评分法。定标采用按序定标确定中标单位。</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2、项目服务期限</w:t>
            </w:r>
          </w:p>
          <w:p>
            <w:pPr>
              <w:pStyle w:val="7"/>
              <w:adjustRightInd w:val="0"/>
              <w:snapToGrid w:val="0"/>
              <w:spacing w:before="0" w:after="0" w:line="440" w:lineRule="exact"/>
              <w:ind w:firstLine="480" w:firstLineChars="200"/>
              <w:jc w:val="both"/>
            </w:pPr>
            <w:r>
              <w:rPr>
                <w:rFonts w:hint="eastAsia" w:ascii="仿宋" w:hAnsi="仿宋" w:eastAsia="仿宋" w:cs="仿宋"/>
                <w:b w:val="0"/>
                <w:bCs w:val="0"/>
                <w:sz w:val="24"/>
                <w:szCs w:val="24"/>
              </w:rPr>
              <w:t>自合同签订之日起至2026年6月30日。</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3、项目实施要求</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3.1中标人应按质按量推进项目进展，合同签订后3个月内提交项目报告初稿。</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3.2该项目实施地点以深圳国家地质公园为核心，涉及地质公园及周边自然保护地，中标人须遵守各自然保护地的相关法律法规、管理制度。</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3.3项目实施过程中，中标人应保障自身人员安全，包括且不限于在实地勘察、野外作业、交通出行等所有环节，全面负责其人员的人身与财产安全，采取充分的安全防护措施，制定应急预案，并独立承担因其管理疏忽、措施失当所引发的一切后果与法律责任。</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3.4地质公园地理位置较为偏僻，人员、设备及材料的运输较为复杂，所产生的费用由中标人自行解决。</w:t>
            </w:r>
          </w:p>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4、知识产权要求</w:t>
            </w:r>
          </w:p>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4.1采购人拥有本合同项目的所有中间成果和最终成果，以及与之相关的所有权利。</w:t>
            </w:r>
          </w:p>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4.2中标人可以请求采购人在公开成果时注明中标人为本合同项目受托人，经采购人同意后，可享有与采购人共同获得与本合同项目成果相关的荣誉证书和奖励的权利。</w:t>
            </w:r>
          </w:p>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4.3经采购人同意，中标人可以享有本合同项目中间成果或最终成果的下列相关权利:</w:t>
            </w:r>
          </w:p>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(1)利用本合同项目中间成果或最终成果用于学术研究，发表论文或著作;</w:t>
            </w:r>
          </w:p>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 以受托人的身份利用采购人已公开的成果对外宣传的权利。</w:t>
            </w:r>
          </w:p>
          <w:p>
            <w:pPr>
              <w:pStyle w:val="5"/>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5.售后服务内容、要求和期限</w:t>
            </w:r>
          </w:p>
          <w:p>
            <w:pPr>
              <w:pStyle w:val="5"/>
              <w:adjustRightInd w:val="0"/>
              <w:snapToGrid w:val="0"/>
              <w:spacing w:line="440" w:lineRule="exact"/>
              <w:ind w:firstLine="480"/>
              <w:rPr>
                <w:rFonts w:hint="eastAsia" w:ascii="仿宋" w:hAnsi="仿宋" w:eastAsia="仿宋" w:cs="仿宋"/>
                <w:kern w:val="0"/>
                <w:sz w:val="24"/>
              </w:rPr>
            </w:pPr>
            <w:bookmarkStart w:id="6" w:name="_Hlk214304210"/>
            <w:r>
              <w:rPr>
                <w:rFonts w:hint="eastAsia" w:ascii="仿宋" w:hAnsi="仿宋" w:eastAsia="仿宋" w:cs="仿宋"/>
                <w:kern w:val="0"/>
                <w:sz w:val="24"/>
              </w:rPr>
              <w:t>5.1中标人应保证所提交项目成果内容详实可靠，数据来源准确;如采购人在合同履行完毕后发现中标人所提交内容存在质量问题，经查证核实后，中标人有义务重新展开工作，直至采购人满意为止。</w:t>
            </w:r>
          </w:p>
          <w:p>
            <w:pPr>
              <w:pStyle w:val="5"/>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5.2本合同项下项目成果通过本合同约定的最终成果验收程序后一年以内，中标人仍应配合采购人就本项目提供必要的解释和咨询。若国家有明确规定的质量保证期高于此质量保证期的，执行国家规定。</w:t>
            </w:r>
          </w:p>
          <w:p>
            <w:pPr>
              <w:pStyle w:val="5"/>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5.3 服务期内，中标人应提供相关服务支持。对采购人所反映的任何与本项目相关的问题在24小时之内做出及时响应，在48小时之内远程或赶到现场实地解决问题。若问题在48小时后仍无法解决，中标人应在3日内免费提供服务的补偿、替换方案，直至问题得到妥善解决。</w:t>
            </w:r>
          </w:p>
          <w:p>
            <w:pPr>
              <w:pStyle w:val="5"/>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5.4中标人必须遵守采购人的有关管理制度、操作规程。对于中标人违规操作造成采购人损失的，由中标人按照本合同的约定承担赔偿责任。</w:t>
            </w:r>
          </w:p>
          <w:p>
            <w:pPr>
              <w:pStyle w:val="5"/>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5.5质保期内，中标人需为采购人申请报奖提供免费技术支持。</w:t>
            </w:r>
          </w:p>
          <w:bookmarkEnd w:id="6"/>
          <w:p>
            <w:pPr>
              <w:pStyle w:val="7"/>
              <w:adjustRightInd w:val="0"/>
              <w:snapToGrid w:val="0"/>
              <w:spacing w:before="0" w:after="0" w:line="44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6.保密条款</w:t>
            </w:r>
          </w:p>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6.1中标人与采购人均应遵守国家的有关保密规定，妥善保管对方提供的资料，任何一方均应对因履行本合同从对方获取或知悉的保密信息承担保密责任，保守对方的各项秘密，并保护对方的知识产权。</w:t>
            </w:r>
          </w:p>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6.2未经对方许可，任何一方均不得将对方的资料或成果向第三方泄露或转让或用于本合同项目外的其他项目。如发生以上情况，泄露方承担一切由此引起的后果,并支付对方服务费用总额50%的违约金。</w:t>
            </w:r>
          </w:p>
          <w:p>
            <w:pPr>
              <w:pStyle w:val="5"/>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sz w:val="24"/>
              </w:rPr>
              <w:t>6.3中标人须以保密方式处理双方直接或间接提供的任何资料，以及因本项目工作所直接或间接取得、处理或接触的任何其他资料。未经采购人同意，不得向第三方透露任何有关项目的内容，或公开任何项目中间成果或最终成果，如向与履行本项目有关的人员提供，则应严格保密并限于履行本合同所必须的范围。如发生以上情况，中标</w:t>
            </w:r>
            <w:r>
              <w:rPr>
                <w:rFonts w:hint="eastAsia" w:ascii="仿宋" w:hAnsi="仿宋" w:eastAsia="仿宋" w:cs="仿宋"/>
                <w:kern w:val="0"/>
                <w:sz w:val="24"/>
              </w:rPr>
              <w:t>人承担一切由此引起的后果，并向采购人支付合同总价款50%的违约金。</w:t>
            </w:r>
          </w:p>
          <w:p>
            <w:pPr>
              <w:pStyle w:val="5"/>
              <w:adjustRightInd w:val="0"/>
              <w:snapToGrid w:val="0"/>
              <w:spacing w:line="440" w:lineRule="exact"/>
              <w:ind w:firstLine="480"/>
              <w:rPr>
                <w:rFonts w:hint="eastAsia" w:ascii="仿宋" w:hAnsi="仿宋" w:eastAsia="仿宋" w:cs="仿宋"/>
                <w:kern w:val="0"/>
                <w:sz w:val="24"/>
              </w:rPr>
            </w:pPr>
            <w:bookmarkStart w:id="7" w:name="_Hlk214304286"/>
            <w:r>
              <w:rPr>
                <w:rFonts w:hint="eastAsia" w:ascii="仿宋" w:hAnsi="仿宋" w:eastAsia="仿宋" w:cs="仿宋"/>
                <w:kern w:val="0"/>
                <w:sz w:val="24"/>
              </w:rPr>
              <w:t>6.4中标人承担的保密责任期限自本项目履约之日起至采购人公开有关的保密信息之日止。</w:t>
            </w:r>
          </w:p>
          <w:p>
            <w:pPr>
              <w:pStyle w:val="5"/>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6.5本项目约定的采购人向中标人支付的合同金额中已经包含中标人承担保密责任义务的费用。</w:t>
            </w:r>
          </w:p>
          <w:p>
            <w:pPr>
              <w:adjustRightInd w:val="0"/>
              <w:snapToGrid w:val="0"/>
              <w:spacing w:line="440" w:lineRule="exact"/>
              <w:ind w:firstLine="480" w:firstLineChars="200"/>
              <w:rPr>
                <w:rFonts w:hint="eastAsia" w:ascii="仿宋" w:hAnsi="仿宋" w:eastAsia="仿宋"/>
                <w:sz w:val="24"/>
                <w:szCs w:val="24"/>
              </w:rPr>
            </w:pPr>
            <w:r>
              <w:rPr>
                <w:rFonts w:hint="eastAsia" w:ascii="仿宋" w:hAnsi="仿宋" w:eastAsia="仿宋" w:cs="仿宋"/>
                <w:kern w:val="0"/>
                <w:sz w:val="24"/>
                <w:szCs w:val="24"/>
              </w:rPr>
              <w:t>6.6不论本项目是否发生变更、终止或解除，保密条款效力均不受影响。</w:t>
            </w:r>
          </w:p>
          <w:bookmarkEnd w:id="7"/>
          <w:p>
            <w:pPr>
              <w:pStyle w:val="7"/>
              <w:adjustRightInd w:val="0"/>
              <w:snapToGrid w:val="0"/>
              <w:spacing w:before="0" w:after="0" w:line="440" w:lineRule="exact"/>
              <w:ind w:firstLine="480" w:firstLineChars="200"/>
              <w:jc w:val="left"/>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评标信息</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
                <w:bCs/>
                <w:szCs w:val="21"/>
              </w:rPr>
              <w:t>序号</w:t>
            </w:r>
          </w:p>
        </w:tc>
        <w:tc>
          <w:tcPr>
            <w:tcW w:w="326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
                <w:bCs/>
                <w:szCs w:val="21"/>
              </w:rPr>
              <w:t>评分项</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
                <w:bCs/>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560" w:type="dxa"/>
            <w:vMerge w:val="continue"/>
            <w:tcBorders>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c>
          <w:tcPr>
            <w:tcW w:w="850" w:type="dxa"/>
            <w:tcBorders>
              <w:top w:val="single" w:color="auto" w:sz="4" w:space="0"/>
              <w:left w:val="single" w:color="auto" w:sz="4" w:space="0"/>
              <w:right w:val="single" w:color="auto" w:sz="4" w:space="0"/>
            </w:tcBorders>
            <w:vAlign w:val="center"/>
          </w:tcPr>
          <w:p>
            <w:pPr>
              <w:jc w:val="center"/>
              <w:rPr>
                <w:rFonts w:hint="eastAsia" w:ascii="仿宋" w:hAnsi="仿宋" w:cs="仿宋"/>
                <w:sz w:val="24"/>
                <w:szCs w:val="24"/>
              </w:rPr>
            </w:pPr>
            <w:r>
              <w:rPr>
                <w:rFonts w:hint="eastAsia" w:ascii="宋体" w:hAnsi="宋体" w:cs="宋体"/>
                <w:b/>
                <w:bCs/>
                <w:szCs w:val="21"/>
              </w:rPr>
              <w:t>1</w:t>
            </w:r>
          </w:p>
        </w:tc>
        <w:tc>
          <w:tcPr>
            <w:tcW w:w="3260" w:type="dxa"/>
            <w:gridSpan w:val="5"/>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
                <w:bCs/>
                <w:szCs w:val="21"/>
              </w:rPr>
              <w:t>技术部分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宋体" w:hAnsi="宋体" w:eastAsia="仿宋" w:cs="宋体"/>
                <w:b/>
                <w:bCs/>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0" w:type="dxa"/>
            <w:vMerge w:val="continue"/>
            <w:tcBorders>
              <w:left w:val="single" w:color="auto" w:sz="4" w:space="0"/>
              <w:right w:val="single" w:color="auto" w:sz="4" w:space="0"/>
            </w:tcBorders>
          </w:tcPr>
          <w:p>
            <w:pPr>
              <w:spacing w:line="360" w:lineRule="exact"/>
              <w:jc w:val="center"/>
              <w:rPr>
                <w:rFonts w:hint="eastAsia" w:ascii="仿宋" w:hAnsi="仿宋" w:eastAsia="仿宋" w:cs="仿宋"/>
                <w:sz w:val="24"/>
                <w:szCs w:val="24"/>
              </w:rPr>
            </w:pPr>
          </w:p>
        </w:tc>
        <w:tc>
          <w:tcPr>
            <w:tcW w:w="85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rPr>
            </w:pPr>
          </w:p>
        </w:tc>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
                <w:szCs w:val="21"/>
              </w:rPr>
              <w:t>评分因素</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
                <w:szCs w:val="21"/>
              </w:rPr>
              <w:t>权重</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b/>
                <w:szCs w:val="21"/>
              </w:rPr>
              <w:t>评分方式</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0" w:type="dxa"/>
            <w:vMerge w:val="continue"/>
            <w:tcBorders>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vAlign w:val="center"/>
          </w:tcPr>
          <w:p>
            <w:pPr>
              <w:jc w:val="center"/>
              <w:rPr>
                <w:rFonts w:hint="eastAsia" w:ascii="仿宋" w:hAnsi="仿宋" w:eastAsia="仿宋" w:cs="仿宋"/>
                <w:sz w:val="24"/>
                <w:szCs w:val="24"/>
              </w:rPr>
            </w:pPr>
          </w:p>
        </w:tc>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Cs/>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宋体" w:hAnsi="宋体" w:cs="宋体"/>
                <w:szCs w:val="21"/>
              </w:rPr>
              <w:t>实施方案</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cs="仿宋"/>
                <w:sz w:val="24"/>
                <w:szCs w:val="24"/>
              </w:rPr>
            </w:pPr>
            <w:r>
              <w:rPr>
                <w:rFonts w:hint="eastAsia" w:ascii="宋体" w:hAnsi="宋体" w:cs="宋体"/>
                <w:szCs w:val="21"/>
              </w:rPr>
              <w:t>16</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Cs w:val="21"/>
                <w:lang w:bidi="ar"/>
              </w:rPr>
            </w:pPr>
            <w:r>
              <w:rPr>
                <w:rFonts w:hint="eastAsia" w:ascii="宋体" w:hAnsi="宋体" w:cs="宋体"/>
                <w:b/>
                <w:bCs/>
                <w:kern w:val="0"/>
                <w:szCs w:val="21"/>
                <w:lang w:bidi="ar"/>
              </w:rPr>
              <w:t>（一）评审内容：</w:t>
            </w:r>
          </w:p>
          <w:p>
            <w:pPr>
              <w:widowControl/>
              <w:jc w:val="left"/>
              <w:rPr>
                <w:rFonts w:hint="eastAsia" w:ascii="宋体" w:hAnsi="宋体" w:cs="宋体"/>
                <w:kern w:val="0"/>
                <w:sz w:val="22"/>
                <w:lang w:bidi="ar"/>
              </w:rPr>
            </w:pPr>
            <w:r>
              <w:rPr>
                <w:rFonts w:hint="eastAsia" w:ascii="宋体" w:hAnsi="宋体" w:cs="宋体"/>
                <w:kern w:val="0"/>
                <w:sz w:val="22"/>
                <w:lang w:bidi="ar"/>
              </w:rPr>
              <w:t>评审委员会根据投标人提供的项目方案进行评审：</w:t>
            </w:r>
          </w:p>
          <w:p>
            <w:pPr>
              <w:widowControl/>
              <w:jc w:val="left"/>
              <w:rPr>
                <w:rFonts w:hint="eastAsia" w:ascii="宋体" w:hAnsi="宋体" w:cs="宋体"/>
                <w:kern w:val="0"/>
                <w:sz w:val="22"/>
                <w:lang w:bidi="ar"/>
              </w:rPr>
            </w:pPr>
            <w:r>
              <w:rPr>
                <w:rFonts w:hint="eastAsia" w:ascii="宋体" w:hAnsi="宋体" w:cs="宋体"/>
                <w:kern w:val="0"/>
                <w:sz w:val="22"/>
                <w:lang w:bidi="ar"/>
              </w:rPr>
              <w:t>（1）对项目的理解；</w:t>
            </w:r>
          </w:p>
          <w:p>
            <w:pPr>
              <w:widowControl/>
              <w:jc w:val="left"/>
              <w:rPr>
                <w:rFonts w:hint="eastAsia" w:ascii="宋体" w:hAnsi="宋体" w:cs="宋体"/>
                <w:kern w:val="0"/>
                <w:szCs w:val="21"/>
                <w:lang w:bidi="ar"/>
              </w:rPr>
            </w:pPr>
            <w:r>
              <w:rPr>
                <w:rFonts w:hint="eastAsia" w:ascii="宋体" w:hAnsi="宋体" w:cs="宋体"/>
                <w:kern w:val="0"/>
                <w:szCs w:val="21"/>
                <w:lang w:bidi="ar"/>
              </w:rPr>
              <w:t>（2）研究方法；</w:t>
            </w:r>
          </w:p>
          <w:p>
            <w:pPr>
              <w:widowControl/>
              <w:jc w:val="left"/>
              <w:rPr>
                <w:rFonts w:hint="eastAsia" w:ascii="宋体" w:hAnsi="宋体" w:cs="宋体"/>
                <w:kern w:val="0"/>
                <w:szCs w:val="21"/>
                <w:lang w:bidi="ar"/>
              </w:rPr>
            </w:pPr>
            <w:r>
              <w:rPr>
                <w:rFonts w:hint="eastAsia" w:ascii="宋体" w:hAnsi="宋体" w:cs="宋体"/>
                <w:kern w:val="0"/>
                <w:szCs w:val="21"/>
                <w:lang w:bidi="ar"/>
              </w:rPr>
              <w:t>（3）</w:t>
            </w:r>
            <w:r>
              <w:rPr>
                <w:rFonts w:hint="eastAsia" w:ascii="宋体" w:hAnsi="宋体" w:cs="宋体"/>
                <w:kern w:val="0"/>
                <w:sz w:val="22"/>
                <w:lang w:bidi="ar"/>
              </w:rPr>
              <w:t>研究内容；</w:t>
            </w:r>
          </w:p>
          <w:p>
            <w:pPr>
              <w:widowControl/>
              <w:jc w:val="left"/>
              <w:rPr>
                <w:rFonts w:hint="eastAsia" w:ascii="宋体" w:hAnsi="宋体" w:cs="宋体"/>
                <w:kern w:val="0"/>
                <w:szCs w:val="21"/>
                <w:lang w:bidi="ar"/>
              </w:rPr>
            </w:pPr>
            <w:r>
              <w:rPr>
                <w:rFonts w:hint="eastAsia" w:ascii="宋体" w:hAnsi="宋体" w:cs="宋体"/>
                <w:kern w:val="0"/>
                <w:szCs w:val="21"/>
                <w:lang w:bidi="ar"/>
              </w:rPr>
              <w:t>（4）可行性研究报告大纲。</w:t>
            </w:r>
          </w:p>
          <w:p>
            <w:pPr>
              <w:widowControl/>
              <w:jc w:val="left"/>
              <w:rPr>
                <w:rFonts w:hint="eastAsia" w:ascii="宋体" w:hAnsi="宋体" w:cs="宋体"/>
                <w:kern w:val="0"/>
                <w:szCs w:val="21"/>
                <w:lang w:bidi="ar"/>
              </w:rPr>
            </w:pPr>
            <w:r>
              <w:rPr>
                <w:rFonts w:hint="eastAsia" w:ascii="宋体" w:hAnsi="宋体" w:cs="宋体"/>
                <w:b/>
                <w:bCs/>
                <w:kern w:val="0"/>
                <w:szCs w:val="21"/>
                <w:lang w:bidi="ar"/>
              </w:rPr>
              <w:t xml:space="preserve">（二）评审标准： </w:t>
            </w:r>
          </w:p>
          <w:p>
            <w:pPr>
              <w:widowControl/>
              <w:jc w:val="left"/>
              <w:rPr>
                <w:rFonts w:hint="eastAsia" w:ascii="宋体" w:hAnsi="宋体" w:cs="宋体"/>
                <w:kern w:val="0"/>
                <w:szCs w:val="21"/>
                <w:lang w:bidi="ar"/>
              </w:rPr>
            </w:pPr>
            <w:r>
              <w:rPr>
                <w:rFonts w:hint="eastAsia" w:ascii="宋体" w:hAnsi="宋体" w:cs="宋体"/>
                <w:kern w:val="0"/>
                <w:szCs w:val="21"/>
                <w:lang w:bidi="ar"/>
              </w:rPr>
              <w:t>考察以上评审内容的1、2、3、4点。以上四点内容均满足得8分，满足任意三点得6分，满足任意两点得4分，满足任意一点得2分，未满足不得分。</w:t>
            </w:r>
          </w:p>
          <w:p>
            <w:pPr>
              <w:widowControl/>
              <w:jc w:val="left"/>
              <w:rPr>
                <w:rFonts w:hint="eastAsia" w:ascii="宋体" w:hAnsi="宋体" w:cs="宋体"/>
                <w:kern w:val="0"/>
                <w:szCs w:val="21"/>
                <w:lang w:bidi="ar"/>
              </w:rPr>
            </w:pPr>
            <w:r>
              <w:rPr>
                <w:rFonts w:hint="eastAsia" w:ascii="宋体" w:hAnsi="宋体" w:cs="宋体"/>
                <w:kern w:val="0"/>
                <w:szCs w:val="21"/>
                <w:lang w:bidi="ar"/>
              </w:rPr>
              <w:t>根据投标人</w:t>
            </w:r>
            <w:r>
              <w:rPr>
                <w:rFonts w:hint="eastAsia" w:ascii="宋体" w:hAnsi="宋体" w:cs="宋体"/>
                <w:szCs w:val="21"/>
              </w:rPr>
              <w:t>项目设计方案</w:t>
            </w:r>
            <w:r>
              <w:rPr>
                <w:rFonts w:hint="eastAsia" w:ascii="宋体" w:hAnsi="宋体" w:cs="宋体"/>
                <w:kern w:val="0"/>
                <w:szCs w:val="21"/>
                <w:lang w:bidi="ar"/>
              </w:rPr>
              <w:t>内容进一步评审。</w:t>
            </w:r>
          </w:p>
          <w:p>
            <w:pPr>
              <w:widowControl/>
              <w:jc w:val="left"/>
              <w:rPr>
                <w:rFonts w:hint="eastAsia" w:ascii="宋体" w:hAnsi="宋体" w:cs="宋体"/>
                <w:kern w:val="0"/>
                <w:szCs w:val="21"/>
                <w:lang w:bidi="ar"/>
              </w:rPr>
            </w:pPr>
            <w:r>
              <w:rPr>
                <w:rFonts w:hint="eastAsia" w:ascii="宋体" w:hAnsi="宋体" w:cs="宋体"/>
                <w:kern w:val="0"/>
                <w:szCs w:val="21"/>
                <w:lang w:bidi="ar"/>
              </w:rPr>
              <w:t>（1）方案对项目需求响应全面；</w:t>
            </w:r>
          </w:p>
          <w:p>
            <w:pPr>
              <w:widowControl/>
              <w:jc w:val="left"/>
              <w:rPr>
                <w:rFonts w:hint="eastAsia" w:ascii="宋体" w:hAnsi="宋体" w:cs="宋体"/>
                <w:kern w:val="0"/>
                <w:szCs w:val="21"/>
                <w:lang w:bidi="ar"/>
              </w:rPr>
            </w:pPr>
            <w:r>
              <w:rPr>
                <w:rFonts w:hint="eastAsia" w:ascii="宋体" w:hAnsi="宋体" w:cs="宋体"/>
                <w:kern w:val="0"/>
                <w:szCs w:val="21"/>
                <w:lang w:bidi="ar"/>
              </w:rPr>
              <w:t>（2）方案符合公园实际；</w:t>
            </w:r>
          </w:p>
          <w:p>
            <w:pPr>
              <w:widowControl/>
              <w:jc w:val="left"/>
              <w:rPr>
                <w:rFonts w:hint="eastAsia" w:ascii="宋体" w:hAnsi="宋体" w:cs="宋体"/>
                <w:kern w:val="0"/>
                <w:szCs w:val="21"/>
                <w:lang w:bidi="ar"/>
              </w:rPr>
            </w:pPr>
            <w:r>
              <w:rPr>
                <w:rFonts w:hint="eastAsia" w:ascii="宋体" w:hAnsi="宋体" w:cs="宋体"/>
                <w:kern w:val="0"/>
                <w:szCs w:val="21"/>
                <w:lang w:bidi="ar"/>
              </w:rPr>
              <w:t>（3）方案操作性与可行性强；</w:t>
            </w:r>
          </w:p>
          <w:p>
            <w:pPr>
              <w:pStyle w:val="2"/>
            </w:pPr>
            <w:r>
              <w:rPr>
                <w:rFonts w:hint="eastAsia" w:ascii="宋体" w:hAnsi="宋体" w:eastAsia="宋体" w:cs="宋体"/>
                <w:color w:val="auto"/>
                <w:sz w:val="21"/>
                <w:szCs w:val="21"/>
                <w:lang w:bidi="ar"/>
              </w:rPr>
              <w:t>（4）可行性研究报告大纲章节合理。</w:t>
            </w:r>
          </w:p>
          <w:p>
            <w:pPr>
              <w:jc w:val="left"/>
              <w:rPr>
                <w:rFonts w:hint="eastAsia" w:ascii="宋体" w:hAnsi="宋体" w:cs="宋体"/>
                <w:szCs w:val="21"/>
              </w:rPr>
            </w:pPr>
            <w:r>
              <w:rPr>
                <w:rFonts w:hint="eastAsia" w:ascii="宋体" w:hAnsi="宋体" w:cs="宋体"/>
                <w:szCs w:val="21"/>
              </w:rPr>
              <w:t>满足以上四项要求的评价为优，得8分。</w:t>
            </w:r>
          </w:p>
          <w:p>
            <w:pPr>
              <w:jc w:val="left"/>
              <w:rPr>
                <w:rFonts w:hint="eastAsia" w:ascii="宋体" w:hAnsi="宋体" w:cs="宋体"/>
                <w:szCs w:val="21"/>
              </w:rPr>
            </w:pPr>
            <w:r>
              <w:rPr>
                <w:rFonts w:hint="eastAsia" w:ascii="宋体" w:hAnsi="宋体" w:cs="宋体"/>
                <w:szCs w:val="21"/>
              </w:rPr>
              <w:t>满足以上三项要求的评价为良，得6分。</w:t>
            </w:r>
          </w:p>
          <w:p>
            <w:pPr>
              <w:jc w:val="left"/>
            </w:pPr>
            <w:r>
              <w:rPr>
                <w:rFonts w:hint="eastAsia" w:ascii="宋体" w:hAnsi="宋体" w:cs="宋体"/>
                <w:szCs w:val="21"/>
              </w:rPr>
              <w:t>满足以上两项要求的评价为中，得4分。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0" w:type="dxa"/>
            <w:vMerge w:val="continue"/>
            <w:tcBorders>
              <w:left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分</w:t>
            </w:r>
          </w:p>
        </w:tc>
        <w:tc>
          <w:tcPr>
            <w:tcW w:w="850" w:type="dxa"/>
            <w:vMerge w:val="continue"/>
            <w:tcBorders>
              <w:left w:val="single" w:color="auto" w:sz="4" w:space="0"/>
              <w:right w:val="single" w:color="auto" w:sz="4" w:space="0"/>
            </w:tcBorders>
            <w:vAlign w:val="center"/>
          </w:tcPr>
          <w:p>
            <w:pPr>
              <w:jc w:val="center"/>
              <w:rPr>
                <w:rFonts w:hint="eastAsia" w:ascii="仿宋" w:hAnsi="仿宋" w:eastAsia="仿宋" w:cs="仿宋"/>
                <w:sz w:val="24"/>
                <w:szCs w:val="24"/>
              </w:rPr>
            </w:pPr>
          </w:p>
        </w:tc>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Cs/>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cs="仿宋"/>
                <w:sz w:val="24"/>
                <w:szCs w:val="24"/>
              </w:rPr>
            </w:pPr>
            <w:r>
              <w:rPr>
                <w:rFonts w:hint="eastAsia" w:ascii="仿宋" w:hAnsi="仿宋" w:cs="仿宋"/>
                <w:sz w:val="24"/>
                <w:szCs w:val="24"/>
              </w:rPr>
              <w:t>项目重点难点分析、应对措施及相关的合理化建议</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cs="仿宋"/>
                <w:sz w:val="24"/>
                <w:szCs w:val="24"/>
              </w:rPr>
            </w:pPr>
            <w:r>
              <w:rPr>
                <w:rFonts w:hint="eastAsia" w:ascii="宋体" w:hAnsi="宋体" w:cs="宋体"/>
                <w:szCs w:val="21"/>
              </w:rPr>
              <w:t>12</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Cs w:val="21"/>
                <w:lang w:bidi="ar"/>
              </w:rPr>
            </w:pPr>
            <w:r>
              <w:rPr>
                <w:rFonts w:hint="eastAsia" w:ascii="宋体" w:hAnsi="宋体" w:cs="宋体"/>
                <w:b/>
                <w:bCs/>
                <w:kern w:val="0"/>
                <w:szCs w:val="21"/>
                <w:lang w:bidi="ar"/>
              </w:rPr>
              <w:t>（一）评审内容：</w:t>
            </w:r>
          </w:p>
          <w:p>
            <w:pPr>
              <w:widowControl/>
              <w:jc w:val="left"/>
              <w:rPr>
                <w:rFonts w:hint="eastAsia" w:ascii="宋体" w:hAnsi="宋体" w:cs="宋体"/>
                <w:kern w:val="0"/>
                <w:szCs w:val="21"/>
                <w:lang w:bidi="ar"/>
              </w:rPr>
            </w:pPr>
            <w:r>
              <w:rPr>
                <w:rFonts w:hint="eastAsia" w:ascii="宋体" w:hAnsi="宋体" w:cs="宋体"/>
                <w:szCs w:val="21"/>
              </w:rPr>
              <w:t>评审委员会根据投标人提供的项目重点难点分析、应对措施及相关的合理化建议进行评审：</w:t>
            </w:r>
          </w:p>
          <w:p>
            <w:pPr>
              <w:adjustRightInd w:val="0"/>
              <w:snapToGrid w:val="0"/>
              <w:jc w:val="left"/>
              <w:rPr>
                <w:rFonts w:hint="eastAsia" w:ascii="宋体" w:hAnsi="宋体" w:cs="宋体"/>
                <w:bCs/>
                <w:iCs/>
                <w:szCs w:val="21"/>
              </w:rPr>
            </w:pPr>
            <w:r>
              <w:rPr>
                <w:rFonts w:hint="eastAsia" w:ascii="宋体" w:hAnsi="宋体" w:cs="宋体"/>
                <w:bCs/>
                <w:iCs/>
                <w:szCs w:val="21"/>
              </w:rPr>
              <w:t>（1）项目重点难点分析；</w:t>
            </w:r>
          </w:p>
          <w:p>
            <w:pPr>
              <w:adjustRightInd w:val="0"/>
              <w:snapToGrid w:val="0"/>
              <w:jc w:val="left"/>
              <w:rPr>
                <w:rFonts w:hint="eastAsia" w:ascii="宋体" w:hAnsi="宋体" w:cs="宋体"/>
                <w:bCs/>
                <w:iCs/>
                <w:szCs w:val="21"/>
              </w:rPr>
            </w:pPr>
            <w:r>
              <w:rPr>
                <w:rFonts w:hint="eastAsia" w:ascii="宋体" w:hAnsi="宋体" w:cs="宋体"/>
                <w:bCs/>
                <w:iCs/>
                <w:szCs w:val="21"/>
              </w:rPr>
              <w:t>（2）项目重点难点应对措施；</w:t>
            </w:r>
          </w:p>
          <w:p>
            <w:pPr>
              <w:adjustRightInd w:val="0"/>
              <w:snapToGrid w:val="0"/>
              <w:jc w:val="left"/>
              <w:rPr>
                <w:rFonts w:hint="eastAsia" w:ascii="宋体" w:hAnsi="宋体" w:cs="宋体"/>
                <w:bCs/>
                <w:iCs/>
                <w:szCs w:val="21"/>
              </w:rPr>
            </w:pPr>
            <w:r>
              <w:rPr>
                <w:rFonts w:hint="eastAsia" w:ascii="宋体" w:hAnsi="宋体" w:cs="宋体"/>
                <w:bCs/>
                <w:iCs/>
                <w:szCs w:val="21"/>
              </w:rPr>
              <w:t>（3）针对项目重点难点相关的合理化建议。</w:t>
            </w:r>
          </w:p>
          <w:p>
            <w:pPr>
              <w:widowControl/>
              <w:jc w:val="left"/>
              <w:rPr>
                <w:rFonts w:hint="eastAsia" w:ascii="宋体" w:hAnsi="宋体" w:cs="宋体"/>
                <w:kern w:val="0"/>
                <w:szCs w:val="21"/>
                <w:lang w:bidi="ar"/>
              </w:rPr>
            </w:pPr>
            <w:r>
              <w:rPr>
                <w:rFonts w:hint="eastAsia" w:ascii="宋体" w:hAnsi="宋体" w:cs="宋体"/>
                <w:b/>
                <w:bCs/>
                <w:kern w:val="0"/>
                <w:szCs w:val="21"/>
                <w:lang w:bidi="ar"/>
              </w:rPr>
              <w:t>（二）评审标准：</w:t>
            </w:r>
          </w:p>
          <w:p>
            <w:pPr>
              <w:widowControl/>
              <w:jc w:val="left"/>
              <w:rPr>
                <w:rFonts w:hint="eastAsia" w:ascii="宋体" w:hAnsi="宋体" w:cs="宋体"/>
                <w:szCs w:val="21"/>
              </w:rPr>
            </w:pPr>
            <w:r>
              <w:rPr>
                <w:rFonts w:hint="eastAsia" w:ascii="宋体" w:hAnsi="宋体" w:cs="宋体"/>
                <w:kern w:val="0"/>
                <w:szCs w:val="21"/>
                <w:lang w:bidi="ar"/>
              </w:rPr>
              <w:t>考察以上评审内容的1、2、3点。</w:t>
            </w:r>
            <w:r>
              <w:rPr>
                <w:rFonts w:hint="eastAsia" w:ascii="宋体" w:hAnsi="宋体" w:cs="宋体"/>
                <w:szCs w:val="21"/>
              </w:rPr>
              <w:t>以上三点内容均满足得6分，满足任意两点得4分，满足任意一点得2分，未满足不得分。</w:t>
            </w:r>
          </w:p>
          <w:p>
            <w:pPr>
              <w:widowControl/>
              <w:jc w:val="left"/>
              <w:rPr>
                <w:rFonts w:hint="eastAsia" w:ascii="宋体" w:hAnsi="宋体" w:cs="宋体"/>
                <w:kern w:val="0"/>
                <w:szCs w:val="21"/>
                <w:lang w:bidi="ar"/>
              </w:rPr>
            </w:pPr>
            <w:r>
              <w:rPr>
                <w:rFonts w:hint="eastAsia" w:ascii="宋体" w:hAnsi="宋体" w:cs="宋体"/>
                <w:szCs w:val="21"/>
              </w:rPr>
              <w:t>根据投标人项目重点难点分析、应对措施及相关的合理化建议内容进一步评审。</w:t>
            </w:r>
          </w:p>
          <w:p>
            <w:pPr>
              <w:widowControl/>
              <w:jc w:val="left"/>
              <w:rPr>
                <w:rFonts w:hint="eastAsia" w:ascii="宋体" w:hAnsi="宋体" w:cs="宋体"/>
                <w:szCs w:val="21"/>
              </w:rPr>
            </w:pPr>
            <w:r>
              <w:rPr>
                <w:rFonts w:hint="eastAsia" w:ascii="宋体" w:hAnsi="宋体" w:cs="宋体"/>
                <w:szCs w:val="21"/>
              </w:rPr>
              <w:t>（1）项目重点、难点分析透彻、详实完整；</w:t>
            </w:r>
          </w:p>
          <w:p>
            <w:pPr>
              <w:widowControl/>
              <w:jc w:val="left"/>
              <w:rPr>
                <w:rFonts w:hint="eastAsia" w:ascii="宋体" w:hAnsi="宋体" w:cs="宋体"/>
                <w:szCs w:val="21"/>
              </w:rPr>
            </w:pPr>
            <w:r>
              <w:rPr>
                <w:rFonts w:hint="eastAsia" w:ascii="宋体" w:hAnsi="宋体" w:cs="宋体"/>
                <w:szCs w:val="21"/>
              </w:rPr>
              <w:t>（2）项目重点、难点的应对措施紧扣项目需求；</w:t>
            </w:r>
          </w:p>
          <w:p>
            <w:pPr>
              <w:widowControl/>
              <w:jc w:val="left"/>
              <w:rPr>
                <w:rFonts w:hint="eastAsia" w:ascii="宋体" w:hAnsi="宋体" w:cs="宋体"/>
                <w:szCs w:val="21"/>
              </w:rPr>
            </w:pPr>
            <w:r>
              <w:rPr>
                <w:rFonts w:hint="eastAsia" w:ascii="宋体" w:hAnsi="宋体" w:cs="宋体"/>
                <w:szCs w:val="21"/>
              </w:rPr>
              <w:t>（3）项目重点、难点的应对措施逻辑清晰；</w:t>
            </w:r>
          </w:p>
          <w:p>
            <w:pPr>
              <w:widowControl/>
              <w:jc w:val="left"/>
              <w:rPr>
                <w:rFonts w:hint="eastAsia" w:ascii="宋体" w:hAnsi="宋体" w:cs="宋体"/>
                <w:szCs w:val="21"/>
              </w:rPr>
            </w:pPr>
            <w:r>
              <w:rPr>
                <w:rFonts w:hint="eastAsia" w:ascii="宋体" w:hAnsi="宋体" w:cs="宋体"/>
                <w:szCs w:val="21"/>
              </w:rPr>
              <w:t>（4）项目重点、难点的应对措施科学可行；</w:t>
            </w:r>
          </w:p>
          <w:p>
            <w:pPr>
              <w:widowControl/>
              <w:jc w:val="left"/>
              <w:rPr>
                <w:rFonts w:hint="eastAsia" w:ascii="宋体" w:hAnsi="宋体" w:cs="宋体"/>
                <w:szCs w:val="21"/>
              </w:rPr>
            </w:pPr>
            <w:r>
              <w:rPr>
                <w:rFonts w:hint="eastAsia" w:ascii="宋体" w:hAnsi="宋体" w:cs="宋体"/>
                <w:szCs w:val="21"/>
              </w:rPr>
              <w:t>（5）项目实施提出的相关合理化建议合理；</w:t>
            </w:r>
          </w:p>
          <w:p>
            <w:pPr>
              <w:widowControl/>
              <w:jc w:val="left"/>
              <w:rPr>
                <w:rFonts w:hint="eastAsia" w:ascii="宋体" w:hAnsi="宋体" w:cs="宋体"/>
                <w:szCs w:val="21"/>
              </w:rPr>
            </w:pPr>
            <w:r>
              <w:rPr>
                <w:rFonts w:hint="eastAsia" w:ascii="宋体" w:hAnsi="宋体" w:cs="宋体"/>
                <w:szCs w:val="21"/>
              </w:rPr>
              <w:t>（6）项目实施提出的相关合理化建议的可操作性强。</w:t>
            </w:r>
          </w:p>
          <w:p>
            <w:pPr>
              <w:widowControl/>
              <w:jc w:val="left"/>
              <w:rPr>
                <w:rFonts w:hint="eastAsia" w:ascii="仿宋" w:hAnsi="仿宋" w:eastAsia="仿宋" w:cs="仿宋"/>
                <w:sz w:val="24"/>
                <w:szCs w:val="24"/>
              </w:rPr>
            </w:pPr>
            <w:r>
              <w:rPr>
                <w:rFonts w:hint="eastAsia" w:ascii="宋体" w:hAnsi="宋体" w:cs="宋体"/>
                <w:b/>
                <w:bCs/>
                <w:szCs w:val="21"/>
              </w:rPr>
              <w:t>每满足以上1项要求加1分，最高加6分。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560" w:type="dxa"/>
            <w:vMerge w:val="continue"/>
            <w:tcBorders>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vAlign w:val="center"/>
          </w:tcPr>
          <w:p>
            <w:pPr>
              <w:jc w:val="center"/>
              <w:rPr>
                <w:rFonts w:hint="eastAsia" w:ascii="仿宋" w:hAnsi="仿宋" w:eastAsia="仿宋" w:cs="仿宋"/>
                <w:sz w:val="24"/>
                <w:szCs w:val="24"/>
              </w:rPr>
            </w:pPr>
          </w:p>
        </w:tc>
        <w:tc>
          <w:tcPr>
            <w:tcW w:w="522"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bCs/>
                <w:szCs w:val="21"/>
              </w:rPr>
              <w:t>3</w:t>
            </w:r>
          </w:p>
        </w:tc>
        <w:tc>
          <w:tcPr>
            <w:tcW w:w="1271" w:type="dxa"/>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cs="仿宋"/>
                <w:sz w:val="24"/>
                <w:szCs w:val="24"/>
              </w:rPr>
            </w:pPr>
            <w:r>
              <w:rPr>
                <w:rFonts w:hint="eastAsia" w:ascii="宋体" w:hAnsi="宋体" w:cs="宋体"/>
                <w:szCs w:val="21"/>
              </w:rPr>
              <w:t>质量（完成时间、安全、环保）保障措施及方案</w:t>
            </w:r>
          </w:p>
        </w:tc>
        <w:tc>
          <w:tcPr>
            <w:tcW w:w="705" w:type="dxa"/>
            <w:tcBorders>
              <w:top w:val="single" w:color="auto" w:sz="4" w:space="0"/>
              <w:left w:val="single" w:color="auto" w:sz="4" w:space="0"/>
              <w:right w:val="single" w:color="auto" w:sz="4" w:space="0"/>
            </w:tcBorders>
            <w:vAlign w:val="center"/>
          </w:tcPr>
          <w:p>
            <w:pPr>
              <w:spacing w:line="360" w:lineRule="exact"/>
              <w:jc w:val="center"/>
              <w:rPr>
                <w:rFonts w:hint="default" w:ascii="仿宋" w:hAnsi="仿宋" w:eastAsia="仿宋" w:cs="仿宋"/>
                <w:sz w:val="24"/>
                <w:szCs w:val="24"/>
                <w:lang w:val="en-US" w:eastAsia="zh-CN"/>
              </w:rPr>
            </w:pPr>
            <w:r>
              <w:rPr>
                <w:rFonts w:hint="eastAsia" w:ascii="宋体" w:hAnsi="宋体" w:eastAsia="仿宋" w:cs="宋体"/>
                <w:szCs w:val="21"/>
                <w:lang w:val="en-US" w:eastAsia="zh-CN"/>
              </w:rPr>
              <w:t>12</w:t>
            </w:r>
          </w:p>
        </w:tc>
        <w:tc>
          <w:tcPr>
            <w:tcW w:w="762" w:type="dxa"/>
            <w:gridSpan w:val="2"/>
            <w:tcBorders>
              <w:top w:val="single" w:color="auto" w:sz="4" w:space="0"/>
              <w:left w:val="single" w:color="auto" w:sz="4" w:space="0"/>
              <w:right w:val="single" w:color="auto" w:sz="4" w:space="0"/>
            </w:tcBorders>
            <w:vAlign w:val="center"/>
          </w:tcPr>
          <w:p>
            <w:pPr>
              <w:jc w:val="cente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Cs w:val="21"/>
                <w:lang w:bidi="ar"/>
              </w:rPr>
            </w:pPr>
            <w:r>
              <w:rPr>
                <w:rFonts w:hint="eastAsia" w:ascii="宋体" w:hAnsi="宋体" w:cs="宋体"/>
                <w:b/>
                <w:bCs/>
                <w:kern w:val="0"/>
                <w:szCs w:val="21"/>
                <w:lang w:bidi="ar"/>
              </w:rPr>
              <w:t>（一）评审内容：</w:t>
            </w:r>
          </w:p>
          <w:p>
            <w:pPr>
              <w:widowControl/>
              <w:jc w:val="left"/>
              <w:rPr>
                <w:rFonts w:hint="eastAsia" w:ascii="宋体" w:hAnsi="宋体" w:cs="宋体"/>
                <w:kern w:val="0"/>
                <w:szCs w:val="21"/>
                <w:lang w:bidi="ar"/>
              </w:rPr>
            </w:pPr>
            <w:r>
              <w:rPr>
                <w:rFonts w:hint="eastAsia" w:ascii="宋体" w:hAnsi="宋体" w:cs="宋体"/>
                <w:szCs w:val="21"/>
              </w:rPr>
              <w:t>评审委员会根据投标人提供的质量（完成时间、安全、环保）保障措施及方案进行评审：</w:t>
            </w:r>
          </w:p>
          <w:p>
            <w:pPr>
              <w:adjustRightInd w:val="0"/>
              <w:snapToGrid w:val="0"/>
              <w:jc w:val="left"/>
              <w:rPr>
                <w:rFonts w:hint="eastAsia" w:ascii="宋体" w:hAnsi="宋体" w:cs="宋体"/>
                <w:bCs/>
                <w:iCs/>
                <w:szCs w:val="21"/>
              </w:rPr>
            </w:pPr>
            <w:r>
              <w:rPr>
                <w:rFonts w:hint="eastAsia" w:ascii="宋体" w:hAnsi="宋体" w:cs="宋体"/>
                <w:bCs/>
                <w:iCs/>
                <w:szCs w:val="21"/>
              </w:rPr>
              <w:t>（1）项目质量管理；</w:t>
            </w:r>
          </w:p>
          <w:p>
            <w:pPr>
              <w:adjustRightInd w:val="0"/>
              <w:snapToGrid w:val="0"/>
              <w:jc w:val="left"/>
              <w:rPr>
                <w:rFonts w:hint="eastAsia" w:ascii="宋体" w:hAnsi="宋体" w:cs="宋体"/>
                <w:bCs/>
                <w:iCs/>
                <w:szCs w:val="21"/>
              </w:rPr>
            </w:pPr>
            <w:r>
              <w:rPr>
                <w:rFonts w:hint="eastAsia" w:ascii="宋体" w:hAnsi="宋体" w:cs="宋体"/>
                <w:bCs/>
                <w:iCs/>
                <w:szCs w:val="21"/>
              </w:rPr>
              <w:t>（2）项目安全管理；</w:t>
            </w:r>
          </w:p>
          <w:p>
            <w:pPr>
              <w:adjustRightInd w:val="0"/>
              <w:snapToGrid w:val="0"/>
              <w:jc w:val="left"/>
              <w:rPr>
                <w:rFonts w:hint="eastAsia" w:ascii="宋体" w:hAnsi="宋体" w:cs="宋体"/>
                <w:bCs/>
                <w:iCs/>
                <w:szCs w:val="21"/>
              </w:rPr>
            </w:pPr>
            <w:r>
              <w:rPr>
                <w:rFonts w:hint="eastAsia" w:ascii="宋体" w:hAnsi="宋体" w:cs="宋体"/>
                <w:bCs/>
                <w:iCs/>
                <w:szCs w:val="21"/>
              </w:rPr>
              <w:t>（3）项目进度安排及完成时间；</w:t>
            </w:r>
          </w:p>
          <w:p>
            <w:pPr>
              <w:adjustRightInd w:val="0"/>
              <w:snapToGrid w:val="0"/>
              <w:jc w:val="left"/>
              <w:rPr>
                <w:rFonts w:hint="eastAsia" w:ascii="宋体" w:hAnsi="宋体" w:cs="宋体"/>
                <w:bCs/>
                <w:iCs/>
                <w:szCs w:val="21"/>
              </w:rPr>
            </w:pPr>
            <w:r>
              <w:rPr>
                <w:rFonts w:hint="eastAsia" w:ascii="宋体" w:hAnsi="宋体" w:cs="宋体"/>
                <w:bCs/>
                <w:iCs/>
                <w:szCs w:val="21"/>
              </w:rPr>
              <w:t>（4）环保保障措施。</w:t>
            </w:r>
          </w:p>
          <w:p>
            <w:pPr>
              <w:widowControl/>
              <w:jc w:val="left"/>
              <w:rPr>
                <w:rFonts w:hint="eastAsia" w:ascii="宋体" w:hAnsi="宋体" w:cs="宋体"/>
                <w:kern w:val="0"/>
                <w:szCs w:val="21"/>
                <w:lang w:bidi="ar"/>
              </w:rPr>
            </w:pPr>
            <w:r>
              <w:rPr>
                <w:rFonts w:hint="eastAsia" w:ascii="宋体" w:hAnsi="宋体" w:cs="宋体"/>
                <w:b/>
                <w:bCs/>
                <w:kern w:val="0"/>
                <w:szCs w:val="21"/>
                <w:lang w:bidi="ar"/>
              </w:rPr>
              <w:t>（二）评审标准：</w:t>
            </w:r>
          </w:p>
          <w:p>
            <w:pPr>
              <w:widowControl/>
              <w:jc w:val="left"/>
              <w:rPr>
                <w:rFonts w:hint="eastAsia" w:ascii="宋体" w:hAnsi="宋体" w:cs="宋体"/>
                <w:kern w:val="0"/>
                <w:szCs w:val="21"/>
                <w:lang w:bidi="ar"/>
              </w:rPr>
            </w:pPr>
            <w:r>
              <w:rPr>
                <w:rFonts w:hint="eastAsia" w:ascii="宋体" w:hAnsi="宋体" w:cs="宋体"/>
                <w:kern w:val="0"/>
                <w:szCs w:val="21"/>
                <w:lang w:bidi="ar"/>
              </w:rPr>
              <w:t>考察以上评审内容的1、2、3、4点。以上四点内容均满足得</w:t>
            </w:r>
            <w:r>
              <w:rPr>
                <w:rFonts w:hint="eastAsia" w:ascii="宋体" w:hAnsi="宋体" w:cs="宋体"/>
                <w:kern w:val="0"/>
                <w:szCs w:val="21"/>
                <w:lang w:val="en-US" w:eastAsia="zh-CN" w:bidi="ar"/>
              </w:rPr>
              <w:t>4</w:t>
            </w:r>
            <w:r>
              <w:rPr>
                <w:rFonts w:hint="eastAsia" w:ascii="宋体" w:hAnsi="宋体" w:cs="宋体"/>
                <w:kern w:val="0"/>
                <w:szCs w:val="21"/>
                <w:lang w:bidi="ar"/>
              </w:rPr>
              <w:t>分，满足任意三点得</w:t>
            </w:r>
            <w:r>
              <w:rPr>
                <w:rFonts w:hint="eastAsia" w:ascii="宋体" w:hAnsi="宋体" w:cs="宋体"/>
                <w:kern w:val="0"/>
                <w:szCs w:val="21"/>
                <w:lang w:val="en-US" w:eastAsia="zh-CN" w:bidi="ar"/>
              </w:rPr>
              <w:t>3</w:t>
            </w:r>
            <w:r>
              <w:rPr>
                <w:rFonts w:hint="eastAsia" w:ascii="宋体" w:hAnsi="宋体" w:cs="宋体"/>
                <w:kern w:val="0"/>
                <w:szCs w:val="21"/>
                <w:lang w:bidi="ar"/>
              </w:rPr>
              <w:t>分，满足任意两点得</w:t>
            </w:r>
            <w:r>
              <w:rPr>
                <w:rFonts w:hint="eastAsia" w:ascii="宋体" w:hAnsi="宋体" w:cs="宋体"/>
                <w:kern w:val="0"/>
                <w:szCs w:val="21"/>
                <w:lang w:val="en-US" w:eastAsia="zh-CN" w:bidi="ar"/>
              </w:rPr>
              <w:t>2</w:t>
            </w:r>
            <w:r>
              <w:rPr>
                <w:rFonts w:hint="eastAsia" w:ascii="宋体" w:hAnsi="宋体" w:cs="宋体"/>
                <w:kern w:val="0"/>
                <w:szCs w:val="21"/>
                <w:lang w:bidi="ar"/>
              </w:rPr>
              <w:t>分，满足任意一点得</w:t>
            </w:r>
            <w:r>
              <w:rPr>
                <w:rFonts w:hint="eastAsia" w:ascii="宋体" w:hAnsi="宋体" w:cs="宋体"/>
                <w:kern w:val="0"/>
                <w:szCs w:val="21"/>
                <w:lang w:val="en-US" w:eastAsia="zh-CN" w:bidi="ar"/>
              </w:rPr>
              <w:t>1</w:t>
            </w:r>
            <w:r>
              <w:rPr>
                <w:rFonts w:hint="eastAsia" w:ascii="宋体" w:hAnsi="宋体" w:cs="宋体"/>
                <w:kern w:val="0"/>
                <w:szCs w:val="21"/>
                <w:lang w:bidi="ar"/>
              </w:rPr>
              <w:t>分，未满足不得分。</w:t>
            </w:r>
          </w:p>
          <w:p>
            <w:pPr>
              <w:widowControl/>
              <w:jc w:val="left"/>
              <w:rPr>
                <w:rFonts w:hint="eastAsia" w:ascii="宋体" w:hAnsi="宋体" w:cs="宋体"/>
                <w:kern w:val="0"/>
                <w:szCs w:val="21"/>
                <w:lang w:bidi="ar"/>
              </w:rPr>
            </w:pPr>
            <w:r>
              <w:rPr>
                <w:rFonts w:hint="eastAsia" w:ascii="宋体" w:hAnsi="宋体" w:cs="宋体"/>
                <w:kern w:val="0"/>
                <w:szCs w:val="21"/>
                <w:lang w:bidi="ar"/>
              </w:rPr>
              <w:t>根据投标人质量（完成时间、安全、环保）保障措施及方案内容进一步评审。</w:t>
            </w:r>
          </w:p>
          <w:p>
            <w:pPr>
              <w:widowControl/>
              <w:jc w:val="left"/>
              <w:rPr>
                <w:rFonts w:hint="eastAsia" w:ascii="宋体" w:hAnsi="宋体" w:cs="宋体"/>
                <w:szCs w:val="21"/>
              </w:rPr>
            </w:pPr>
            <w:r>
              <w:rPr>
                <w:rFonts w:hint="eastAsia" w:ascii="宋体" w:hAnsi="宋体" w:cs="宋体"/>
                <w:szCs w:val="21"/>
              </w:rPr>
              <w:t>（1）措施及方案详实完整；</w:t>
            </w:r>
          </w:p>
          <w:p>
            <w:pPr>
              <w:widowControl/>
              <w:jc w:val="left"/>
              <w:rPr>
                <w:rFonts w:hint="eastAsia" w:ascii="宋体" w:hAnsi="宋体" w:cs="宋体"/>
                <w:szCs w:val="21"/>
              </w:rPr>
            </w:pPr>
            <w:r>
              <w:rPr>
                <w:rFonts w:hint="eastAsia" w:ascii="宋体" w:hAnsi="宋体" w:cs="宋体"/>
                <w:szCs w:val="21"/>
              </w:rPr>
              <w:t>（2）措施及方案逻辑清晰；</w:t>
            </w:r>
          </w:p>
          <w:p>
            <w:pPr>
              <w:widowControl/>
              <w:jc w:val="left"/>
              <w:rPr>
                <w:rFonts w:hint="eastAsia" w:ascii="宋体" w:hAnsi="宋体" w:cs="宋体"/>
                <w:szCs w:val="21"/>
              </w:rPr>
            </w:pPr>
            <w:r>
              <w:rPr>
                <w:rFonts w:hint="eastAsia" w:ascii="宋体" w:hAnsi="宋体" w:cs="宋体"/>
                <w:szCs w:val="21"/>
              </w:rPr>
              <w:t>（3）措施及方案针对性强；</w:t>
            </w:r>
          </w:p>
          <w:p>
            <w:pPr>
              <w:widowControl/>
              <w:jc w:val="left"/>
              <w:rPr>
                <w:rFonts w:hint="eastAsia" w:ascii="宋体" w:hAnsi="宋体" w:cs="宋体"/>
                <w:szCs w:val="21"/>
              </w:rPr>
            </w:pPr>
            <w:r>
              <w:rPr>
                <w:rFonts w:hint="eastAsia" w:ascii="宋体" w:hAnsi="宋体" w:cs="宋体"/>
                <w:szCs w:val="21"/>
              </w:rPr>
              <w:t>（4）措施及方案可操作性强。</w:t>
            </w:r>
          </w:p>
          <w:p>
            <w:pPr>
              <w:pStyle w:val="9"/>
            </w:pPr>
            <w:r>
              <w:rPr>
                <w:rFonts w:hint="eastAsia" w:ascii="宋体" w:hAnsi="宋体" w:cs="宋体"/>
                <w:b/>
                <w:bCs/>
                <w:sz w:val="21"/>
                <w:szCs w:val="21"/>
              </w:rPr>
              <w:t>每满足以上1项要求加2分，最高加8分。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560" w:type="dxa"/>
            <w:vMerge w:val="continue"/>
            <w:tcBorders>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tcBorders>
              <w:left w:val="single" w:color="auto" w:sz="4" w:space="0"/>
              <w:right w:val="single" w:color="auto" w:sz="4" w:space="0"/>
            </w:tcBorders>
            <w:vAlign w:val="center"/>
          </w:tcPr>
          <w:p>
            <w:pPr>
              <w:jc w:val="center"/>
              <w:rPr>
                <w:rFonts w:hint="eastAsia" w:ascii="仿宋" w:hAnsi="仿宋" w:eastAsia="仿宋" w:cs="仿宋"/>
                <w:sz w:val="24"/>
                <w:szCs w:val="24"/>
              </w:rPr>
            </w:pPr>
          </w:p>
        </w:tc>
        <w:tc>
          <w:tcPr>
            <w:tcW w:w="522" w:type="dxa"/>
            <w:tcBorders>
              <w:top w:val="single" w:color="auto" w:sz="4" w:space="0"/>
              <w:left w:val="single" w:color="auto" w:sz="4" w:space="0"/>
              <w:right w:val="single" w:color="auto" w:sz="4" w:space="0"/>
            </w:tcBorders>
            <w:vAlign w:val="center"/>
          </w:tcPr>
          <w:p>
            <w:pPr>
              <w:jc w:val="center"/>
              <w:rPr>
                <w:rFonts w:hint="eastAsia" w:ascii="宋体" w:hAnsi="宋体" w:cs="宋体"/>
                <w:bCs/>
                <w:szCs w:val="21"/>
              </w:rPr>
            </w:pPr>
            <w:r>
              <w:rPr>
                <w:rFonts w:hint="eastAsia" w:ascii="宋体" w:hAnsi="宋体" w:cs="宋体"/>
                <w:bCs/>
                <w:szCs w:val="21"/>
              </w:rPr>
              <w:t>4</w:t>
            </w:r>
          </w:p>
        </w:tc>
        <w:tc>
          <w:tcPr>
            <w:tcW w:w="1271"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项目完成（服务期满）后的服务承诺</w:t>
            </w:r>
          </w:p>
        </w:tc>
        <w:tc>
          <w:tcPr>
            <w:tcW w:w="705"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仿宋" w:cs="宋体"/>
                <w:szCs w:val="21"/>
                <w:lang w:eastAsia="zh-CN"/>
              </w:rPr>
            </w:pPr>
            <w:r>
              <w:rPr>
                <w:rFonts w:hint="eastAsia" w:ascii="宋体" w:hAnsi="宋体" w:eastAsia="仿宋" w:cs="宋体"/>
                <w:szCs w:val="21"/>
                <w:lang w:val="en-US" w:eastAsia="zh-CN"/>
              </w:rPr>
              <w:t>5</w:t>
            </w:r>
          </w:p>
        </w:tc>
        <w:tc>
          <w:tcPr>
            <w:tcW w:w="762" w:type="dxa"/>
            <w:gridSpan w:val="2"/>
            <w:tcBorders>
              <w:top w:val="single" w:color="auto" w:sz="4" w:space="0"/>
              <w:left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Cs w:val="21"/>
                <w:lang w:bidi="ar"/>
              </w:rPr>
            </w:pPr>
            <w:r>
              <w:rPr>
                <w:rFonts w:hint="eastAsia" w:ascii="宋体" w:hAnsi="宋体" w:cs="宋体"/>
                <w:b/>
                <w:bCs/>
                <w:kern w:val="0"/>
                <w:szCs w:val="21"/>
                <w:lang w:bidi="ar"/>
              </w:rPr>
              <w:t>（一）评审内容：</w:t>
            </w:r>
          </w:p>
          <w:p>
            <w:pPr>
              <w:widowControl/>
              <w:jc w:val="left"/>
              <w:rPr>
                <w:rFonts w:hint="eastAsia" w:ascii="宋体" w:hAnsi="宋体" w:cs="宋体"/>
                <w:szCs w:val="21"/>
              </w:rPr>
            </w:pPr>
            <w:r>
              <w:rPr>
                <w:rFonts w:hint="eastAsia" w:ascii="宋体" w:hAnsi="宋体" w:cs="宋体"/>
                <w:szCs w:val="21"/>
              </w:rPr>
              <w:t>评审委员会根据投标人提供的项目完成（服务期满）后的服务承诺进行评审：</w:t>
            </w:r>
          </w:p>
          <w:p>
            <w:pPr>
              <w:adjustRightInd w:val="0"/>
              <w:snapToGrid w:val="0"/>
              <w:jc w:val="left"/>
              <w:rPr>
                <w:rFonts w:hint="eastAsia" w:ascii="宋体" w:hAnsi="宋体" w:cs="宋体"/>
                <w:bCs/>
                <w:iCs/>
                <w:szCs w:val="21"/>
              </w:rPr>
            </w:pPr>
            <w:r>
              <w:rPr>
                <w:rFonts w:hint="eastAsia" w:ascii="宋体" w:hAnsi="宋体" w:cs="宋体"/>
                <w:bCs/>
                <w:iCs/>
                <w:szCs w:val="21"/>
              </w:rPr>
              <w:t>（1）售后服务措施及方案。</w:t>
            </w:r>
          </w:p>
          <w:p>
            <w:pPr>
              <w:widowControl/>
              <w:jc w:val="left"/>
              <w:rPr>
                <w:rFonts w:hint="eastAsia" w:ascii="宋体" w:hAnsi="宋体" w:cs="宋体"/>
                <w:kern w:val="0"/>
                <w:szCs w:val="21"/>
                <w:lang w:bidi="ar"/>
              </w:rPr>
            </w:pPr>
            <w:r>
              <w:rPr>
                <w:rFonts w:hint="eastAsia" w:ascii="宋体" w:hAnsi="宋体" w:cs="宋体"/>
                <w:b/>
                <w:bCs/>
                <w:kern w:val="0"/>
                <w:szCs w:val="21"/>
                <w:lang w:bidi="ar"/>
              </w:rPr>
              <w:t>（二）评审标准：</w:t>
            </w:r>
          </w:p>
          <w:p>
            <w:pPr>
              <w:widowControl/>
              <w:jc w:val="left"/>
              <w:rPr>
                <w:rFonts w:hint="eastAsia" w:ascii="宋体" w:hAnsi="宋体" w:cs="宋体"/>
                <w:kern w:val="0"/>
                <w:szCs w:val="21"/>
                <w:lang w:bidi="ar"/>
              </w:rPr>
            </w:pPr>
            <w:r>
              <w:rPr>
                <w:rFonts w:hint="eastAsia" w:ascii="宋体" w:hAnsi="宋体" w:cs="宋体"/>
                <w:kern w:val="0"/>
                <w:szCs w:val="21"/>
                <w:lang w:bidi="ar"/>
              </w:rPr>
              <w:t>考察以上评审内容。以上内容满足得</w:t>
            </w:r>
            <w:r>
              <w:rPr>
                <w:rFonts w:hint="eastAsia" w:ascii="宋体" w:hAnsi="宋体" w:cs="宋体"/>
                <w:kern w:val="0"/>
                <w:szCs w:val="21"/>
                <w:lang w:val="en-US" w:eastAsia="zh-CN" w:bidi="ar"/>
              </w:rPr>
              <w:t>1</w:t>
            </w:r>
            <w:r>
              <w:rPr>
                <w:rFonts w:hint="eastAsia" w:ascii="宋体" w:hAnsi="宋体" w:cs="宋体"/>
                <w:kern w:val="0"/>
                <w:szCs w:val="21"/>
                <w:lang w:bidi="ar"/>
              </w:rPr>
              <w:t>分，未满足不得分。</w:t>
            </w:r>
          </w:p>
          <w:p>
            <w:pPr>
              <w:widowControl/>
              <w:jc w:val="left"/>
              <w:rPr>
                <w:rFonts w:hint="eastAsia" w:ascii="宋体" w:hAnsi="宋体" w:cs="宋体"/>
                <w:kern w:val="0"/>
                <w:szCs w:val="21"/>
                <w:lang w:bidi="ar"/>
              </w:rPr>
            </w:pPr>
            <w:r>
              <w:rPr>
                <w:rFonts w:hint="eastAsia" w:ascii="宋体" w:hAnsi="宋体" w:cs="宋体"/>
                <w:kern w:val="0"/>
                <w:szCs w:val="21"/>
                <w:lang w:bidi="ar"/>
              </w:rPr>
              <w:t>根据投标人项目完成（服务期满）后的服务承诺内容进一步评审。</w:t>
            </w:r>
          </w:p>
          <w:p>
            <w:pPr>
              <w:widowControl/>
              <w:numPr>
                <w:ilvl w:val="0"/>
                <w:numId w:val="1"/>
              </w:numPr>
              <w:jc w:val="left"/>
              <w:rPr>
                <w:rFonts w:hint="eastAsia" w:ascii="宋体" w:hAnsi="宋体" w:cs="宋体"/>
                <w:kern w:val="0"/>
                <w:szCs w:val="21"/>
                <w:lang w:bidi="ar"/>
              </w:rPr>
            </w:pPr>
            <w:r>
              <w:rPr>
                <w:rFonts w:hint="eastAsia" w:ascii="宋体" w:hAnsi="宋体" w:cs="宋体"/>
                <w:kern w:val="0"/>
                <w:szCs w:val="21"/>
                <w:lang w:bidi="ar"/>
              </w:rPr>
              <w:t>售后服务方案完全响应招标需求；</w:t>
            </w:r>
          </w:p>
          <w:p>
            <w:pPr>
              <w:widowControl/>
              <w:numPr>
                <w:ilvl w:val="0"/>
                <w:numId w:val="1"/>
              </w:numPr>
              <w:jc w:val="left"/>
            </w:pPr>
            <w:r>
              <w:rPr>
                <w:rFonts w:hint="eastAsia" w:ascii="宋体" w:hAnsi="宋体" w:cs="宋体"/>
                <w:kern w:val="0"/>
                <w:szCs w:val="21"/>
                <w:lang w:bidi="ar"/>
              </w:rPr>
              <w:t>售后服务方案全面详尽。</w:t>
            </w:r>
          </w:p>
          <w:p>
            <w:pPr>
              <w:pStyle w:val="9"/>
              <w:rPr>
                <w:rFonts w:hint="eastAsia" w:ascii="宋体" w:hAnsi="宋体" w:cs="宋体"/>
                <w:b/>
                <w:bCs/>
                <w:sz w:val="21"/>
                <w:szCs w:val="21"/>
              </w:rPr>
            </w:pPr>
            <w:r>
              <w:rPr>
                <w:rFonts w:hint="eastAsia" w:ascii="宋体" w:hAnsi="宋体" w:cs="宋体"/>
                <w:b/>
                <w:bCs/>
                <w:sz w:val="21"/>
                <w:szCs w:val="21"/>
              </w:rPr>
              <w:t>每满足以上1项要求加</w:t>
            </w:r>
            <w:r>
              <w:rPr>
                <w:rFonts w:hint="eastAsia" w:ascii="宋体" w:hAnsi="宋体" w:cs="宋体"/>
                <w:b/>
                <w:bCs/>
                <w:sz w:val="21"/>
                <w:szCs w:val="21"/>
                <w:lang w:val="en-US" w:eastAsia="zh-CN"/>
              </w:rPr>
              <w:t>2</w:t>
            </w:r>
            <w:r>
              <w:rPr>
                <w:rFonts w:hint="eastAsia" w:ascii="宋体" w:hAnsi="宋体" w:cs="宋体"/>
                <w:b/>
                <w:bCs/>
                <w:sz w:val="21"/>
                <w:szCs w:val="21"/>
              </w:rPr>
              <w:t>分，最高加</w:t>
            </w:r>
            <w:r>
              <w:rPr>
                <w:rFonts w:hint="eastAsia" w:ascii="宋体" w:hAnsi="宋体" w:cs="宋体"/>
                <w:b/>
                <w:bCs/>
                <w:sz w:val="21"/>
                <w:szCs w:val="21"/>
                <w:lang w:val="en-US" w:eastAsia="zh-CN"/>
              </w:rPr>
              <w:t>4</w:t>
            </w:r>
            <w:r>
              <w:rPr>
                <w:rFonts w:hint="eastAsia" w:ascii="宋体" w:hAnsi="宋体" w:cs="宋体"/>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560" w:type="dxa"/>
            <w:vMerge w:val="continue"/>
            <w:tcBorders>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tcBorders>
              <w:left w:val="single" w:color="auto" w:sz="4" w:space="0"/>
              <w:right w:val="single" w:color="auto" w:sz="4" w:space="0"/>
            </w:tcBorders>
            <w:vAlign w:val="center"/>
          </w:tcPr>
          <w:p>
            <w:pPr>
              <w:jc w:val="center"/>
              <w:rPr>
                <w:rFonts w:hint="eastAsia" w:ascii="仿宋" w:hAnsi="仿宋" w:eastAsia="仿宋" w:cs="仿宋"/>
                <w:sz w:val="24"/>
                <w:szCs w:val="24"/>
              </w:rPr>
            </w:pPr>
          </w:p>
        </w:tc>
        <w:tc>
          <w:tcPr>
            <w:tcW w:w="522" w:type="dxa"/>
            <w:tcBorders>
              <w:top w:val="single" w:color="auto" w:sz="4" w:space="0"/>
              <w:left w:val="single" w:color="auto" w:sz="4" w:space="0"/>
              <w:right w:val="single" w:color="auto" w:sz="4" w:space="0"/>
            </w:tcBorders>
            <w:vAlign w:val="center"/>
          </w:tcPr>
          <w:p>
            <w:pPr>
              <w:jc w:val="center"/>
              <w:rPr>
                <w:rFonts w:hint="eastAsia" w:ascii="宋体" w:hAnsi="宋体" w:cs="宋体"/>
                <w:bCs/>
                <w:szCs w:val="21"/>
              </w:rPr>
            </w:pPr>
            <w:r>
              <w:rPr>
                <w:rFonts w:hint="eastAsia" w:ascii="宋体" w:hAnsi="宋体" w:cs="宋体"/>
                <w:bCs/>
                <w:szCs w:val="21"/>
              </w:rPr>
              <w:t>5</w:t>
            </w:r>
          </w:p>
        </w:tc>
        <w:tc>
          <w:tcPr>
            <w:tcW w:w="1271" w:type="dxa"/>
            <w:tcBorders>
              <w:top w:val="single" w:color="auto" w:sz="4" w:space="0"/>
              <w:left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szCs w:val="21"/>
              </w:rPr>
              <w:t>违约承诺</w:t>
            </w:r>
          </w:p>
        </w:tc>
        <w:tc>
          <w:tcPr>
            <w:tcW w:w="705" w:type="dxa"/>
            <w:tcBorders>
              <w:top w:val="single" w:color="auto" w:sz="4" w:space="0"/>
              <w:left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szCs w:val="21"/>
              </w:rPr>
              <w:t>5</w:t>
            </w:r>
          </w:p>
        </w:tc>
        <w:tc>
          <w:tcPr>
            <w:tcW w:w="762" w:type="dxa"/>
            <w:gridSpan w:val="2"/>
            <w:tcBorders>
              <w:top w:val="single" w:color="auto" w:sz="4" w:space="0"/>
              <w:left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Cs w:val="21"/>
                <w:lang w:bidi="ar"/>
              </w:rPr>
            </w:pPr>
            <w:r>
              <w:rPr>
                <w:rFonts w:hint="eastAsia" w:ascii="宋体" w:hAnsi="宋体" w:cs="宋体"/>
                <w:b/>
                <w:bCs/>
                <w:kern w:val="0"/>
                <w:szCs w:val="21"/>
                <w:lang w:bidi="ar"/>
              </w:rPr>
              <w:t>（一）评审内容：</w:t>
            </w:r>
          </w:p>
          <w:p>
            <w:pPr>
              <w:widowControl/>
              <w:jc w:val="left"/>
              <w:rPr>
                <w:rFonts w:hint="eastAsia" w:ascii="宋体" w:hAnsi="宋体" w:cs="宋体"/>
                <w:kern w:val="0"/>
                <w:szCs w:val="21"/>
                <w:lang w:bidi="ar"/>
              </w:rPr>
            </w:pPr>
            <w:r>
              <w:rPr>
                <w:rFonts w:hint="eastAsia" w:ascii="宋体" w:hAnsi="宋体" w:cs="宋体"/>
                <w:szCs w:val="21"/>
              </w:rPr>
              <w:t>评审委员会根据投标人提供的违约承诺进行评审：</w:t>
            </w:r>
          </w:p>
          <w:p>
            <w:pPr>
              <w:adjustRightInd w:val="0"/>
              <w:snapToGrid w:val="0"/>
              <w:jc w:val="left"/>
              <w:rPr>
                <w:rFonts w:hint="eastAsia" w:ascii="宋体" w:hAnsi="宋体" w:cs="宋体"/>
                <w:bCs/>
                <w:iCs/>
                <w:szCs w:val="21"/>
              </w:rPr>
            </w:pPr>
            <w:r>
              <w:rPr>
                <w:rFonts w:hint="eastAsia" w:ascii="宋体" w:hAnsi="宋体" w:cs="宋体"/>
                <w:bCs/>
                <w:iCs/>
                <w:szCs w:val="21"/>
              </w:rPr>
              <w:t>（1）发生质量不合格时的违约承诺；</w:t>
            </w:r>
          </w:p>
          <w:p>
            <w:pPr>
              <w:adjustRightInd w:val="0"/>
              <w:snapToGrid w:val="0"/>
              <w:jc w:val="left"/>
              <w:rPr>
                <w:rFonts w:hint="eastAsia" w:ascii="宋体" w:hAnsi="宋体" w:cs="宋体"/>
                <w:bCs/>
                <w:iCs/>
                <w:szCs w:val="21"/>
              </w:rPr>
            </w:pPr>
            <w:r>
              <w:rPr>
                <w:rFonts w:hint="eastAsia" w:ascii="宋体" w:hAnsi="宋体" w:cs="宋体"/>
                <w:bCs/>
                <w:iCs/>
                <w:szCs w:val="21"/>
              </w:rPr>
              <w:t>（2）发生安全事故时的违约承诺；</w:t>
            </w:r>
          </w:p>
          <w:p>
            <w:pPr>
              <w:adjustRightInd w:val="0"/>
              <w:snapToGrid w:val="0"/>
              <w:jc w:val="left"/>
              <w:rPr>
                <w:rFonts w:hint="eastAsia" w:ascii="宋体" w:hAnsi="宋体" w:cs="宋体"/>
                <w:bCs/>
                <w:iCs/>
                <w:szCs w:val="21"/>
              </w:rPr>
            </w:pPr>
            <w:r>
              <w:rPr>
                <w:rFonts w:hint="eastAsia" w:ascii="宋体" w:hAnsi="宋体" w:cs="宋体"/>
                <w:bCs/>
                <w:iCs/>
                <w:szCs w:val="21"/>
              </w:rPr>
              <w:t>（3）出现工期延误时的违约承诺。</w:t>
            </w:r>
          </w:p>
          <w:p>
            <w:pPr>
              <w:widowControl/>
              <w:jc w:val="left"/>
              <w:rPr>
                <w:rFonts w:hint="eastAsia" w:ascii="宋体" w:hAnsi="宋体" w:cs="宋体"/>
                <w:kern w:val="0"/>
                <w:szCs w:val="21"/>
                <w:lang w:bidi="ar"/>
              </w:rPr>
            </w:pPr>
            <w:r>
              <w:rPr>
                <w:rFonts w:hint="eastAsia" w:ascii="宋体" w:hAnsi="宋体" w:cs="宋体"/>
                <w:b/>
                <w:bCs/>
                <w:kern w:val="0"/>
                <w:szCs w:val="21"/>
                <w:lang w:bidi="ar"/>
              </w:rPr>
              <w:t>（二）评审标准：</w:t>
            </w:r>
          </w:p>
          <w:p>
            <w:pPr>
              <w:widowControl/>
              <w:jc w:val="left"/>
              <w:rPr>
                <w:rFonts w:hint="eastAsia" w:ascii="宋体" w:hAnsi="宋体" w:cs="宋体"/>
                <w:kern w:val="0"/>
                <w:szCs w:val="21"/>
                <w:lang w:bidi="ar"/>
              </w:rPr>
            </w:pPr>
            <w:r>
              <w:rPr>
                <w:rFonts w:hint="eastAsia" w:ascii="宋体" w:hAnsi="宋体" w:cs="宋体"/>
                <w:kern w:val="0"/>
                <w:szCs w:val="21"/>
                <w:lang w:bidi="ar"/>
              </w:rPr>
              <w:t>考察以上评审内容的1、2、3点。以上三点内容均满足得3分，满足任意两点得2分，满足任意一点得1分，未满足不得分。</w:t>
            </w:r>
          </w:p>
          <w:p>
            <w:pPr>
              <w:widowControl/>
              <w:jc w:val="left"/>
              <w:rPr>
                <w:rFonts w:hint="eastAsia" w:ascii="宋体" w:hAnsi="宋体" w:cs="宋体"/>
                <w:kern w:val="0"/>
                <w:szCs w:val="21"/>
                <w:lang w:bidi="ar"/>
              </w:rPr>
            </w:pPr>
            <w:r>
              <w:rPr>
                <w:rFonts w:hint="eastAsia" w:ascii="宋体" w:hAnsi="宋体" w:cs="宋体"/>
                <w:kern w:val="0"/>
                <w:szCs w:val="21"/>
                <w:lang w:bidi="ar"/>
              </w:rPr>
              <w:t>根据投标人违约承诺内容进一步评审。</w:t>
            </w:r>
          </w:p>
          <w:p>
            <w:pPr>
              <w:widowControl/>
              <w:jc w:val="left"/>
              <w:rPr>
                <w:rFonts w:hint="eastAsia" w:ascii="宋体" w:hAnsi="宋体" w:cs="宋体"/>
                <w:szCs w:val="21"/>
              </w:rPr>
            </w:pPr>
            <w:r>
              <w:rPr>
                <w:rFonts w:hint="eastAsia" w:ascii="宋体" w:hAnsi="宋体" w:cs="宋体"/>
                <w:szCs w:val="21"/>
              </w:rPr>
              <w:t>（1）违约承诺内容完全符合招标文件的技术要求；</w:t>
            </w:r>
          </w:p>
          <w:p>
            <w:pPr>
              <w:widowControl/>
              <w:jc w:val="left"/>
              <w:rPr>
                <w:rFonts w:hint="eastAsia" w:ascii="宋体" w:hAnsi="宋体" w:cs="宋体"/>
                <w:szCs w:val="21"/>
              </w:rPr>
            </w:pPr>
            <w:r>
              <w:rPr>
                <w:rFonts w:hint="eastAsia" w:ascii="宋体" w:hAnsi="宋体" w:cs="宋体"/>
                <w:szCs w:val="21"/>
              </w:rPr>
              <w:t xml:space="preserve">（2）违约承诺内容针对性强； </w:t>
            </w:r>
          </w:p>
          <w:p>
            <w:pPr>
              <w:widowControl/>
              <w:jc w:val="left"/>
              <w:rPr>
                <w:rFonts w:hint="eastAsia" w:ascii="宋体" w:hAnsi="宋体" w:cs="宋体"/>
                <w:szCs w:val="21"/>
              </w:rPr>
            </w:pPr>
            <w:r>
              <w:rPr>
                <w:rFonts w:hint="eastAsia" w:ascii="宋体" w:hAnsi="宋体" w:cs="宋体"/>
                <w:szCs w:val="21"/>
              </w:rPr>
              <w:t>（3）违约承诺内容科学合理；</w:t>
            </w:r>
          </w:p>
          <w:p>
            <w:pPr>
              <w:widowControl/>
              <w:jc w:val="left"/>
              <w:rPr>
                <w:rFonts w:hint="eastAsia" w:ascii="宋体" w:hAnsi="宋体" w:cs="宋体"/>
                <w:szCs w:val="21"/>
              </w:rPr>
            </w:pPr>
            <w:r>
              <w:rPr>
                <w:rFonts w:hint="eastAsia" w:ascii="宋体" w:hAnsi="宋体" w:cs="宋体"/>
                <w:szCs w:val="21"/>
              </w:rPr>
              <w:t>（4）违约承诺内容可操作性强。</w:t>
            </w:r>
          </w:p>
          <w:p>
            <w:pPr>
              <w:pStyle w:val="9"/>
              <w:rPr>
                <w:rFonts w:hint="eastAsia" w:ascii="宋体" w:hAnsi="宋体" w:cs="宋体"/>
                <w:b/>
                <w:bCs/>
                <w:sz w:val="21"/>
                <w:szCs w:val="21"/>
              </w:rPr>
            </w:pPr>
            <w:r>
              <w:rPr>
                <w:rFonts w:hint="eastAsia" w:ascii="宋体" w:hAnsi="宋体" w:cs="宋体"/>
                <w:b/>
                <w:bCs/>
                <w:sz w:val="21"/>
                <w:szCs w:val="21"/>
              </w:rPr>
              <w:t>每满足以上1项要求加0.5分，最高加2分。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60" w:type="dxa"/>
            <w:tcBorders>
              <w:top w:val="single" w:color="auto" w:sz="4" w:space="0"/>
              <w:left w:val="single" w:color="auto" w:sz="4" w:space="0"/>
              <w:right w:val="single" w:color="auto" w:sz="4" w:space="0"/>
            </w:tcBorders>
          </w:tcPr>
          <w:p>
            <w:pPr>
              <w:spacing w:line="360" w:lineRule="exact"/>
              <w:jc w:val="center"/>
              <w:rPr>
                <w:rFonts w:hint="eastAsia" w:ascii="仿宋" w:hAnsi="仿宋" w:eastAsia="仿宋" w:cs="仿宋"/>
                <w:sz w:val="24"/>
                <w:szCs w:val="24"/>
              </w:rPr>
            </w:pPr>
          </w:p>
        </w:tc>
        <w:tc>
          <w:tcPr>
            <w:tcW w:w="850" w:type="dxa"/>
            <w:tcBorders>
              <w:top w:val="single" w:color="auto" w:sz="4" w:space="0"/>
              <w:left w:val="single" w:color="auto" w:sz="4" w:space="0"/>
              <w:right w:val="single" w:color="auto" w:sz="4" w:space="0"/>
            </w:tcBorders>
            <w:vAlign w:val="center"/>
          </w:tcPr>
          <w:p>
            <w:pPr>
              <w:pStyle w:val="6"/>
              <w:tabs>
                <w:tab w:val="left" w:pos="562"/>
                <w:tab w:val="left" w:pos="3372"/>
                <w:tab w:val="left" w:pos="3653"/>
                <w:tab w:val="clear" w:pos="5760"/>
              </w:tabs>
              <w:rPr>
                <w:rFonts w:hint="eastAsia" w:ascii="仿宋" w:hAnsi="仿宋" w:eastAsia="仿宋" w:cs="仿宋"/>
                <w:sz w:val="24"/>
                <w:szCs w:val="24"/>
              </w:rPr>
            </w:pPr>
            <w:r>
              <w:rPr>
                <w:rFonts w:hint="eastAsia" w:ascii="仿宋" w:hAnsi="仿宋" w:eastAsia="仿宋" w:cs="仿宋"/>
                <w:sz w:val="24"/>
                <w:szCs w:val="24"/>
              </w:rPr>
              <w:t>2</w:t>
            </w:r>
          </w:p>
        </w:tc>
        <w:tc>
          <w:tcPr>
            <w:tcW w:w="3260" w:type="dxa"/>
            <w:gridSpan w:val="5"/>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b/>
                <w:bCs/>
                <w:szCs w:val="21"/>
              </w:rPr>
              <w:t>商务部分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宋体" w:hAnsi="宋体" w:eastAsia="仿宋" w:cs="宋体"/>
                <w:b/>
                <w:bCs/>
                <w:szCs w:val="21"/>
              </w:rPr>
              <w:t>4</w:t>
            </w:r>
            <w:r>
              <w:rPr>
                <w:rFonts w:hint="eastAsia" w:ascii="宋体" w:hAnsi="宋体" w:eastAsia="仿宋" w:cs="宋体"/>
                <w:b/>
                <w:bCs/>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60" w:type="dxa"/>
            <w:vMerge w:val="restart"/>
            <w:tcBorders>
              <w:top w:val="single" w:color="auto" w:sz="4" w:space="0"/>
              <w:left w:val="single" w:color="auto" w:sz="4" w:space="0"/>
              <w:right w:val="single" w:color="auto" w:sz="4" w:space="0"/>
            </w:tcBorders>
          </w:tcPr>
          <w:p>
            <w:pPr>
              <w:spacing w:line="360" w:lineRule="exact"/>
              <w:jc w:val="center"/>
              <w:rPr>
                <w:rFonts w:hint="eastAsia" w:ascii="仿宋" w:hAnsi="仿宋" w:eastAsia="仿宋" w:cs="仿宋"/>
                <w:sz w:val="24"/>
                <w:szCs w:val="24"/>
              </w:rPr>
            </w:pPr>
          </w:p>
        </w:tc>
        <w:tc>
          <w:tcPr>
            <w:tcW w:w="850" w:type="dxa"/>
            <w:vMerge w:val="restart"/>
            <w:tcBorders>
              <w:top w:val="single" w:color="auto" w:sz="4" w:space="0"/>
              <w:left w:val="single" w:color="auto" w:sz="4" w:space="0"/>
              <w:right w:val="single" w:color="auto" w:sz="4" w:space="0"/>
            </w:tcBorders>
            <w:vAlign w:val="center"/>
          </w:tcPr>
          <w:p>
            <w:pPr>
              <w:pStyle w:val="6"/>
              <w:tabs>
                <w:tab w:val="left" w:pos="562"/>
                <w:tab w:val="left" w:pos="3372"/>
                <w:tab w:val="left" w:pos="3653"/>
                <w:tab w:val="clear" w:pos="5760"/>
              </w:tabs>
              <w:rPr>
                <w:rFonts w:hint="eastAsia" w:ascii="仿宋" w:hAnsi="仿宋" w:eastAsia="仿宋" w:cs="仿宋"/>
                <w:sz w:val="24"/>
                <w:szCs w:val="24"/>
              </w:rPr>
            </w:pPr>
          </w:p>
        </w:tc>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rPr>
            </w:pPr>
            <w:r>
              <w:rPr>
                <w:rFonts w:hint="eastAsia" w:ascii="宋体" w:hAnsi="宋体" w:cs="宋体"/>
                <w:b/>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rPr>
            </w:pPr>
            <w:r>
              <w:rPr>
                <w:rFonts w:hint="eastAsia" w:ascii="宋体" w:hAnsi="宋体" w:cs="宋体"/>
                <w:b/>
                <w:szCs w:val="21"/>
              </w:rPr>
              <w:t>评分因素</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rPr>
            </w:pPr>
            <w:r>
              <w:rPr>
                <w:rFonts w:hint="eastAsia" w:ascii="宋体" w:hAnsi="宋体" w:cs="宋体"/>
                <w:b/>
                <w:szCs w:val="21"/>
              </w:rPr>
              <w:t>权重</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rPr>
            </w:pPr>
            <w:r>
              <w:rPr>
                <w:rFonts w:hint="eastAsia" w:ascii="宋体" w:hAnsi="宋体" w:cs="宋体"/>
                <w:b/>
                <w:szCs w:val="21"/>
              </w:rPr>
              <w:t>评分方式</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0" w:type="dxa"/>
            <w:vMerge w:val="continue"/>
            <w:tcBorders>
              <w:top w:val="nil"/>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vAlign w:val="center"/>
          </w:tcPr>
          <w:p>
            <w:pPr>
              <w:pStyle w:val="6"/>
              <w:tabs>
                <w:tab w:val="left" w:pos="562"/>
                <w:tab w:val="left" w:pos="3372"/>
                <w:tab w:val="left" w:pos="3653"/>
                <w:tab w:val="clear" w:pos="5760"/>
              </w:tabs>
              <w:rPr>
                <w:rFonts w:hint="eastAsia" w:ascii="仿宋" w:hAnsi="仿宋" w:eastAsia="仿宋" w:cs="仿宋"/>
                <w:sz w:val="24"/>
                <w:szCs w:val="24"/>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宋体" w:hAnsi="宋体" w:cs="宋体"/>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cs="仿宋"/>
                <w:sz w:val="24"/>
                <w:szCs w:val="24"/>
              </w:rPr>
            </w:pPr>
            <w:r>
              <w:rPr>
                <w:rFonts w:hint="eastAsia" w:ascii="宋体" w:hAnsi="宋体" w:cs="宋体"/>
                <w:szCs w:val="21"/>
              </w:rPr>
              <w:t>投标人同类项目业绩情况</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宋体" w:hAnsi="宋体" w:cs="宋体"/>
                <w:szCs w:val="21"/>
              </w:rPr>
              <w:t>15</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bCs/>
                <w:szCs w:val="21"/>
              </w:rPr>
            </w:pPr>
            <w:r>
              <w:rPr>
                <w:rFonts w:hint="eastAsia" w:ascii="宋体" w:hAnsi="宋体" w:cs="宋体"/>
                <w:b/>
                <w:bCs/>
                <w:szCs w:val="21"/>
              </w:rPr>
              <w:t>（一）评分内容：</w:t>
            </w:r>
          </w:p>
          <w:p>
            <w:pPr>
              <w:jc w:val="left"/>
              <w:rPr>
                <w:rFonts w:hint="eastAsia" w:ascii="宋体" w:hAnsi="宋体" w:cs="宋体"/>
                <w:szCs w:val="21"/>
              </w:rPr>
            </w:pPr>
            <w:r>
              <w:rPr>
                <w:rFonts w:hint="eastAsia" w:ascii="宋体" w:hAnsi="宋体" w:cs="宋体"/>
                <w:szCs w:val="21"/>
              </w:rPr>
              <w:t>2021年1月1日至本项目招标公告发布之日（以合同签订时间为准），投标人承接过</w:t>
            </w:r>
            <w:r>
              <w:rPr>
                <w:rFonts w:hint="eastAsia" w:ascii="宋体" w:hAnsi="宋体"/>
                <w:szCs w:val="21"/>
              </w:rPr>
              <w:t>世界地质公园指南或管理办法编制，或参与世界地质公园申报、</w:t>
            </w:r>
            <w:r>
              <w:rPr>
                <w:rFonts w:hint="eastAsia" w:ascii="宋体" w:hAnsi="宋体"/>
                <w:szCs w:val="21"/>
                <w:lang w:val="en-US" w:eastAsia="zh-CN"/>
              </w:rPr>
              <w:t>再评估</w:t>
            </w:r>
            <w:r>
              <w:rPr>
                <w:rFonts w:hint="eastAsia" w:ascii="宋体" w:hAnsi="宋体"/>
                <w:szCs w:val="21"/>
              </w:rPr>
              <w:t>相关工作</w:t>
            </w:r>
            <w:r>
              <w:rPr>
                <w:rFonts w:hint="eastAsia" w:ascii="宋体" w:hAnsi="宋体" w:cs="宋体"/>
                <w:szCs w:val="21"/>
              </w:rPr>
              <w:t>。每提供一个项目得</w:t>
            </w:r>
            <w:r>
              <w:rPr>
                <w:rFonts w:hint="eastAsia" w:ascii="宋体" w:hAnsi="宋体" w:cs="宋体"/>
                <w:szCs w:val="21"/>
                <w:lang w:val="en-US" w:eastAsia="zh-CN"/>
              </w:rPr>
              <w:t>5</w:t>
            </w:r>
            <w:r>
              <w:rPr>
                <w:rFonts w:hint="eastAsia" w:ascii="宋体" w:hAnsi="宋体" w:cs="宋体"/>
                <w:szCs w:val="21"/>
              </w:rPr>
              <w:t>分，最高得15分。</w:t>
            </w:r>
          </w:p>
          <w:p>
            <w:pPr>
              <w:jc w:val="left"/>
              <w:rPr>
                <w:rFonts w:hint="eastAsia" w:ascii="宋体" w:hAnsi="宋体" w:cs="宋体"/>
                <w:b/>
                <w:bCs/>
                <w:szCs w:val="21"/>
              </w:rPr>
            </w:pPr>
            <w:r>
              <w:rPr>
                <w:rFonts w:hint="eastAsia" w:ascii="宋体" w:hAnsi="宋体" w:cs="宋体"/>
                <w:b/>
                <w:bCs/>
                <w:szCs w:val="21"/>
              </w:rPr>
              <w:t>（二）评分依据：</w:t>
            </w:r>
          </w:p>
          <w:p>
            <w:pPr>
              <w:jc w:val="left"/>
              <w:rPr>
                <w:rFonts w:hint="eastAsia" w:ascii="宋体" w:hAnsi="宋体" w:cs="宋体"/>
                <w:szCs w:val="21"/>
              </w:rPr>
            </w:pPr>
            <w:r>
              <w:rPr>
                <w:rFonts w:hint="eastAsia" w:ascii="宋体" w:hAnsi="宋体" w:cs="宋体"/>
                <w:szCs w:val="21"/>
              </w:rPr>
              <w:t>（1）要求提供合同关键信息页作为得分依据；</w:t>
            </w:r>
          </w:p>
          <w:p>
            <w:pPr>
              <w:jc w:val="left"/>
              <w:rPr>
                <w:rFonts w:hint="eastAsia" w:ascii="宋体" w:hAnsi="宋体" w:cs="宋体"/>
                <w:szCs w:val="21"/>
              </w:rPr>
            </w:pPr>
            <w:r>
              <w:rPr>
                <w:rFonts w:hint="eastAsia" w:ascii="宋体" w:hAnsi="宋体" w:cs="宋体"/>
                <w:szCs w:val="21"/>
              </w:rPr>
              <w:t>（2）通过合同关键信息无法判断是否得分的，亦可提供能证明得分的其它证明资料，如项目报告或合同甲方出具的证明文件等；</w:t>
            </w:r>
          </w:p>
          <w:p>
            <w:pPr>
              <w:widowControl/>
              <w:jc w:val="left"/>
            </w:pPr>
            <w:r>
              <w:rPr>
                <w:rFonts w:hint="eastAsia" w:ascii="宋体" w:hAnsi="宋体" w:cs="宋体"/>
                <w:szCs w:val="21"/>
              </w:rPr>
              <w:t>（3）以上资料均要求提供扫描件，原件备查。评分中出现无证明资料或专家无法凭所提供资料判断是否得分的情况，一律作不得分处理。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5" w:hRule="atLeast"/>
        </w:trPr>
        <w:tc>
          <w:tcPr>
            <w:tcW w:w="1560" w:type="dxa"/>
            <w:vMerge w:val="continue"/>
            <w:tcBorders>
              <w:top w:val="nil"/>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vAlign w:val="center"/>
          </w:tcPr>
          <w:p>
            <w:pPr>
              <w:pStyle w:val="6"/>
              <w:tabs>
                <w:tab w:val="left" w:pos="562"/>
                <w:tab w:val="left" w:pos="3372"/>
                <w:tab w:val="left" w:pos="3653"/>
                <w:tab w:val="clear" w:pos="5760"/>
              </w:tabs>
              <w:rPr>
                <w:rFonts w:hint="eastAsia" w:ascii="仿宋" w:hAnsi="仿宋" w:eastAsia="仿宋" w:cs="仿宋"/>
                <w:sz w:val="24"/>
                <w:szCs w:val="24"/>
              </w:rPr>
            </w:pPr>
          </w:p>
        </w:tc>
        <w:tc>
          <w:tcPr>
            <w:tcW w:w="522" w:type="dxa"/>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lang w:eastAsia="zh-CN"/>
              </w:rPr>
            </w:pPr>
            <w:r>
              <w:rPr>
                <w:rFonts w:hint="eastAsia" w:ascii="宋体" w:hAnsi="宋体" w:eastAsia="仿宋" w:cs="宋体"/>
                <w:szCs w:val="21"/>
                <w:lang w:val="en-US" w:eastAsia="zh-CN"/>
              </w:rPr>
              <w:t>2</w:t>
            </w:r>
          </w:p>
        </w:tc>
        <w:tc>
          <w:tcPr>
            <w:tcW w:w="1271" w:type="dxa"/>
            <w:tcBorders>
              <w:top w:val="single" w:color="auto" w:sz="4" w:space="0"/>
              <w:left w:val="single" w:color="auto" w:sz="4" w:space="0"/>
              <w:right w:val="single" w:color="auto" w:sz="4" w:space="0"/>
            </w:tcBorders>
            <w:vAlign w:val="center"/>
          </w:tcPr>
          <w:p>
            <w:pPr>
              <w:jc w:val="center"/>
              <w:rPr>
                <w:rFonts w:hint="eastAsia" w:ascii="仿宋" w:hAnsi="仿宋" w:cs="仿宋"/>
                <w:sz w:val="24"/>
                <w:szCs w:val="24"/>
              </w:rPr>
            </w:pPr>
            <w:r>
              <w:rPr>
                <w:rFonts w:hint="eastAsia" w:ascii="宋体" w:hAnsi="宋体" w:cs="宋体"/>
                <w:szCs w:val="21"/>
              </w:rPr>
              <w:t>拟安排的项目负责人情况（仅限一人）</w:t>
            </w:r>
          </w:p>
        </w:tc>
        <w:tc>
          <w:tcPr>
            <w:tcW w:w="705" w:type="dxa"/>
            <w:tcBorders>
              <w:top w:val="single" w:color="auto" w:sz="4" w:space="0"/>
              <w:left w:val="single" w:color="auto" w:sz="4" w:space="0"/>
              <w:right w:val="single" w:color="auto" w:sz="4" w:space="0"/>
            </w:tcBorders>
            <w:vAlign w:val="center"/>
          </w:tcPr>
          <w:p>
            <w:pPr>
              <w:jc w:val="center"/>
              <w:rPr>
                <w:rFonts w:hint="eastAsia" w:ascii="仿宋" w:hAnsi="仿宋" w:eastAsia="宋体" w:cs="仿宋"/>
                <w:sz w:val="24"/>
                <w:szCs w:val="24"/>
                <w:lang w:eastAsia="zh-CN"/>
              </w:rPr>
            </w:pPr>
            <w:r>
              <w:rPr>
                <w:rFonts w:hint="eastAsia" w:ascii="宋体" w:hAnsi="宋体" w:cs="宋体"/>
                <w:szCs w:val="21"/>
              </w:rPr>
              <w:t>1</w:t>
            </w:r>
            <w:r>
              <w:rPr>
                <w:rFonts w:hint="eastAsia" w:ascii="宋体" w:hAnsi="宋体" w:cs="宋体"/>
                <w:szCs w:val="21"/>
                <w:lang w:val="en-US" w:eastAsia="zh-CN"/>
              </w:rPr>
              <w:t>3</w:t>
            </w:r>
          </w:p>
        </w:tc>
        <w:tc>
          <w:tcPr>
            <w:tcW w:w="762" w:type="dxa"/>
            <w:gridSpan w:val="2"/>
            <w:tcBorders>
              <w:top w:val="single" w:color="auto" w:sz="4" w:space="0"/>
              <w:left w:val="single" w:color="auto" w:sz="4" w:space="0"/>
              <w:right w:val="single" w:color="auto" w:sz="4" w:space="0"/>
            </w:tcBorders>
            <w:vAlign w:val="center"/>
          </w:tcPr>
          <w:p>
            <w:pPr>
              <w:jc w:val="cente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Cs w:val="21"/>
              </w:rPr>
            </w:pPr>
            <w:r>
              <w:rPr>
                <w:rFonts w:hint="eastAsia" w:ascii="宋体" w:hAnsi="宋体" w:cs="宋体"/>
                <w:b/>
                <w:bCs/>
                <w:szCs w:val="21"/>
              </w:rPr>
              <w:t>（一）评分内容：</w:t>
            </w:r>
          </w:p>
          <w:p>
            <w:pPr>
              <w:adjustRightInd w:val="0"/>
              <w:snapToGrid w:val="0"/>
              <w:rPr>
                <w:rFonts w:hint="eastAsia" w:ascii="宋体" w:hAnsi="宋体" w:cs="宋体"/>
                <w:szCs w:val="21"/>
              </w:rPr>
            </w:pPr>
            <w:r>
              <w:rPr>
                <w:rFonts w:hint="eastAsia" w:ascii="宋体" w:hAnsi="宋体" w:cs="宋体"/>
                <w:szCs w:val="21"/>
              </w:rPr>
              <w:t>拟安排的项目负责人（仅限1人）需为投标人在职员工，提供社保证明，否则本项不得分。在此基础上：</w:t>
            </w:r>
          </w:p>
          <w:p>
            <w:pPr>
              <w:adjustRightInd w:val="0"/>
              <w:snapToGrid w:val="0"/>
              <w:rPr>
                <w:rFonts w:hint="eastAsia" w:ascii="宋体" w:hAnsi="宋体" w:cs="宋体"/>
                <w:szCs w:val="21"/>
              </w:rPr>
            </w:pPr>
            <w:r>
              <w:rPr>
                <w:rFonts w:hint="eastAsia" w:ascii="宋体" w:hAnsi="宋体" w:cs="宋体"/>
                <w:szCs w:val="21"/>
              </w:rPr>
              <w:t>（1）</w:t>
            </w:r>
            <w:r>
              <w:rPr>
                <w:rFonts w:hint="eastAsia" w:ascii="宋体" w:hAnsi="宋体"/>
                <w:szCs w:val="21"/>
              </w:rPr>
              <w:t>近5年内（2021年1月1日至招标公告发布之日止，以合同签订时间为准）担任过世界地质公园指南或管理办法编制，或世界地质公园申报、</w:t>
            </w:r>
            <w:r>
              <w:rPr>
                <w:rFonts w:hint="eastAsia" w:ascii="宋体" w:hAnsi="宋体"/>
                <w:szCs w:val="21"/>
                <w:lang w:val="en-US" w:eastAsia="zh-CN"/>
              </w:rPr>
              <w:t>再评估</w:t>
            </w:r>
            <w:r>
              <w:rPr>
                <w:rFonts w:hint="eastAsia" w:ascii="宋体" w:hAnsi="宋体"/>
                <w:szCs w:val="21"/>
              </w:rPr>
              <w:t>相关工作</w:t>
            </w:r>
            <w:r>
              <w:rPr>
                <w:rFonts w:hint="eastAsia" w:ascii="宋体" w:hAnsi="宋体" w:cs="宋体"/>
                <w:szCs w:val="21"/>
              </w:rPr>
              <w:t>的</w:t>
            </w:r>
            <w:r>
              <w:rPr>
                <w:rFonts w:hint="eastAsia" w:ascii="宋体" w:hAnsi="宋体"/>
                <w:szCs w:val="21"/>
              </w:rPr>
              <w:t>项目负责人的，</w:t>
            </w:r>
            <w:r>
              <w:rPr>
                <w:rFonts w:hint="eastAsia" w:ascii="宋体" w:hAnsi="宋体" w:cs="宋体"/>
                <w:szCs w:val="21"/>
              </w:rPr>
              <w:t>每提供一个得</w:t>
            </w:r>
            <w:r>
              <w:rPr>
                <w:rFonts w:hint="eastAsia" w:ascii="宋体" w:hAnsi="宋体" w:cs="宋体"/>
                <w:szCs w:val="21"/>
                <w:lang w:val="en-US" w:eastAsia="zh-CN"/>
              </w:rPr>
              <w:t>3</w:t>
            </w:r>
            <w:r>
              <w:rPr>
                <w:rFonts w:hint="eastAsia" w:ascii="宋体" w:hAnsi="宋体" w:cs="宋体"/>
                <w:szCs w:val="21"/>
              </w:rPr>
              <w:t>分，最高得</w:t>
            </w:r>
            <w:r>
              <w:rPr>
                <w:rFonts w:hint="eastAsia" w:ascii="宋体" w:hAnsi="宋体" w:cs="宋体"/>
                <w:szCs w:val="21"/>
                <w:lang w:val="en-US" w:eastAsia="zh-CN"/>
              </w:rPr>
              <w:t>9</w:t>
            </w:r>
            <w:r>
              <w:rPr>
                <w:rFonts w:hint="eastAsia" w:ascii="宋体" w:hAnsi="宋体" w:cs="宋体"/>
                <w:szCs w:val="21"/>
              </w:rPr>
              <w:t>分。</w:t>
            </w:r>
          </w:p>
          <w:p>
            <w:pPr>
              <w:widowControl/>
              <w:rPr>
                <w:rFonts w:hint="eastAsia" w:ascii="宋体" w:hAnsi="宋体"/>
                <w:szCs w:val="21"/>
              </w:rPr>
            </w:pPr>
            <w:r>
              <w:rPr>
                <w:rFonts w:hint="eastAsia" w:ascii="宋体" w:hAnsi="宋体" w:cs="宋体"/>
                <w:szCs w:val="21"/>
              </w:rPr>
              <w:t>（2）</w:t>
            </w:r>
            <w:r>
              <w:rPr>
                <w:rFonts w:hint="eastAsia" w:ascii="宋体" w:hAnsi="宋体"/>
                <w:szCs w:val="21"/>
              </w:rPr>
              <w:t>具</w:t>
            </w:r>
            <w:r>
              <w:rPr>
                <w:rFonts w:hint="eastAsia" w:ascii="宋体" w:hAnsi="宋体" w:cs="宋体"/>
                <w:szCs w:val="21"/>
              </w:rPr>
              <w:t>有</w:t>
            </w:r>
            <w:r>
              <w:rPr>
                <w:rFonts w:hint="eastAsia" w:ascii="宋体" w:hAnsi="宋体" w:cs="宋体"/>
                <w:szCs w:val="21"/>
                <w:lang w:eastAsia="zh-CN"/>
              </w:rPr>
              <w:t>地质学等相关专业</w:t>
            </w:r>
            <w:r>
              <w:rPr>
                <w:rFonts w:hint="eastAsia" w:ascii="宋体" w:hAnsi="宋体" w:cs="宋体"/>
                <w:szCs w:val="21"/>
              </w:rPr>
              <w:t>正高级职称，</w:t>
            </w:r>
            <w:r>
              <w:rPr>
                <w:rFonts w:hint="eastAsia" w:ascii="宋体" w:hAnsi="宋体"/>
                <w:szCs w:val="21"/>
              </w:rPr>
              <w:t>得4分，具有</w:t>
            </w:r>
            <w:r>
              <w:rPr>
                <w:rFonts w:hint="eastAsia" w:ascii="宋体" w:hAnsi="宋体" w:cs="宋体"/>
                <w:szCs w:val="21"/>
                <w:lang w:eastAsia="zh-CN"/>
              </w:rPr>
              <w:t>地质学等相关专业</w:t>
            </w:r>
            <w:r>
              <w:rPr>
                <w:rFonts w:hint="eastAsia" w:ascii="宋体" w:hAnsi="宋体"/>
                <w:szCs w:val="21"/>
              </w:rPr>
              <w:t>副高级职称，得2分。</w:t>
            </w:r>
          </w:p>
          <w:p>
            <w:pPr>
              <w:jc w:val="left"/>
              <w:rPr>
                <w:rFonts w:hint="eastAsia" w:ascii="宋体" w:hAnsi="宋体" w:cs="宋体"/>
                <w:szCs w:val="21"/>
              </w:rPr>
            </w:pPr>
            <w:r>
              <w:rPr>
                <w:rFonts w:hint="eastAsia" w:ascii="宋体" w:hAnsi="宋体" w:cs="宋体"/>
                <w:b/>
                <w:bCs/>
                <w:szCs w:val="21"/>
              </w:rPr>
              <w:t>（二）评分依据：</w:t>
            </w:r>
          </w:p>
          <w:p>
            <w:pPr>
              <w:jc w:val="left"/>
              <w:rPr>
                <w:rFonts w:hint="eastAsia" w:ascii="宋体" w:hAnsi="宋体" w:cs="宋体"/>
                <w:szCs w:val="21"/>
              </w:rPr>
            </w:pPr>
            <w:r>
              <w:rPr>
                <w:rFonts w:hint="eastAsia" w:ascii="宋体" w:hAnsi="宋体" w:cs="宋体"/>
                <w:szCs w:val="21"/>
              </w:rPr>
              <w:t>（1）要求提供通过投标人购买的近六个月社保缴费证明的加盖社保部门公章的个人社保证明资料和相关的学历证书作为得分依据。</w:t>
            </w:r>
          </w:p>
          <w:p>
            <w:pPr>
              <w:jc w:val="left"/>
              <w:rPr>
                <w:rFonts w:hint="eastAsia"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p>
            <w:pPr>
              <w:jc w:val="left"/>
              <w:rPr>
                <w:rFonts w:hint="eastAsia" w:ascii="宋体" w:hAnsi="宋体" w:cs="宋体"/>
                <w:szCs w:val="21"/>
              </w:rPr>
            </w:pPr>
            <w:r>
              <w:rPr>
                <w:rFonts w:hint="eastAsia" w:ascii="宋体" w:hAnsi="宋体" w:cs="宋体"/>
                <w:szCs w:val="21"/>
              </w:rPr>
              <w:t>（3）社保证明资料应当至少包含养老保险或医疗保险（补缴的社保不予计算)，证明资料可为社保收缴部门盖章证明资料、社保窗口打印资料或社保官网截图。如开标日上一个月的社保材料因社保部门原因暂时无法取得，则可以往前顺延一个月。如供应商为新成立企业且成立时间不足六个月可提供加盖公章的情况说明或者证明材料亦视为符合。</w:t>
            </w:r>
          </w:p>
          <w:p>
            <w:pPr>
              <w:jc w:val="left"/>
              <w:rPr>
                <w:rFonts w:hint="eastAsia" w:ascii="宋体" w:hAnsi="宋体" w:cs="宋体"/>
                <w:szCs w:val="21"/>
              </w:rPr>
            </w:pPr>
            <w:r>
              <w:rPr>
                <w:rFonts w:hint="eastAsia" w:ascii="宋体" w:hAnsi="宋体" w:cs="宋体"/>
                <w:szCs w:val="21"/>
              </w:rPr>
              <w:t>（4）如涉及考察人员工作经验，也需提供合同关键页作为得分依据（合同关键页包含但不限于服务内容、项目负责人名字页、合同盖章页）。通过合同关键信息无法判断是否得分的，还须同时提供合同甲方出具的证明文件。</w:t>
            </w:r>
          </w:p>
          <w:p>
            <w:pPr>
              <w:jc w:val="left"/>
              <w:rPr>
                <w:rFonts w:hint="eastAsia" w:ascii="仿宋" w:hAnsi="仿宋" w:cs="仿宋"/>
                <w:sz w:val="24"/>
                <w:szCs w:val="24"/>
              </w:rPr>
            </w:pPr>
            <w:r>
              <w:rPr>
                <w:rFonts w:hint="eastAsia" w:ascii="宋体" w:hAnsi="宋体" w:cs="宋体"/>
                <w:szCs w:val="21"/>
              </w:rPr>
              <w:t>（5）</w:t>
            </w:r>
            <w:r>
              <w:rPr>
                <w:rFonts w:hint="eastAsia" w:ascii="宋体" w:hAnsi="宋体" w:cs="宋体"/>
                <w:szCs w:val="21"/>
                <w:lang w:val="zh-CN"/>
              </w:rPr>
              <w:t>如涉及学历，要求提供证书扫描件以及学信网查询记录。对于较早颁发的学历学位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0" w:type="dxa"/>
            <w:vMerge w:val="continue"/>
            <w:tcBorders>
              <w:top w:val="nil"/>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vAlign w:val="center"/>
          </w:tcPr>
          <w:p>
            <w:pPr>
              <w:pStyle w:val="6"/>
              <w:tabs>
                <w:tab w:val="left" w:pos="562"/>
                <w:tab w:val="left" w:pos="3372"/>
                <w:tab w:val="left" w:pos="3653"/>
                <w:tab w:val="clear" w:pos="5760"/>
              </w:tabs>
              <w:rPr>
                <w:rFonts w:hint="eastAsia" w:ascii="仿宋" w:hAnsi="仿宋" w:eastAsia="仿宋" w:cs="仿宋"/>
                <w:sz w:val="24"/>
                <w:szCs w:val="24"/>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拟安排的项目团队成员情况</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12</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szCs w:val="21"/>
              </w:rPr>
            </w:pPr>
            <w:r>
              <w:rPr>
                <w:rFonts w:hint="eastAsia" w:ascii="宋体" w:hAnsi="宋体" w:cs="宋体"/>
                <w:b/>
                <w:bCs/>
                <w:szCs w:val="21"/>
              </w:rPr>
              <w:t>（一）评分内容：</w:t>
            </w:r>
          </w:p>
          <w:p>
            <w:pPr>
              <w:adjustRightInd w:val="0"/>
              <w:snapToGrid w:val="0"/>
              <w:rPr>
                <w:rFonts w:hint="eastAsia" w:ascii="宋体" w:hAnsi="宋体" w:cs="宋体"/>
                <w:szCs w:val="21"/>
              </w:rPr>
            </w:pPr>
            <w:r>
              <w:rPr>
                <w:rFonts w:hint="eastAsia" w:ascii="宋体" w:hAnsi="宋体" w:cs="宋体"/>
                <w:szCs w:val="21"/>
              </w:rPr>
              <w:t>拟安排的项目团队成员（除项目负责人）需为投标人在职员工，提供社保证明，否则本项不得分。在此基础上：</w:t>
            </w:r>
          </w:p>
          <w:p>
            <w:pPr>
              <w:adjustRightInd w:val="0"/>
              <w:snapToGrid w:val="0"/>
              <w:rPr>
                <w:rFonts w:hint="eastAsia" w:ascii="宋体" w:hAnsi="宋体" w:cs="宋体"/>
                <w:szCs w:val="21"/>
              </w:rPr>
            </w:pPr>
            <w:r>
              <w:rPr>
                <w:rFonts w:hint="eastAsia" w:ascii="宋体" w:hAnsi="宋体" w:cs="宋体"/>
                <w:szCs w:val="21"/>
              </w:rPr>
              <w:t>（1）</w:t>
            </w:r>
            <w:r>
              <w:rPr>
                <w:rFonts w:hint="eastAsia" w:ascii="宋体" w:hAnsi="宋体"/>
                <w:szCs w:val="21"/>
              </w:rPr>
              <w:t>近5年内（2021年1月1日至招标公告发布之日止</w:t>
            </w:r>
            <w:bookmarkStart w:id="8" w:name="_GoBack"/>
            <w:bookmarkEnd w:id="8"/>
            <w:r>
              <w:rPr>
                <w:rFonts w:hint="eastAsia" w:ascii="宋体" w:hAnsi="宋体"/>
                <w:szCs w:val="21"/>
              </w:rPr>
              <w:t>，以合同签订时间为准）参与世界地质公园指南或管理办法编制，或参与世界地质公园申报、</w:t>
            </w:r>
            <w:r>
              <w:rPr>
                <w:rFonts w:hint="eastAsia" w:ascii="宋体" w:hAnsi="宋体"/>
                <w:szCs w:val="21"/>
                <w:lang w:val="en-US" w:eastAsia="zh-CN"/>
              </w:rPr>
              <w:t>再评估</w:t>
            </w:r>
            <w:r>
              <w:rPr>
                <w:rFonts w:hint="eastAsia" w:ascii="宋体" w:hAnsi="宋体"/>
                <w:szCs w:val="21"/>
              </w:rPr>
              <w:t>相关工作的，</w:t>
            </w:r>
            <w:r>
              <w:rPr>
                <w:rFonts w:hint="eastAsia" w:ascii="宋体" w:hAnsi="宋体" w:cs="宋体"/>
                <w:szCs w:val="21"/>
              </w:rPr>
              <w:t>每提供一个得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8</w:t>
            </w:r>
            <w:r>
              <w:rPr>
                <w:rFonts w:hint="eastAsia" w:ascii="宋体" w:hAnsi="宋体" w:cs="宋体"/>
                <w:szCs w:val="21"/>
              </w:rPr>
              <w:t>分。</w:t>
            </w:r>
          </w:p>
          <w:p>
            <w:pPr>
              <w:adjustRightInd w:val="0"/>
              <w:snapToGrid w:val="0"/>
              <w:rPr>
                <w:rFonts w:hint="eastAsia" w:ascii="宋体" w:hAnsi="宋体"/>
                <w:szCs w:val="21"/>
              </w:rPr>
            </w:pPr>
            <w:r>
              <w:rPr>
                <w:rFonts w:hint="eastAsia" w:ascii="宋体" w:hAnsi="宋体"/>
                <w:szCs w:val="21"/>
              </w:rPr>
              <w:t>（2）具有地质学等相关专业副高级职称，每提供一个得2分，具有地质学等相关专业</w:t>
            </w:r>
            <w:r>
              <w:rPr>
                <w:rFonts w:hint="eastAsia" w:ascii="宋体" w:hAnsi="宋体"/>
                <w:szCs w:val="21"/>
                <w:lang w:eastAsia="zh-CN"/>
              </w:rPr>
              <w:t>中</w:t>
            </w:r>
            <w:r>
              <w:rPr>
                <w:rFonts w:hint="eastAsia" w:ascii="宋体" w:hAnsi="宋体"/>
                <w:szCs w:val="21"/>
              </w:rPr>
              <w:t>级职称，每提供一个得</w:t>
            </w:r>
            <w:r>
              <w:rPr>
                <w:rFonts w:hint="eastAsia" w:ascii="宋体" w:hAnsi="宋体"/>
                <w:szCs w:val="21"/>
                <w:lang w:val="en-US" w:eastAsia="zh-CN"/>
              </w:rPr>
              <w:t>1</w:t>
            </w:r>
            <w:r>
              <w:rPr>
                <w:rFonts w:hint="eastAsia" w:ascii="宋体" w:hAnsi="宋体"/>
                <w:szCs w:val="21"/>
              </w:rPr>
              <w:t>分，最高得4分。</w:t>
            </w:r>
          </w:p>
          <w:p>
            <w:pPr>
              <w:jc w:val="left"/>
              <w:rPr>
                <w:rFonts w:hint="eastAsia" w:ascii="宋体" w:hAnsi="宋体" w:cs="宋体"/>
                <w:szCs w:val="21"/>
              </w:rPr>
            </w:pPr>
            <w:r>
              <w:rPr>
                <w:rFonts w:hint="eastAsia" w:ascii="宋体" w:hAnsi="宋体" w:cs="宋体"/>
                <w:b/>
                <w:bCs/>
                <w:szCs w:val="21"/>
              </w:rPr>
              <w:t>（二）评分依据：</w:t>
            </w:r>
          </w:p>
          <w:p>
            <w:pPr>
              <w:jc w:val="left"/>
              <w:rPr>
                <w:rFonts w:hint="eastAsia" w:ascii="宋体" w:hAnsi="宋体" w:cs="宋体"/>
                <w:szCs w:val="21"/>
              </w:rPr>
            </w:pPr>
            <w:r>
              <w:rPr>
                <w:rFonts w:hint="eastAsia" w:ascii="宋体" w:hAnsi="宋体" w:cs="宋体"/>
                <w:szCs w:val="21"/>
              </w:rPr>
              <w:t>（1）要求提供通过投标人购买的近六个月社保缴费证明的加盖社保部门公章的个人社保证明资料和相关的学历证书作为得分依据。</w:t>
            </w:r>
          </w:p>
          <w:p>
            <w:pPr>
              <w:jc w:val="left"/>
              <w:rPr>
                <w:rFonts w:hint="eastAsia"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p>
            <w:pPr>
              <w:jc w:val="left"/>
              <w:rPr>
                <w:rFonts w:hint="eastAsia" w:ascii="宋体" w:hAnsi="宋体" w:cs="宋体"/>
                <w:szCs w:val="21"/>
              </w:rPr>
            </w:pPr>
            <w:r>
              <w:rPr>
                <w:rFonts w:hint="eastAsia" w:ascii="宋体" w:hAnsi="宋体" w:cs="宋体"/>
                <w:szCs w:val="21"/>
              </w:rPr>
              <w:t>（3）社保证明资料应当至少包含养老保险或医疗保险（补缴的社保不予计算)，证明资料可为社保收缴部门盖章证明资料、社保窗口打印资料或社保官网截图。如开标日上一个月的社保材料因社保部门原因暂时无法取得，则可以往前顺延一个月。如供应商为新成立企业且成立时间不足六个月可提供加盖公章的情况说明或者证明材料亦视为符合。</w:t>
            </w:r>
          </w:p>
          <w:p>
            <w:pPr>
              <w:jc w:val="left"/>
              <w:rPr>
                <w:rFonts w:hint="eastAsia" w:ascii="宋体" w:hAnsi="宋体" w:cs="宋体"/>
                <w:szCs w:val="21"/>
              </w:rPr>
            </w:pPr>
            <w:r>
              <w:rPr>
                <w:rFonts w:hint="eastAsia" w:ascii="宋体" w:hAnsi="宋体" w:cs="宋体"/>
                <w:szCs w:val="21"/>
              </w:rPr>
              <w:t>（4）如涉及考察人员工作经验，也需提供合同关键页作为得分依据（合同关键页包含但不限于服务内容、项目负责人名字页、合同盖章页）。通过合同关键信息无法判断是否得分的，还须同时提供合同甲方出具的证明文件。</w:t>
            </w:r>
          </w:p>
          <w:p>
            <w:pPr>
              <w:jc w:val="left"/>
              <w:rPr>
                <w:rFonts w:hint="eastAsia" w:ascii="宋体" w:hAnsi="宋体" w:cs="宋体"/>
                <w:szCs w:val="21"/>
              </w:rPr>
            </w:pPr>
            <w:r>
              <w:rPr>
                <w:rFonts w:hint="eastAsia" w:ascii="宋体" w:hAnsi="宋体" w:cs="宋体"/>
                <w:szCs w:val="21"/>
              </w:rPr>
              <w:t>（5）</w:t>
            </w:r>
            <w:r>
              <w:rPr>
                <w:rFonts w:hint="eastAsia" w:ascii="宋体" w:hAnsi="宋体" w:cs="宋体"/>
                <w:szCs w:val="21"/>
                <w:lang w:val="zh-CN"/>
              </w:rPr>
              <w:t>如涉及学历，要求提供证书扫描件以及学信网查询记录。对于较早颁发的学历学位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60" w:type="dxa"/>
            <w:vMerge w:val="continue"/>
            <w:tcBorders>
              <w:top w:val="nil"/>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vAlign w:val="center"/>
          </w:tcPr>
          <w:p>
            <w:pPr>
              <w:pStyle w:val="6"/>
              <w:tabs>
                <w:tab w:val="left" w:pos="562"/>
                <w:tab w:val="left" w:pos="3372"/>
                <w:tab w:val="left" w:pos="3653"/>
                <w:tab w:val="clear" w:pos="5760"/>
              </w:tabs>
              <w:rPr>
                <w:rFonts w:hint="eastAsia" w:ascii="仿宋" w:hAnsi="仿宋" w:eastAsia="仿宋" w:cs="仿宋"/>
                <w:sz w:val="24"/>
                <w:szCs w:val="24"/>
              </w:rPr>
            </w:pPr>
          </w:p>
        </w:tc>
        <w:tc>
          <w:tcPr>
            <w:tcW w:w="3260" w:type="dxa"/>
            <w:gridSpan w:val="5"/>
            <w:tcBorders>
              <w:top w:val="single" w:color="auto" w:sz="4" w:space="0"/>
              <w:left w:val="single" w:color="auto" w:sz="4" w:space="0"/>
              <w:right w:val="single" w:color="auto" w:sz="4" w:space="0"/>
            </w:tcBorders>
            <w:vAlign w:val="center"/>
          </w:tcPr>
          <w:p>
            <w:pPr>
              <w:jc w:val="center"/>
            </w:pPr>
            <w:r>
              <w:rPr>
                <w:rFonts w:hint="eastAsia"/>
              </w:rPr>
              <w:t>价格部分</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0" w:type="dxa"/>
            <w:vMerge w:val="continue"/>
            <w:tcBorders>
              <w:top w:val="nil"/>
              <w:left w:val="single" w:color="auto" w:sz="4" w:space="0"/>
              <w:right w:val="single" w:color="auto" w:sz="4" w:space="0"/>
            </w:tcBorders>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vAlign w:val="center"/>
          </w:tcPr>
          <w:p>
            <w:pPr>
              <w:pStyle w:val="6"/>
              <w:tabs>
                <w:tab w:val="left" w:pos="562"/>
                <w:tab w:val="left" w:pos="3372"/>
                <w:tab w:val="left" w:pos="3653"/>
                <w:tab w:val="clear" w:pos="5760"/>
              </w:tabs>
              <w:rPr>
                <w:rFonts w:hint="eastAsia" w:ascii="仿宋" w:hAnsi="仿宋" w:eastAsia="仿宋" w:cs="仿宋"/>
                <w:sz w:val="24"/>
                <w:szCs w:val="24"/>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cs="仿宋"/>
                <w:sz w:val="24"/>
                <w:szCs w:val="24"/>
              </w:rPr>
            </w:pPr>
            <w:r>
              <w:rPr>
                <w:rFonts w:hint="eastAsia" w:ascii="宋体" w:hAnsi="宋体" w:cs="宋体"/>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cs="仿宋"/>
                <w:sz w:val="24"/>
                <w:szCs w:val="24"/>
              </w:rPr>
            </w:pPr>
            <w:r>
              <w:rPr>
                <w:rFonts w:hint="eastAsia" w:ascii="宋体" w:hAnsi="宋体" w:cs="宋体"/>
                <w:szCs w:val="21"/>
              </w:rPr>
              <w:t>投标报价</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cs="仿宋"/>
                <w:sz w:val="24"/>
                <w:szCs w:val="24"/>
              </w:rPr>
            </w:pPr>
            <w:r>
              <w:rPr>
                <w:rFonts w:hint="eastAsia" w:ascii="宋体" w:hAnsi="宋体" w:cs="宋体"/>
                <w:szCs w:val="21"/>
              </w:rPr>
              <w:t>10</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zCs w:val="21"/>
                <w:lang w:val="en-US" w:eastAsia="zh-CN"/>
              </w:rPr>
              <w:t>评标小组</w:t>
            </w:r>
            <w:r>
              <w:rPr>
                <w:rFonts w:hint="eastAsia" w:ascii="宋体" w:hAnsi="宋体" w:cs="宋体"/>
                <w:szCs w:val="21"/>
              </w:rPr>
              <w:t>打分</w:t>
            </w:r>
          </w:p>
        </w:tc>
        <w:tc>
          <w:tcPr>
            <w:tcW w:w="3050" w:type="dxa"/>
            <w:gridSpan w:val="2"/>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szCs w:val="21"/>
                <w:lang w:val="zh-CN"/>
              </w:rPr>
            </w:pPr>
            <w:r>
              <w:rPr>
                <w:rFonts w:hint="eastAsia" w:ascii="宋体" w:hAnsi="宋体" w:cs="宋体"/>
                <w:szCs w:val="21"/>
                <w:lang w:val="zh-CN"/>
              </w:rPr>
              <w:t>以满足招标文件要求且投标价格最低的评标价为基准价，其价格分为满分。其他投标人的价格分按照下列公式计算：</w:t>
            </w:r>
          </w:p>
          <w:p>
            <w:pPr>
              <w:spacing w:line="400" w:lineRule="exact"/>
              <w:rPr>
                <w:rFonts w:hint="eastAsia" w:ascii="宋体" w:hAnsi="宋体" w:cs="宋体"/>
                <w:szCs w:val="21"/>
                <w:lang w:val="zh-CN"/>
              </w:rPr>
            </w:pPr>
            <w:r>
              <w:rPr>
                <w:rFonts w:hint="eastAsia" w:ascii="宋体" w:hAnsi="宋体" w:cs="宋体"/>
                <w:szCs w:val="21"/>
                <w:lang w:val="zh-CN"/>
              </w:rPr>
              <w:t>投标报价得分 = (评标基准价 / 投标报价) × 10</w:t>
            </w:r>
          </w:p>
        </w:tc>
      </w:tr>
    </w:tbl>
    <w:p>
      <w:pPr>
        <w:pStyle w:val="2"/>
        <w:rPr>
          <w:rFonts w:hint="default" w:eastAsia="仿宋"/>
          <w:lang w:val="en-US" w:eastAsia="zh-CN"/>
        </w:rPr>
      </w:pPr>
      <w:r>
        <w:rPr>
          <w:rFonts w:hint="eastAsia" w:ascii="仿宋" w:hAnsi="仿宋" w:eastAsia="仿宋" w:cs="仿宋"/>
          <w:bCs/>
          <w:sz w:val="24"/>
          <w:szCs w:val="24"/>
        </w:rPr>
        <w:t>注：1、</w:t>
      </w:r>
      <w:r>
        <w:rPr>
          <w:rFonts w:hint="eastAsia" w:ascii="仿宋" w:hAnsi="仿宋" w:eastAsia="仿宋" w:cs="仿宋"/>
          <w:bCs/>
          <w:sz w:val="24"/>
          <w:szCs w:val="24"/>
          <w:lang w:val="en-US" w:eastAsia="zh-CN"/>
        </w:rPr>
        <w:t>本表中的“地质学相关专业”主要指地质矿产勘查专业、水工环地质专业、物探及遥感专业、地球化学勘查专业、矿物学、岩石学、矿床学专业、古生物学与地层学专业、构造地质学、第四纪地质学。</w:t>
      </w:r>
    </w:p>
    <w:p>
      <w:pPr>
        <w:pStyle w:val="2"/>
        <w:rPr>
          <w:rFonts w:hint="eastAsia" w:eastAsia="仿宋"/>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H Yb 2gj">
    <w:altName w:val="华文中宋"/>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D6FAC"/>
    <w:multiLevelType w:val="singleLevel"/>
    <w:tmpl w:val="235D6F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kYjdiZDYzNzMzMjJhMmFhODU5NTgyZGNmOTdhZGIifQ=="/>
  </w:docVars>
  <w:rsids>
    <w:rsidRoot w:val="77A5356E"/>
    <w:rsid w:val="00137572"/>
    <w:rsid w:val="00147275"/>
    <w:rsid w:val="0018634C"/>
    <w:rsid w:val="0022723C"/>
    <w:rsid w:val="005412E4"/>
    <w:rsid w:val="00607929"/>
    <w:rsid w:val="006B5BEE"/>
    <w:rsid w:val="00706594"/>
    <w:rsid w:val="0081502D"/>
    <w:rsid w:val="009009B0"/>
    <w:rsid w:val="00934A06"/>
    <w:rsid w:val="009863F8"/>
    <w:rsid w:val="009C1584"/>
    <w:rsid w:val="00A90A0A"/>
    <w:rsid w:val="00B95485"/>
    <w:rsid w:val="00BB4DC9"/>
    <w:rsid w:val="00BD407B"/>
    <w:rsid w:val="00CA79F7"/>
    <w:rsid w:val="00D6478A"/>
    <w:rsid w:val="00DE7AA2"/>
    <w:rsid w:val="00E56A1E"/>
    <w:rsid w:val="00F50014"/>
    <w:rsid w:val="01FB54FA"/>
    <w:rsid w:val="036D4ECF"/>
    <w:rsid w:val="0447466E"/>
    <w:rsid w:val="083245C7"/>
    <w:rsid w:val="08A35F4F"/>
    <w:rsid w:val="0BFB9C7B"/>
    <w:rsid w:val="0DF20C02"/>
    <w:rsid w:val="0E5C10AD"/>
    <w:rsid w:val="108503E1"/>
    <w:rsid w:val="15017774"/>
    <w:rsid w:val="167F0A20"/>
    <w:rsid w:val="19BE68BB"/>
    <w:rsid w:val="1ABC07B5"/>
    <w:rsid w:val="1BBAE535"/>
    <w:rsid w:val="1FBBEA06"/>
    <w:rsid w:val="23096AE5"/>
    <w:rsid w:val="23DE086F"/>
    <w:rsid w:val="267F5893"/>
    <w:rsid w:val="2691687E"/>
    <w:rsid w:val="29872924"/>
    <w:rsid w:val="2B975252"/>
    <w:rsid w:val="32C07E31"/>
    <w:rsid w:val="349C4010"/>
    <w:rsid w:val="34CB6157"/>
    <w:rsid w:val="34D82D21"/>
    <w:rsid w:val="38347C63"/>
    <w:rsid w:val="3A051B69"/>
    <w:rsid w:val="3A4122C4"/>
    <w:rsid w:val="3AA34C52"/>
    <w:rsid w:val="3C1331C0"/>
    <w:rsid w:val="3CDD6D36"/>
    <w:rsid w:val="3CF50179"/>
    <w:rsid w:val="3DF7C4C9"/>
    <w:rsid w:val="3E326285"/>
    <w:rsid w:val="3E7B5B7D"/>
    <w:rsid w:val="3F6D358B"/>
    <w:rsid w:val="3FCBB14C"/>
    <w:rsid w:val="428F0832"/>
    <w:rsid w:val="44916549"/>
    <w:rsid w:val="45A924E1"/>
    <w:rsid w:val="47895EC6"/>
    <w:rsid w:val="4B406A1D"/>
    <w:rsid w:val="4C3A3129"/>
    <w:rsid w:val="4C735654"/>
    <w:rsid w:val="4E5122CF"/>
    <w:rsid w:val="4F768D7F"/>
    <w:rsid w:val="50AA5B7B"/>
    <w:rsid w:val="511315C6"/>
    <w:rsid w:val="53A3660B"/>
    <w:rsid w:val="54EA70A4"/>
    <w:rsid w:val="55BE87B0"/>
    <w:rsid w:val="566C50E8"/>
    <w:rsid w:val="57E83B3D"/>
    <w:rsid w:val="57FFDDBD"/>
    <w:rsid w:val="59023425"/>
    <w:rsid w:val="5CBA20E3"/>
    <w:rsid w:val="5DB85148"/>
    <w:rsid w:val="5FF614E7"/>
    <w:rsid w:val="660A2516"/>
    <w:rsid w:val="688651C2"/>
    <w:rsid w:val="69022397"/>
    <w:rsid w:val="6CFF5458"/>
    <w:rsid w:val="6E066880"/>
    <w:rsid w:val="6E0B025C"/>
    <w:rsid w:val="6F17C550"/>
    <w:rsid w:val="6F267C1F"/>
    <w:rsid w:val="70F86E31"/>
    <w:rsid w:val="72E80E3F"/>
    <w:rsid w:val="763FACD3"/>
    <w:rsid w:val="7699A2D9"/>
    <w:rsid w:val="77A5356E"/>
    <w:rsid w:val="77F94183"/>
    <w:rsid w:val="79453E7B"/>
    <w:rsid w:val="7AF143B5"/>
    <w:rsid w:val="7B412C78"/>
    <w:rsid w:val="7CFDD94C"/>
    <w:rsid w:val="7D73D49B"/>
    <w:rsid w:val="7DBB1E99"/>
    <w:rsid w:val="7DFB98A7"/>
    <w:rsid w:val="7DFFF87F"/>
    <w:rsid w:val="7EAD236D"/>
    <w:rsid w:val="7EE60311"/>
    <w:rsid w:val="7EE94529"/>
    <w:rsid w:val="7F0145F9"/>
    <w:rsid w:val="7FEDD46B"/>
    <w:rsid w:val="88B7CC44"/>
    <w:rsid w:val="8CE38A43"/>
    <w:rsid w:val="8FEF755C"/>
    <w:rsid w:val="BDFF3433"/>
    <w:rsid w:val="BED25CE7"/>
    <w:rsid w:val="BFDD16CA"/>
    <w:rsid w:val="BFF9BD9B"/>
    <w:rsid w:val="C6F76418"/>
    <w:rsid w:val="CD4F25D6"/>
    <w:rsid w:val="CEEF9711"/>
    <w:rsid w:val="D5DEFFB9"/>
    <w:rsid w:val="D6D602F9"/>
    <w:rsid w:val="D7BFFBFC"/>
    <w:rsid w:val="DBDD8C9B"/>
    <w:rsid w:val="DF53073E"/>
    <w:rsid w:val="DFFF2E8F"/>
    <w:rsid w:val="E9FF99C3"/>
    <w:rsid w:val="EED7596E"/>
    <w:rsid w:val="EFFFEEF4"/>
    <w:rsid w:val="F5F759E0"/>
    <w:rsid w:val="FBA4C6A6"/>
    <w:rsid w:val="FBDBCA41"/>
    <w:rsid w:val="FF1FF165"/>
    <w:rsid w:val="FFE1A7E5"/>
    <w:rsid w:val="FFEFC51E"/>
    <w:rsid w:val="FFF9777E"/>
    <w:rsid w:val="FFFF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7"/>
    <w:qFormat/>
    <w:uiPriority w:val="0"/>
    <w:pPr>
      <w:keepNext/>
      <w:keepLines/>
      <w:spacing w:before="340" w:after="330" w:line="576" w:lineRule="auto"/>
      <w:outlineLvl w:val="0"/>
    </w:pPr>
    <w:rPr>
      <w:b/>
      <w:bCs/>
      <w:kern w:val="44"/>
      <w:sz w:val="44"/>
      <w:szCs w:val="44"/>
    </w:rPr>
  </w:style>
  <w:style w:type="paragraph" w:styleId="4">
    <w:name w:val="heading 4"/>
    <w:basedOn w:val="1"/>
    <w:next w:val="1"/>
    <w:link w:val="1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5">
    <w:name w:val="Normal Indent"/>
    <w:basedOn w:val="1"/>
    <w:next w:val="6"/>
    <w:qFormat/>
    <w:uiPriority w:val="0"/>
    <w:pPr>
      <w:ind w:firstLine="420" w:firstLineChars="200"/>
    </w:pPr>
    <w:rPr>
      <w:szCs w:val="24"/>
    </w:rPr>
  </w:style>
  <w:style w:type="paragraph" w:styleId="6">
    <w:name w:val="Body Text"/>
    <w:basedOn w:val="1"/>
    <w:next w:val="7"/>
    <w:qFormat/>
    <w:uiPriority w:val="0"/>
    <w:pPr>
      <w:tabs>
        <w:tab w:val="left" w:pos="5760"/>
      </w:tabs>
    </w:pPr>
    <w:rPr>
      <w:rFonts w:ascii="宋体" w:hAnsi="宋体"/>
      <w:sz w:val="28"/>
      <w:szCs w:val="20"/>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8">
    <w:name w:val="annotation text"/>
    <w:basedOn w:val="1"/>
    <w:qFormat/>
    <w:uiPriority w:val="0"/>
    <w:pPr>
      <w:jc w:val="left"/>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tabs>
        <w:tab w:val="center" w:pos="4153"/>
        <w:tab w:val="right" w:pos="8306"/>
      </w:tabs>
      <w:snapToGrid w:val="0"/>
      <w:jc w:val="center"/>
    </w:pPr>
    <w:rPr>
      <w:sz w:val="18"/>
      <w:szCs w:val="18"/>
    </w:rPr>
  </w:style>
  <w:style w:type="paragraph" w:styleId="11">
    <w:name w:val="Body Text 2"/>
    <w:basedOn w:val="1"/>
    <w:qFormat/>
    <w:uiPriority w:val="0"/>
    <w:pPr>
      <w:spacing w:line="360" w:lineRule="auto"/>
    </w:pPr>
    <w:rPr>
      <w:sz w:val="24"/>
    </w:rPr>
  </w:style>
  <w:style w:type="paragraph" w:styleId="12">
    <w:name w:val="Normal (Web)"/>
    <w:basedOn w:val="1"/>
    <w:qFormat/>
    <w:uiPriority w:val="0"/>
    <w:rPr>
      <w:sz w:val="24"/>
    </w:rPr>
  </w:style>
  <w:style w:type="character" w:styleId="15">
    <w:name w:val="Strong"/>
    <w:basedOn w:val="14"/>
    <w:qFormat/>
    <w:uiPriority w:val="0"/>
    <w:rPr>
      <w:b/>
    </w:rPr>
  </w:style>
  <w:style w:type="paragraph" w:styleId="16">
    <w:name w:val="List Paragraph"/>
    <w:basedOn w:val="1"/>
    <w:qFormat/>
    <w:uiPriority w:val="34"/>
    <w:pPr>
      <w:ind w:firstLine="420" w:firstLineChars="200"/>
    </w:pPr>
    <w:rPr>
      <w:rFonts w:ascii="Times New Roman" w:hAnsi="Times New Roman"/>
    </w:rPr>
  </w:style>
  <w:style w:type="character" w:customStyle="1" w:styleId="17">
    <w:name w:val="标题 1 字符"/>
    <w:link w:val="3"/>
    <w:qFormat/>
    <w:uiPriority w:val="0"/>
    <w:rPr>
      <w:b/>
      <w:bCs/>
      <w:kern w:val="44"/>
      <w:sz w:val="44"/>
      <w:szCs w:val="44"/>
    </w:rPr>
  </w:style>
  <w:style w:type="paragraph" w:customStyle="1" w:styleId="18">
    <w:name w:val="修订1"/>
    <w:hidden/>
    <w:unhideWhenUsed/>
    <w:qFormat/>
    <w:uiPriority w:val="99"/>
    <w:rPr>
      <w:rFonts w:ascii="Calibri" w:hAnsi="Calibri" w:eastAsia="宋体" w:cs="Times New Roman"/>
      <w:kern w:val="2"/>
      <w:sz w:val="21"/>
      <w:szCs w:val="22"/>
      <w:lang w:val="en-US" w:eastAsia="zh-CN" w:bidi="ar-SA"/>
    </w:rPr>
  </w:style>
  <w:style w:type="character" w:customStyle="1" w:styleId="19">
    <w:name w:val="标题 4 字符"/>
    <w:basedOn w:val="14"/>
    <w:link w:val="4"/>
    <w:semiHidden/>
    <w:qFormat/>
    <w:uiPriority w:val="0"/>
    <w:rPr>
      <w:rFonts w:asciiTheme="majorHAnsi" w:hAnsiTheme="majorHAnsi" w:eastAsiaTheme="majorEastAsia" w:cstheme="majorBidi"/>
      <w:b/>
      <w:bCs/>
      <w:kern w:val="2"/>
      <w:sz w:val="28"/>
      <w:szCs w:val="28"/>
    </w:rPr>
  </w:style>
  <w:style w:type="character" w:customStyle="1" w:styleId="20">
    <w:name w:val="页眉 字符"/>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C0C0D-CDDB-4435-BA9F-17252FEC425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4749</Words>
  <Characters>4876</Characters>
  <Lines>355</Lines>
  <Paragraphs>267</Paragraphs>
  <TotalTime>0</TotalTime>
  <ScaleCrop>false</ScaleCrop>
  <LinksUpToDate>false</LinksUpToDate>
  <CharactersWithSpaces>4884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2025-11-18T15:26:00Z</dcterms:created>
  <dc:creator>admin</dc:creator>
  <cp:lastModifiedBy>Admin</cp:lastModifiedBy>
  <cp:lastPrinted>2025-11-20T13:16:00Z</cp:lastPrinted>
  <dcterms:modified xsi:type="dcterms:W3CDTF">2025-11-24T16:30:10Z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DB38CF4D15F148D7BDD24EF3711FB108_13</vt:lpwstr>
  </property>
  <property fmtid="{D5CDD505-2E9C-101B-9397-08002B2CF9AE}" pid="4" name="KSOTemplateDocerSaveRecord">
    <vt:lpwstr>eyJoZGlkIjoiZGFmMGNmN2FiNjU2ZmYxOTkwNGFlZDRlZTcyZjIzYmUiLCJ1c2VySWQiOiIxNTk0MTIyNDM4In0=</vt:lpwstr>
  </property>
</Properties>
</file>