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pageBreakBefore w:val="0"/>
        <w:widowControl w:val="0"/>
        <w:kinsoku/>
        <w:wordWrap/>
        <w:overflowPunct/>
        <w:topLinePunct w:val="0"/>
        <w:autoSpaceDE/>
        <w:autoSpaceDN/>
        <w:bidi w:val="0"/>
        <w:adjustRightInd/>
        <w:spacing w:before="0" w:after="0" w:line="560" w:lineRule="exact"/>
        <w:textAlignment w:val="auto"/>
        <w:rPr>
          <w:rFonts w:hint="eastAsia" w:ascii="方正小标宋简体" w:hAnsi="方正小标宋简体" w:eastAsia="方正小标宋简体" w:cs="方正小标宋简体"/>
          <w:b w:val="0"/>
          <w:bCs w:val="0"/>
          <w:sz w:val="44"/>
          <w:szCs w:val="44"/>
          <w:lang w:val="en-AU"/>
        </w:rPr>
      </w:pPr>
      <w:r>
        <w:rPr>
          <w:rFonts w:hint="eastAsia" w:ascii="方正小标宋简体" w:hAnsi="方正小标宋简体" w:eastAsia="方正小标宋简体" w:cs="方正小标宋简体"/>
          <w:b w:val="0"/>
          <w:bCs w:val="0"/>
          <w:sz w:val="44"/>
          <w:szCs w:val="44"/>
          <w:lang w:val="en-AU"/>
        </w:rPr>
        <w:t>福田区十种非国家</w:t>
      </w:r>
      <w:r>
        <w:rPr>
          <w:rFonts w:hint="eastAsia" w:ascii="方正小标宋简体" w:hAnsi="方正小标宋简体" w:eastAsia="方正小标宋简体" w:cs="方正小标宋简体"/>
          <w:b w:val="0"/>
          <w:bCs w:val="0"/>
          <w:sz w:val="44"/>
          <w:szCs w:val="44"/>
        </w:rPr>
        <w:t>重点</w:t>
      </w:r>
      <w:r>
        <w:rPr>
          <w:rFonts w:hint="eastAsia" w:ascii="方正小标宋简体" w:hAnsi="方正小标宋简体" w:eastAsia="方正小标宋简体" w:cs="方正小标宋简体"/>
          <w:b w:val="0"/>
          <w:bCs w:val="0"/>
          <w:sz w:val="44"/>
          <w:szCs w:val="44"/>
          <w:lang w:val="en-AU"/>
        </w:rPr>
        <w:t>保护野生动物猎捕</w:t>
      </w:r>
    </w:p>
    <w:p>
      <w:pPr>
        <w:pStyle w:val="9"/>
        <w:pageBreakBefore w:val="0"/>
        <w:widowControl w:val="0"/>
        <w:kinsoku/>
        <w:wordWrap/>
        <w:overflowPunct/>
        <w:topLinePunct w:val="0"/>
        <w:autoSpaceDE/>
        <w:autoSpaceDN/>
        <w:bidi w:val="0"/>
        <w:adjustRightInd/>
        <w:spacing w:before="0" w:after="0" w:line="560" w:lineRule="exact"/>
        <w:textAlignment w:val="auto"/>
        <w:rPr>
          <w:rFonts w:hint="eastAsia" w:ascii="方正小标宋简体" w:hAnsi="方正小标宋简体" w:eastAsia="方正小标宋简体" w:cs="方正小标宋简体"/>
          <w:b w:val="0"/>
          <w:bCs w:val="0"/>
          <w:sz w:val="44"/>
          <w:szCs w:val="44"/>
          <w:lang w:val="en-AU"/>
        </w:rPr>
      </w:pPr>
      <w:r>
        <w:rPr>
          <w:rFonts w:hint="eastAsia" w:ascii="方正小标宋简体" w:hAnsi="方正小标宋简体" w:eastAsia="方正小标宋简体" w:cs="方正小标宋简体"/>
          <w:b w:val="0"/>
          <w:bCs w:val="0"/>
          <w:sz w:val="44"/>
          <w:szCs w:val="44"/>
          <w:lang w:val="en-AU"/>
        </w:rPr>
        <w:t>实施方案</w:t>
      </w:r>
    </w:p>
    <w:p>
      <w:pPr>
        <w:pageBreakBefore w:val="0"/>
        <w:widowControl w:val="0"/>
        <w:kinsoku/>
        <w:wordWrap/>
        <w:overflowPunct/>
        <w:topLinePunct w:val="0"/>
        <w:autoSpaceDE/>
        <w:autoSpaceDN/>
        <w:bidi w:val="0"/>
        <w:adjustRightInd/>
        <w:spacing w:after="0" w:line="560" w:lineRule="exact"/>
        <w:ind w:firstLine="480" w:firstLineChars="200"/>
        <w:textAlignment w:val="auto"/>
        <w:rPr>
          <w:rFonts w:hint="eastAsia" w:ascii="宋体" w:hAnsi="宋体"/>
          <w:lang w:val="en-AU"/>
        </w:rPr>
      </w:pPr>
      <w:r>
        <w:rPr>
          <w:rFonts w:ascii="Songti SC" w:hAnsi="Songti SC"/>
          <w:lang w:val="en-AU"/>
        </w:rPr>
        <w:tab/>
      </w:r>
    </w:p>
    <w:p>
      <w:pPr>
        <w:pStyle w:val="2"/>
        <w:pageBreakBefore w:val="0"/>
        <w:widowControl w:val="0"/>
        <w:numPr>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sz w:val="32"/>
          <w:szCs w:val="32"/>
          <w:lang w:val="en-AU"/>
        </w:rPr>
      </w:pPr>
      <w:r>
        <w:rPr>
          <w:rFonts w:hint="eastAsia" w:ascii="黑体" w:hAnsi="黑体" w:eastAsia="黑体" w:cs="黑体"/>
          <w:b w:val="0"/>
          <w:bCs w:val="0"/>
          <w:sz w:val="32"/>
          <w:szCs w:val="32"/>
          <w:lang w:val="en-AU" w:eastAsia="zh-CN"/>
        </w:rPr>
        <w:t>一、</w:t>
      </w:r>
      <w:r>
        <w:rPr>
          <w:rFonts w:hint="eastAsia" w:ascii="黑体" w:hAnsi="黑体" w:eastAsia="黑体" w:cs="黑体"/>
          <w:b w:val="0"/>
          <w:bCs w:val="0"/>
          <w:sz w:val="32"/>
          <w:szCs w:val="32"/>
          <w:lang w:val="en-AU"/>
        </w:rPr>
        <w:t>抓捕目的</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项目必要性：</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bCs/>
          <w:sz w:val="32"/>
          <w:szCs w:val="32"/>
          <w:lang w:val="en-AU"/>
        </w:rPr>
        <w:t>鸟类环志是一项国际上研究鸟类迁徙和种群监测的通用手段</w:t>
      </w:r>
      <w:r>
        <w:rPr>
          <w:rFonts w:hint="eastAsia" w:ascii="仿宋_GB2312" w:hAnsi="仿宋_GB2312" w:eastAsia="仿宋_GB2312" w:cs="仿宋_GB2312"/>
          <w:sz w:val="32"/>
          <w:szCs w:val="32"/>
          <w:lang w:val="en-AU"/>
        </w:rPr>
        <w:t>，主要是指将特定的金属环佩戴在鸟类的跗跖上通过观察或回收连接鸟类的迁徙情况。</w:t>
      </w:r>
      <w:r>
        <w:rPr>
          <w:rFonts w:hint="eastAsia" w:ascii="仿宋_GB2312" w:hAnsi="仿宋_GB2312" w:eastAsia="仿宋_GB2312" w:cs="仿宋_GB2312"/>
          <w:bCs/>
          <w:sz w:val="32"/>
          <w:szCs w:val="32"/>
          <w:lang w:val="en-AU"/>
        </w:rPr>
        <w:t>欧美等国家在鸟类环志工作上较为成熟，美国和加拿大每年环志的鸟类高达100万只，为大量鸟类研究提供样本。</w:t>
      </w:r>
      <w:r>
        <w:rPr>
          <w:rFonts w:hint="eastAsia" w:ascii="仿宋_GB2312" w:hAnsi="仿宋_GB2312" w:eastAsia="仿宋_GB2312" w:cs="仿宋_GB2312"/>
          <w:sz w:val="32"/>
          <w:szCs w:val="32"/>
          <w:lang w:val="en-AU"/>
        </w:rPr>
        <w:t>我国鸟类环志起步晚，且呈现北多南少的情况。在南方开展鸟类环志具有非常重要的意义。</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深圳湾位于全球八大候鸟迁飞区之一的东亚-澳大利西亚迁飞区内，每年春秋季节有十万迁徙水鸟在深圳越冬或停歇，是迁飞区内重要的候鸟中转站和越冬地。对迁徙鸟类开展长期调查和监测，有助于对区域内的鸟类保护、红树林修复。鸟类环志是一项国际上常规的鸟类监测方法，通过对鸟类开展环志工作，结合卫星定位器，对鸟类进行追踪，研究其迁徙和栖息地利用，对开展鸟类保护和候鸟迁徙研究具有重要的意义。</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bCs/>
          <w:sz w:val="32"/>
          <w:szCs w:val="32"/>
          <w:lang w:val="en-AU"/>
        </w:rPr>
      </w:pPr>
      <w:r>
        <w:rPr>
          <w:rFonts w:hint="eastAsia" w:ascii="仿宋_GB2312" w:hAnsi="仿宋_GB2312" w:eastAsia="仿宋_GB2312" w:cs="仿宋_GB2312"/>
          <w:bCs/>
          <w:sz w:val="32"/>
          <w:szCs w:val="32"/>
          <w:lang w:val="en-AU"/>
        </w:rPr>
        <w:t>习近平总书记在《湿地公约》第十四次缔约方大会上指出，中国将推动国际交流合作，保护途径中国的四条迁飞通道上的候鸟，在深圳建立“国际红树林中心”，支持举办全球滨海论坛会议。开展候鸟环志工作也是国家林草局“十四五”规划中，建立“天空地”一体化监测体系的重要组成部分。</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由红树林基金会运营的福田红树林生态公园自2017年开始成为深圳市自然保护区管理中心疫源疫病监测站点，持续开展疫源疫病监测和禽流感采样。2022年开始，红树林基金会持续开展鸟类环志工作并将其作为一项常规的鸟类种群监测和疫源疫病采样手段，目前拥有一批优秀稳定的环志工作人员，并且具备固定的经费支持环志工作。2</w:t>
      </w:r>
      <w:r>
        <w:rPr>
          <w:rFonts w:hint="eastAsia" w:ascii="仿宋_GB2312" w:hAnsi="仿宋_GB2312" w:eastAsia="仿宋_GB2312" w:cs="仿宋_GB2312"/>
          <w:b/>
          <w:bCs/>
          <w:sz w:val="32"/>
          <w:szCs w:val="32"/>
          <w:lang w:val="en-AU"/>
        </w:rPr>
        <w:t>025年5月，经过省林业局、省动物所和省环志总站审批，正式成立福田红树林生态公园鸟类环志站点。</w:t>
      </w:r>
      <w:r>
        <w:rPr>
          <w:rFonts w:hint="eastAsia" w:ascii="仿宋_GB2312" w:hAnsi="仿宋_GB2312" w:eastAsia="仿宋_GB2312" w:cs="仿宋_GB2312"/>
          <w:sz w:val="32"/>
          <w:szCs w:val="32"/>
          <w:lang w:val="en-AU"/>
        </w:rPr>
        <w:t>2026年将继续开展鸟类环志工作，基于环志中猎捕鸟类的需要，申请2026年非国家重点野生动物猎捕许可。</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b/>
          <w:bCs/>
          <w:sz w:val="32"/>
          <w:szCs w:val="32"/>
          <w:u w:val="single"/>
        </w:rPr>
        <w:t>前期调研工作情况及辖区内鸟类数量</w:t>
      </w:r>
      <w:r>
        <w:rPr>
          <w:rFonts w:hint="eastAsia" w:ascii="仿宋_GB2312" w:hAnsi="仿宋_GB2312" w:eastAsia="仿宋_GB2312" w:cs="仿宋_GB2312"/>
          <w:b/>
          <w:sz w:val="32"/>
          <w:szCs w:val="32"/>
          <w:lang w:val="en-AU"/>
        </w:rPr>
        <w:t>：</w:t>
      </w:r>
      <w:r>
        <w:rPr>
          <w:rFonts w:hint="eastAsia" w:ascii="仿宋_GB2312" w:hAnsi="仿宋_GB2312" w:eastAsia="仿宋_GB2312" w:cs="仿宋_GB2312"/>
          <w:sz w:val="32"/>
          <w:szCs w:val="32"/>
          <w:lang w:val="en-AU"/>
        </w:rPr>
        <w:t>主要申请人为红树林基金会工作人员，长期在深圳从事鸟类调查和监测工作，基金会自2016年以来长期在生态公园开展鸟类调查工作，每年在福田红树林生态公园开展了超过30次鸟类调查，在结合历史数据，共监测鸟类241种，2024年监测138种9602只</w:t>
      </w:r>
      <w:r>
        <w:rPr>
          <w:rFonts w:hint="eastAsia" w:ascii="仿宋_GB2312" w:hAnsi="仿宋_GB2312" w:eastAsia="仿宋_GB2312" w:cs="仿宋_GB2312"/>
          <w:sz w:val="32"/>
          <w:szCs w:val="32"/>
          <w:lang w:val="zh-CN"/>
        </w:rPr>
        <w:t>。</w:t>
      </w:r>
    </w:p>
    <w:p>
      <w:pPr>
        <w:pStyle w:val="2"/>
        <w:pageBreakBefore w:val="0"/>
        <w:widowControl w:val="0"/>
        <w:numPr>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rPr>
      </w:pPr>
      <w:r>
        <w:rPr>
          <w:rFonts w:hint="eastAsia" w:ascii="黑体" w:hAnsi="黑体" w:eastAsia="黑体" w:cs="黑体"/>
          <w:b w:val="0"/>
          <w:bCs w:val="0"/>
          <w:lang w:eastAsia="zh-CN"/>
        </w:rPr>
        <w:t>二、</w:t>
      </w:r>
      <w:r>
        <w:rPr>
          <w:rFonts w:hint="eastAsia" w:ascii="黑体" w:hAnsi="黑体" w:eastAsia="黑体" w:cs="黑体"/>
          <w:b w:val="0"/>
          <w:bCs w:val="0"/>
        </w:rPr>
        <w:t>抓捕对象及数量</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CA"/>
        </w:rPr>
      </w:pPr>
      <w:r>
        <w:rPr>
          <w:rFonts w:hint="eastAsia" w:ascii="仿宋_GB2312" w:hAnsi="仿宋_GB2312" w:eastAsia="仿宋_GB2312" w:cs="仿宋_GB2312"/>
          <w:sz w:val="32"/>
          <w:szCs w:val="32"/>
          <w:lang w:val="en-AU"/>
        </w:rPr>
        <w:t>基于开展鸟类环志监测和疫源疫病监测，申请单位选择在福田红树林生态公园开展鸟类环志工作，对公园内常见鸟类进行抓捕，主要抓捕对象包括10种共200只</w:t>
      </w:r>
      <w:r>
        <w:rPr>
          <w:rFonts w:hint="eastAsia" w:ascii="仿宋_GB2312" w:hAnsi="仿宋_GB2312" w:eastAsia="仿宋_GB2312" w:cs="仿宋_GB2312"/>
          <w:sz w:val="32"/>
          <w:szCs w:val="32"/>
          <w:lang w:val="zh-CN"/>
        </w:rPr>
        <w:t>常见</w:t>
      </w:r>
      <w:r>
        <w:rPr>
          <w:rFonts w:hint="eastAsia" w:ascii="仿宋_GB2312" w:hAnsi="仿宋_GB2312" w:eastAsia="仿宋_GB2312" w:cs="仿宋_GB2312"/>
          <w:sz w:val="32"/>
          <w:szCs w:val="32"/>
          <w:lang w:val="en-AU"/>
        </w:rPr>
        <w:t>非国家重点保护鸟类，</w:t>
      </w:r>
      <w:r>
        <w:rPr>
          <w:rFonts w:hint="eastAsia" w:ascii="仿宋_GB2312" w:hAnsi="仿宋_GB2312" w:eastAsia="仿宋_GB2312" w:cs="仿宋_GB2312"/>
          <w:sz w:val="32"/>
          <w:szCs w:val="32"/>
          <w:lang w:val="zh-CN"/>
        </w:rPr>
        <w:t>完成环志后将尽快放飞，不会对其种群数量造成负面影响</w:t>
      </w:r>
      <w:r>
        <w:rPr>
          <w:rFonts w:hint="eastAsia" w:ascii="仿宋_GB2312" w:hAnsi="仿宋_GB2312" w:eastAsia="仿宋_GB2312" w:cs="仿宋_GB2312"/>
          <w:sz w:val="32"/>
          <w:szCs w:val="32"/>
          <w:lang w:val="en-CA"/>
        </w:rPr>
        <w:t>。鸟种的选择基于过往环志经验和环志上网的鸟种进行设定。为了减少集中猎捕对种群的影响，每次环志完成后均间隔至少一周以上进行第二次环志，主要开展环志鸟类监测和疫源疫病监测。猎捕总数已经上报全国鸟类环志中心。</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p>
    <w:p>
      <w:pPr>
        <w:spacing w:line="360" w:lineRule="auto"/>
        <w:ind w:firstLine="480" w:firstLineChars="200"/>
        <w:jc w:val="center"/>
        <w:rPr>
          <w:rFonts w:hint="eastAsia" w:ascii="Songti SC" w:hAnsi="Songti SC"/>
          <w:bCs/>
          <w:lang w:val="en-AU"/>
        </w:rPr>
      </w:pPr>
      <w:r>
        <w:rPr>
          <w:rFonts w:hint="eastAsia" w:ascii="Songti SC" w:hAnsi="Songti SC"/>
          <w:bCs/>
          <w:lang w:val="en-AU"/>
        </w:rPr>
        <w:t>表1本项目非国家重点保护</w:t>
      </w:r>
      <w:r>
        <w:rPr>
          <w:rFonts w:hint="eastAsia" w:ascii="Songti SC" w:hAnsi="Songti SC"/>
          <w:bCs/>
          <w:lang w:val="zh-CN"/>
        </w:rPr>
        <w:t>鸟类</w:t>
      </w:r>
      <w:r>
        <w:rPr>
          <w:rFonts w:hint="eastAsia" w:ascii="Songti SC" w:hAnsi="Songti SC"/>
          <w:bCs/>
          <w:lang w:val="en-AU"/>
        </w:rPr>
        <w:t>的捉捕对象和数量</w:t>
      </w:r>
    </w:p>
    <w:tbl>
      <w:tblPr>
        <w:tblStyle w:val="10"/>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3006"/>
        <w:gridCol w:w="297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957" w:type="dxa"/>
            <w:gridSpan w:val="2"/>
            <w:tcBorders>
              <w:bottom w:val="single" w:color="auto" w:sz="4" w:space="0"/>
            </w:tcBorders>
            <w:vAlign w:val="center"/>
          </w:tcPr>
          <w:p>
            <w:pPr>
              <w:spacing w:line="360" w:lineRule="auto"/>
              <w:ind w:firstLine="480" w:firstLineChars="200"/>
              <w:rPr>
                <w:rFonts w:ascii="仿宋_GB2312" w:hAnsi="Times New Roman"/>
              </w:rPr>
            </w:pPr>
            <w:r>
              <w:rPr>
                <w:rFonts w:hint="eastAsia" w:ascii="仿宋_GB2312" w:hAnsi="Times New Roman"/>
              </w:rPr>
              <w:t>物种名称</w:t>
            </w:r>
          </w:p>
        </w:tc>
        <w:tc>
          <w:tcPr>
            <w:tcW w:w="2976" w:type="dxa"/>
            <w:vMerge w:val="restart"/>
            <w:vAlign w:val="center"/>
          </w:tcPr>
          <w:p>
            <w:pPr>
              <w:spacing w:line="360" w:lineRule="auto"/>
              <w:ind w:firstLine="480" w:firstLineChars="200"/>
              <w:rPr>
                <w:rFonts w:ascii="仿宋_GB2312" w:hAnsi="Times New Roman"/>
              </w:rPr>
            </w:pPr>
            <w:r>
              <w:rPr>
                <w:rFonts w:hint="eastAsia" w:ascii="仿宋_GB2312" w:hAnsi="Times New Roman"/>
              </w:rPr>
              <w:t>保护级别</w:t>
            </w:r>
          </w:p>
        </w:tc>
        <w:tc>
          <w:tcPr>
            <w:tcW w:w="993" w:type="dxa"/>
            <w:vMerge w:val="restart"/>
            <w:vAlign w:val="center"/>
          </w:tcPr>
          <w:p>
            <w:pPr>
              <w:spacing w:line="360" w:lineRule="auto"/>
              <w:rPr>
                <w:rFonts w:ascii="仿宋_GB2312" w:hAnsi="Times New Roman"/>
              </w:rPr>
            </w:pPr>
            <w:r>
              <w:rPr>
                <w:rFonts w:hint="eastAsia" w:ascii="仿宋_GB2312" w:hAnsi="Times New Roma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51" w:type="dxa"/>
            <w:tcBorders>
              <w:bottom w:val="single" w:color="auto" w:sz="4" w:space="0"/>
            </w:tcBorders>
            <w:vAlign w:val="center"/>
          </w:tcPr>
          <w:p>
            <w:pPr>
              <w:spacing w:line="360" w:lineRule="auto"/>
              <w:ind w:firstLine="480" w:firstLineChars="200"/>
              <w:rPr>
                <w:rFonts w:ascii="仿宋_GB2312" w:hAnsi="Times New Roman"/>
              </w:rPr>
            </w:pPr>
            <w:r>
              <w:rPr>
                <w:rFonts w:hint="eastAsia" w:ascii="仿宋_GB2312" w:hAnsi="Times New Roman"/>
              </w:rPr>
              <w:t>中文名</w:t>
            </w:r>
          </w:p>
        </w:tc>
        <w:tc>
          <w:tcPr>
            <w:tcW w:w="3006" w:type="dxa"/>
            <w:tcBorders>
              <w:bottom w:val="single" w:color="auto" w:sz="4" w:space="0"/>
            </w:tcBorders>
            <w:vAlign w:val="center"/>
          </w:tcPr>
          <w:p>
            <w:pPr>
              <w:spacing w:line="360" w:lineRule="auto"/>
              <w:ind w:firstLine="480" w:firstLineChars="200"/>
              <w:rPr>
                <w:rFonts w:ascii="仿宋_GB2312" w:hAnsi="Times New Roman"/>
              </w:rPr>
            </w:pPr>
            <w:r>
              <w:rPr>
                <w:rFonts w:hint="eastAsia" w:ascii="仿宋_GB2312" w:hAnsi="Times New Roman"/>
              </w:rPr>
              <w:t>学名</w:t>
            </w:r>
          </w:p>
        </w:tc>
        <w:tc>
          <w:tcPr>
            <w:tcW w:w="2976" w:type="dxa"/>
            <w:vMerge w:val="continue"/>
            <w:tcBorders>
              <w:bottom w:val="single" w:color="auto" w:sz="4" w:space="0"/>
            </w:tcBorders>
            <w:vAlign w:val="center"/>
          </w:tcPr>
          <w:p>
            <w:pPr>
              <w:spacing w:line="360" w:lineRule="auto"/>
              <w:ind w:firstLine="480" w:firstLineChars="200"/>
              <w:rPr>
                <w:rFonts w:ascii="仿宋_GB2312" w:hAnsi="Times New Roman"/>
              </w:rPr>
            </w:pPr>
          </w:p>
        </w:tc>
        <w:tc>
          <w:tcPr>
            <w:tcW w:w="993" w:type="dxa"/>
            <w:vMerge w:val="continue"/>
            <w:tcBorders>
              <w:bottom w:val="single" w:color="auto" w:sz="4" w:space="0"/>
            </w:tcBorders>
            <w:vAlign w:val="center"/>
          </w:tcPr>
          <w:p>
            <w:pPr>
              <w:spacing w:line="360" w:lineRule="auto"/>
              <w:ind w:firstLine="480" w:firstLineChars="200"/>
              <w:rPr>
                <w:rFonts w:ascii="仿宋_GB2312"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红耳鹎</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Pycnonotus jocosus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白头鹎</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Pycnonotus sinensis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东方大苇莺</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Acrocephalus orientalis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黑脸噪鹛</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Garrulax perspicillatus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大山雀</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hint="eastAsia" w:ascii="等线" w:hAnsi="等线" w:cs="Calibri"/>
                <w:i/>
                <w:iCs/>
              </w:rPr>
              <w:t>Parus minor</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褐柳莺</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Phylloscopus fuscatus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东亚石鵖</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Saxicola maurus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纯色山鹪莺</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Prinia inornata</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斑文鸟</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Lonchura punctulata</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鹊鸲</w:t>
            </w:r>
          </w:p>
        </w:tc>
        <w:tc>
          <w:tcPr>
            <w:tcW w:w="30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等线" w:hAnsi="等线" w:cs="Calibri"/>
                <w:i/>
                <w:iCs/>
              </w:rPr>
            </w:pPr>
            <w:r>
              <w:rPr>
                <w:rFonts w:ascii="等线" w:hAnsi="等线" w:cs="Calibri"/>
                <w:i/>
                <w:iCs/>
              </w:rPr>
              <w:t>Copsychus saularis</w:t>
            </w:r>
          </w:p>
        </w:tc>
        <w:tc>
          <w:tcPr>
            <w:tcW w:w="297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等线" w:hAnsi="等线"/>
              </w:rPr>
            </w:pPr>
            <w:r>
              <w:rPr>
                <w:rFonts w:hint="eastAsia" w:ascii="等线" w:hAnsi="等线"/>
              </w:rPr>
              <w:t>非国家重点保护</w:t>
            </w:r>
          </w:p>
        </w:tc>
        <w:tc>
          <w:tcPr>
            <w:tcW w:w="99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hint="eastAsia" w:ascii="等线" w:hAnsi="等线" w:cs="Calibri"/>
                <w:color w:val="000000"/>
              </w:rPr>
            </w:pPr>
            <w:r>
              <w:rPr>
                <w:rFonts w:ascii="等线" w:hAnsi="等线" w:cs="Calibri"/>
                <w:color w:val="000000"/>
              </w:rPr>
              <w:t>20</w:t>
            </w:r>
          </w:p>
        </w:tc>
      </w:tr>
    </w:tbl>
    <w:p>
      <w:pPr>
        <w:spacing w:line="360" w:lineRule="auto"/>
        <w:ind w:firstLine="480" w:firstLineChars="200"/>
        <w:rPr>
          <w:rFonts w:hint="eastAsia" w:ascii="Songti SC" w:hAnsi="Songti SC"/>
          <w:lang w:val="en-CA"/>
        </w:rPr>
      </w:pPr>
    </w:p>
    <w:p>
      <w:pPr>
        <w:pStyle w:val="2"/>
        <w:numPr>
          <w:numId w:val="0"/>
        </w:numPr>
        <w:ind w:leftChars="0" w:firstLine="640" w:firstLineChars="200"/>
        <w:rPr>
          <w:rFonts w:hint="eastAsia" w:ascii="黑体" w:hAnsi="黑体" w:eastAsia="黑体" w:cs="黑体"/>
          <w:b w:val="0"/>
          <w:bCs w:val="0"/>
          <w:lang w:val="en-AU"/>
        </w:rPr>
      </w:pPr>
      <w:r>
        <w:rPr>
          <w:rFonts w:hint="eastAsia" w:ascii="黑体" w:hAnsi="黑体" w:eastAsia="黑体" w:cs="黑体"/>
          <w:b w:val="0"/>
          <w:bCs w:val="0"/>
          <w:lang w:val="en-AU" w:eastAsia="zh-CN"/>
        </w:rPr>
        <w:t>三、</w:t>
      </w:r>
      <w:r>
        <w:rPr>
          <w:rFonts w:hint="eastAsia" w:ascii="黑体" w:hAnsi="黑体" w:eastAsia="黑体" w:cs="黑体"/>
          <w:b w:val="0"/>
          <w:bCs w:val="0"/>
          <w:lang w:val="en-AU"/>
        </w:rPr>
        <w:t>抓捕位置</w:t>
      </w:r>
    </w:p>
    <w:p>
      <w:pPr>
        <w:spacing w:line="360" w:lineRule="auto"/>
        <w:ind w:firstLine="640" w:firstLineChars="200"/>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捕捉位置为福田红树林生态公园。具体捕捉位置见图1和表2。</w:t>
      </w:r>
    </w:p>
    <w:p>
      <w:pPr>
        <w:spacing w:line="360" w:lineRule="auto"/>
        <w:ind w:firstLine="480" w:firstLineChars="200"/>
        <w:rPr>
          <w:rFonts w:hint="eastAsia" w:ascii="Songti SC" w:hAnsi="Songti SC"/>
          <w:lang w:val="en-AU"/>
        </w:rPr>
      </w:pPr>
      <w:r>
        <w:drawing>
          <wp:inline distT="0" distB="0" distL="0" distR="0">
            <wp:extent cx="5615940" cy="3662045"/>
            <wp:effectExtent l="0" t="0" r="0" b="0"/>
            <wp:docPr id="212241156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22411561" name="图片 1"/>
                    <pic:cNvPicPr>
                      <a:picLocks noChangeAspect="true"/>
                    </pic:cNvPicPr>
                  </pic:nvPicPr>
                  <pic:blipFill>
                    <a:blip r:embed="rId5"/>
                    <a:stretch>
                      <a:fillRect/>
                    </a:stretch>
                  </pic:blipFill>
                  <pic:spPr>
                    <a:xfrm>
                      <a:off x="0" y="0"/>
                      <a:ext cx="5615940" cy="3662045"/>
                    </a:xfrm>
                    <a:prstGeom prst="rect">
                      <a:avLst/>
                    </a:prstGeom>
                  </pic:spPr>
                </pic:pic>
              </a:graphicData>
            </a:graphic>
          </wp:inline>
        </w:drawing>
      </w:r>
    </w:p>
    <w:p>
      <w:pPr>
        <w:spacing w:line="360" w:lineRule="auto"/>
        <w:ind w:firstLine="2880" w:firstLineChars="1200"/>
        <w:rPr>
          <w:rFonts w:hint="eastAsia" w:ascii="Songti SC" w:hAnsi="Songti SC"/>
          <w:bCs/>
          <w:lang w:val="en-AU"/>
        </w:rPr>
      </w:pPr>
      <w:r>
        <w:rPr>
          <w:rFonts w:hint="eastAsia" w:ascii="Songti SC" w:hAnsi="Songti SC"/>
          <w:bCs/>
          <w:lang w:val="en-AU"/>
        </w:rPr>
        <w:t>图1</w:t>
      </w:r>
      <w:r>
        <w:rPr>
          <w:rFonts w:ascii="Songti SC" w:hAnsi="Songti SC"/>
          <w:bCs/>
          <w:lang w:val="en-AU"/>
        </w:rPr>
        <w:t xml:space="preserve"> </w:t>
      </w:r>
      <w:r>
        <w:rPr>
          <w:rFonts w:hint="eastAsia" w:ascii="Songti SC" w:hAnsi="Songti SC"/>
          <w:bCs/>
          <w:lang w:val="en-AU"/>
        </w:rPr>
        <w:t>2026年计划捕捉鸟类的位置</w:t>
      </w:r>
    </w:p>
    <w:p>
      <w:pPr>
        <w:spacing w:line="360" w:lineRule="auto"/>
        <w:ind w:firstLine="640" w:firstLineChars="200"/>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 xml:space="preserve">表2捕捉点位具体信息 </w:t>
      </w:r>
    </w:p>
    <w:tbl>
      <w:tblPr>
        <w:tblStyle w:val="11"/>
        <w:tblW w:w="7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719"/>
        <w:gridCol w:w="3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04" w:type="dxa"/>
          </w:tcPr>
          <w:p>
            <w:pPr>
              <w:spacing w:line="360" w:lineRule="auto"/>
              <w:rPr>
                <w:rFonts w:hint="eastAsia" w:ascii="Songti SC" w:hAnsi="Songti SC"/>
                <w:bCs/>
                <w:kern w:val="0"/>
                <w:lang w:val="zh-CN"/>
              </w:rPr>
            </w:pPr>
            <w:r>
              <w:rPr>
                <w:rFonts w:hint="eastAsia" w:ascii="Songti SC" w:hAnsi="Songti SC"/>
                <w:bCs/>
                <w:kern w:val="0"/>
                <w:lang w:val="zh-CN"/>
              </w:rPr>
              <w:t>序号</w:t>
            </w:r>
          </w:p>
        </w:tc>
        <w:tc>
          <w:tcPr>
            <w:tcW w:w="2719" w:type="dxa"/>
          </w:tcPr>
          <w:p>
            <w:pPr>
              <w:spacing w:line="360" w:lineRule="auto"/>
              <w:ind w:firstLine="480" w:firstLineChars="200"/>
              <w:rPr>
                <w:rFonts w:hint="eastAsia" w:ascii="Songti SC" w:hAnsi="Songti SC"/>
                <w:bCs/>
                <w:kern w:val="0"/>
                <w:lang w:val="zh-CN"/>
              </w:rPr>
            </w:pPr>
            <w:r>
              <w:rPr>
                <w:rFonts w:hint="eastAsia" w:ascii="Songti SC" w:hAnsi="Songti SC"/>
                <w:bCs/>
                <w:kern w:val="0"/>
                <w:lang w:val="zh-CN"/>
              </w:rPr>
              <w:t>地点</w:t>
            </w:r>
          </w:p>
        </w:tc>
        <w:tc>
          <w:tcPr>
            <w:tcW w:w="3851" w:type="dxa"/>
          </w:tcPr>
          <w:p>
            <w:pPr>
              <w:spacing w:line="360" w:lineRule="auto"/>
              <w:ind w:firstLine="480" w:firstLineChars="200"/>
              <w:rPr>
                <w:rFonts w:hint="eastAsia" w:ascii="Songti SC" w:hAnsi="Songti SC"/>
                <w:bCs/>
                <w:kern w:val="0"/>
                <w:lang w:val="zh-CN"/>
              </w:rPr>
            </w:pPr>
            <w:r>
              <w:rPr>
                <w:rFonts w:ascii="Songti SC" w:hAnsi="Songti SC"/>
                <w:bCs/>
                <w:kern w:val="0"/>
                <w:lang w:val="zh-CN"/>
              </w:rPr>
              <w:t xml:space="preserve">GPS </w:t>
            </w:r>
            <w:r>
              <w:rPr>
                <w:rFonts w:hint="eastAsia" w:ascii="Songti SC" w:hAnsi="Songti SC"/>
                <w:bCs/>
                <w:kern w:val="0"/>
                <w:lang w:val="zh-CN"/>
              </w:rPr>
              <w:t>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spacing w:line="360" w:lineRule="auto"/>
              <w:rPr>
                <w:rFonts w:hint="eastAsia" w:ascii="Songti SC" w:hAnsi="Songti SC"/>
                <w:kern w:val="0"/>
                <w:lang w:val="zh-CN"/>
              </w:rPr>
            </w:pPr>
            <w:r>
              <w:rPr>
                <w:rFonts w:hint="eastAsia" w:ascii="Songti SC" w:hAnsi="Songti SC"/>
                <w:kern w:val="0"/>
                <w:lang w:val="zh-CN"/>
              </w:rPr>
              <w:t>1</w:t>
            </w:r>
          </w:p>
        </w:tc>
        <w:tc>
          <w:tcPr>
            <w:tcW w:w="2719" w:type="dxa"/>
          </w:tcPr>
          <w:p>
            <w:pPr>
              <w:spacing w:line="360" w:lineRule="auto"/>
              <w:rPr>
                <w:rFonts w:hint="eastAsia" w:ascii="Songti SC" w:hAnsi="Songti SC"/>
                <w:kern w:val="0"/>
                <w:lang w:val="zh-CN"/>
              </w:rPr>
            </w:pPr>
            <w:r>
              <w:rPr>
                <w:rFonts w:hint="eastAsia" w:ascii="Songti SC" w:hAnsi="Songti SC"/>
                <w:kern w:val="0"/>
                <w:lang w:val="zh-CN"/>
              </w:rPr>
              <w:t>深圳湾海滨生态公园</w:t>
            </w:r>
          </w:p>
        </w:tc>
        <w:tc>
          <w:tcPr>
            <w:tcW w:w="3851" w:type="dxa"/>
          </w:tcPr>
          <w:p>
            <w:pPr>
              <w:spacing w:line="360" w:lineRule="auto"/>
              <w:rPr>
                <w:rFonts w:hint="eastAsia" w:ascii="等线" w:hAnsi="等线"/>
                <w:kern w:val="0"/>
                <w:lang w:val="zh-CN"/>
              </w:rPr>
            </w:pPr>
            <w:r>
              <w:rPr>
                <w:rFonts w:ascii="等线" w:hAnsi="等线"/>
                <w:kern w:val="0"/>
                <w:lang w:val="zh-CN"/>
              </w:rPr>
              <w:t>N22</w:t>
            </w:r>
            <w:r>
              <w:rPr>
                <w:rFonts w:hint="eastAsia" w:ascii="等线" w:hAnsi="等线"/>
                <w:kern w:val="0"/>
                <w:lang w:val="zh-CN"/>
              </w:rPr>
              <w:t>.525536</w:t>
            </w:r>
            <w:r>
              <w:rPr>
                <w:rFonts w:ascii="等线" w:hAnsi="等线"/>
                <w:kern w:val="0"/>
                <w:lang w:val="zh-CN"/>
              </w:rPr>
              <w:t>°,E11</w:t>
            </w:r>
            <w:r>
              <w:rPr>
                <w:rFonts w:hint="eastAsia" w:ascii="等线" w:hAnsi="等线"/>
                <w:kern w:val="0"/>
                <w:lang w:val="zh-CN"/>
              </w:rPr>
              <w:t>3.99429827</w:t>
            </w:r>
            <w:r>
              <w:rPr>
                <w:rFonts w:ascii="等线" w:hAnsi="等线"/>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spacing w:line="360" w:lineRule="auto"/>
              <w:rPr>
                <w:rFonts w:hint="eastAsia" w:ascii="Songti SC" w:hAnsi="Songti SC"/>
                <w:kern w:val="0"/>
                <w:lang w:val="zh-CN"/>
              </w:rPr>
            </w:pPr>
            <w:r>
              <w:rPr>
                <w:rFonts w:hint="eastAsia" w:ascii="Songti SC" w:hAnsi="Songti SC"/>
                <w:kern w:val="0"/>
                <w:lang w:val="zh-CN"/>
              </w:rPr>
              <w:t>2</w:t>
            </w:r>
          </w:p>
        </w:tc>
        <w:tc>
          <w:tcPr>
            <w:tcW w:w="2719" w:type="dxa"/>
          </w:tcPr>
          <w:p>
            <w:pPr>
              <w:spacing w:line="360" w:lineRule="auto"/>
              <w:rPr>
                <w:rFonts w:hint="eastAsia" w:ascii="Songti SC" w:hAnsi="Songti SC"/>
                <w:kern w:val="0"/>
                <w:lang w:val="zh-CN"/>
              </w:rPr>
            </w:pPr>
            <w:r>
              <w:rPr>
                <w:rFonts w:hint="eastAsia" w:ascii="Songti SC" w:hAnsi="Songti SC"/>
                <w:kern w:val="0"/>
                <w:lang w:val="zh-CN"/>
              </w:rPr>
              <w:t>福田红树林生态公园</w:t>
            </w:r>
          </w:p>
        </w:tc>
        <w:tc>
          <w:tcPr>
            <w:tcW w:w="3851" w:type="dxa"/>
          </w:tcPr>
          <w:p>
            <w:pPr>
              <w:spacing w:line="360" w:lineRule="auto"/>
              <w:rPr>
                <w:rFonts w:hint="eastAsia" w:ascii="等线" w:hAnsi="等线"/>
                <w:kern w:val="0"/>
                <w:lang w:val="zh-CN"/>
              </w:rPr>
            </w:pPr>
            <w:r>
              <w:rPr>
                <w:rFonts w:ascii="等线" w:hAnsi="等线"/>
                <w:kern w:val="0"/>
                <w:lang w:val="zh-CN"/>
              </w:rPr>
              <w:t>N22.507727°, E114.031061°</w:t>
            </w:r>
          </w:p>
        </w:tc>
      </w:tr>
    </w:tbl>
    <w:p>
      <w:pPr>
        <w:pStyle w:val="2"/>
        <w:pageBreakBefore w:val="0"/>
        <w:widowControl w:val="0"/>
        <w:numPr>
          <w:numId w:val="0"/>
        </w:numPr>
        <w:kinsoku/>
        <w:wordWrap/>
        <w:overflowPunct/>
        <w:topLinePunct w:val="0"/>
        <w:autoSpaceDE/>
        <w:autoSpaceDN/>
        <w:bidi w:val="0"/>
        <w:adjustRightInd/>
        <w:spacing w:after="0" w:line="560" w:lineRule="exact"/>
        <w:ind w:firstLine="640" w:firstLineChars="200"/>
        <w:textAlignment w:val="auto"/>
        <w:rPr>
          <w:rFonts w:hint="eastAsia" w:ascii="黑体" w:hAnsi="黑体" w:eastAsia="黑体" w:cs="黑体"/>
          <w:b w:val="0"/>
          <w:bCs w:val="0"/>
          <w:lang w:val="en-AU"/>
        </w:rPr>
      </w:pPr>
      <w:r>
        <w:rPr>
          <w:rFonts w:hint="eastAsia" w:ascii="黑体" w:hAnsi="黑体" w:eastAsia="黑体" w:cs="黑体"/>
          <w:b w:val="0"/>
          <w:bCs w:val="0"/>
          <w:lang w:val="en-AU" w:eastAsia="zh-CN"/>
        </w:rPr>
        <w:t>四、</w:t>
      </w:r>
      <w:r>
        <w:rPr>
          <w:rFonts w:hint="eastAsia" w:ascii="黑体" w:hAnsi="黑体" w:eastAsia="黑体" w:cs="黑体"/>
          <w:b w:val="0"/>
          <w:bCs w:val="0"/>
          <w:lang w:val="en-AU"/>
        </w:rPr>
        <w:t>抓捕期限和时间</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在充分考虑到审批时间和后续环志监测工作的开展，申请</w:t>
      </w:r>
      <w:r>
        <w:rPr>
          <w:rFonts w:hint="eastAsia" w:ascii="仿宋_GB2312" w:hAnsi="仿宋_GB2312" w:eastAsia="仿宋_GB2312" w:cs="仿宋_GB2312"/>
          <w:bCs/>
          <w:sz w:val="32"/>
          <w:szCs w:val="32"/>
          <w:lang w:val="en-AU"/>
        </w:rPr>
        <w:t>捕捉期限为 2026年1月15日到 2026年</w:t>
      </w:r>
      <w:r>
        <w:rPr>
          <w:rFonts w:hint="eastAsia" w:ascii="仿宋_GB2312" w:hAnsi="仿宋_GB2312" w:eastAsia="仿宋_GB2312" w:cs="仿宋_GB2312"/>
          <w:bCs/>
          <w:sz w:val="32"/>
          <w:szCs w:val="32"/>
        </w:rPr>
        <w:t>12</w:t>
      </w:r>
      <w:r>
        <w:rPr>
          <w:rFonts w:hint="eastAsia" w:ascii="仿宋_GB2312" w:hAnsi="仿宋_GB2312" w:eastAsia="仿宋_GB2312" w:cs="仿宋_GB2312"/>
          <w:bCs/>
          <w:sz w:val="32"/>
          <w:szCs w:val="32"/>
          <w:lang w:val="en-AU"/>
        </w:rPr>
        <w:t>月 31日。</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根据林鸟的活动规律，清晨（6-10时）是主要活跃时间，将清晨（6-10时）设置为捕捉林鸟的时间，选择其活动区域附近架网捕捉，每次开网时间不超过4个小时，每次完成环志后间隔至少一周以上再进行环志，确保不会在同一个地方连续捕捉对鸟类造成过多干扰。</w:t>
      </w:r>
    </w:p>
    <w:p>
      <w:pPr>
        <w:pStyle w:val="2"/>
        <w:pageBreakBefore w:val="0"/>
        <w:widowControl w:val="0"/>
        <w:numPr>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lang w:val="en-AU"/>
        </w:rPr>
      </w:pPr>
      <w:r>
        <w:rPr>
          <w:rFonts w:hint="eastAsia" w:ascii="黑体" w:hAnsi="黑体" w:eastAsia="黑体" w:cs="黑体"/>
          <w:b w:val="0"/>
          <w:bCs w:val="0"/>
          <w:lang w:val="en-AU" w:eastAsia="zh-CN"/>
        </w:rPr>
        <w:t>五、</w:t>
      </w:r>
      <w:r>
        <w:rPr>
          <w:rFonts w:hint="eastAsia" w:ascii="黑体" w:hAnsi="黑体" w:eastAsia="黑体" w:cs="黑体"/>
          <w:b w:val="0"/>
          <w:bCs w:val="0"/>
          <w:lang w:val="en-AU"/>
        </w:rPr>
        <w:t>抓捕技术方案</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在鸟类捕捉方法上，申请单位使用的是野外研究工作中最常用的方法（雾网方法）捕捉。每次捉捕时采用的雾网数量将会按照当天的人手而定，确保在全国鸟类环志中心的规范方法下进行解鸟、测量、环志以及采样，避免出现鸟数量过多的情况。具体抓捕步骤见下文</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抓捕前准备工作：抓捕前一天确认参与工作人员数量，抓捕工具数量，当天天气情况，对所有抓捕工具进行检查，避免因为抓捕工具原因对鸟类造成伤害。对抓捕地点进行前期勘测，确保可以准确捕捉到目标鸟种。所有工作人员学习了解《中华人民共和国野生动物保护法》、《鸟类环志管理办法（试行）》和《鸟类环志技术规程（试行）》。</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抓捕中工作：</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AU"/>
        </w:rPr>
        <w:t>架网</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对合适地点进行架网捕捉，确保架网数量和现场工作人员匹配，避免因为架网太多导致浪费和对鸟类造成负面影响。</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AU"/>
        </w:rPr>
        <w:t>巡网</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完成架网后每隔15-20分钟进行一次巡网，检查网上是否有鸟类撞网，对发现撞网的鸟类进行解网。在鸟类飞入捉捕区域的高峰期会更频繁地巡查，尽可能减少鸟类挂在网上的时间。</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AU"/>
        </w:rPr>
        <w:t>环志</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解网后对健康状况良好的个体，工作人员将对其进行环志(戴上全国环志中心发放的金属环，旗标或彩环)，并测量身体特征，登记在册。每次环志操作不超过5分钟。完成所有操作后，观察个体身体状况，评估无恙后立即放飞，以免造成对个体不必要的伤害。对于兼捕的鸟类进行身体检查后确认健康即进行放飞，避免二次捕获，对国家一二级保护动物进行重点关注。减少其被捕获的可能。</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AU"/>
        </w:rPr>
        <w:t>收网总结</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抓捕时间到后组织工作人员进行收网，放置好所有抓捕工具。工作人员会对当天的工作做评估，如有需要时还会对捕捉方案作出适当调整，改善本项目组的计划确保鸟类和参与者的安全。具体细节均按照国家林业局的《鸟类环志管理办法（试行）》和《鸟类环志技术规程（试行）》执行，确保操作过程合法合理。每次完成捕捉后都会收回所有网具，并确保网具不会在无人看管的情况下长时间放在野外</w:t>
      </w:r>
    </w:p>
    <w:p>
      <w:pPr>
        <w:pStyle w:val="2"/>
        <w:pageBreakBefore w:val="0"/>
        <w:widowControl w:val="0"/>
        <w:numPr>
          <w:ilvl w:val="0"/>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lang w:val="en-AU" w:eastAsia="zh-CN"/>
        </w:rPr>
      </w:pPr>
      <w:r>
        <w:rPr>
          <w:rFonts w:hint="eastAsia" w:ascii="黑体" w:hAnsi="黑体" w:eastAsia="黑体" w:cs="黑体"/>
          <w:b w:val="0"/>
          <w:bCs w:val="0"/>
          <w:lang w:val="en-AU" w:eastAsia="zh-CN"/>
        </w:rPr>
        <w:t>六、抓捕中的保护措施</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AU"/>
        </w:rPr>
        <w:t>雾网的数量控制</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雾网是国际上鸟类野外研究工作中最常用到的捕捉方法，能极大的降低捕获及取样过程中对鸟类个体的伤害；在开展工作中将控制雾网的数量，确保在人手充足的情况下开展鸟类捕捉工作。</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AU"/>
        </w:rPr>
        <w:t>对误捕鸟类的处理</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对误捕的鸟类进行身体检查后，确保其野外生存能力充足的情况下进行放飞，防止对其造成伤害，特别对国家重点的一二级保护动物进行重点关注。对身体情况不适合放飞的鸟类由深圳市野生动物救护中心进行救助，同时记录误捕情况，环志结束后对误捕情况进行上报。</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AU"/>
        </w:rPr>
        <w:t>对目标鸟种的保护</w:t>
      </w:r>
      <w:r>
        <w:rPr>
          <w:rFonts w:hint="eastAsia" w:ascii="仿宋_GB2312" w:hAnsi="仿宋_GB2312" w:eastAsia="仿宋_GB2312" w:cs="仿宋_GB2312"/>
          <w:sz w:val="32"/>
          <w:szCs w:val="32"/>
          <w:lang w:val="en-AU" w:eastAsia="zh-CN"/>
        </w:rPr>
        <w:t>。</w:t>
      </w:r>
      <w:r>
        <w:rPr>
          <w:rFonts w:hint="eastAsia" w:ascii="仿宋_GB2312" w:hAnsi="仿宋_GB2312" w:eastAsia="仿宋_GB2312" w:cs="仿宋_GB2312"/>
          <w:sz w:val="32"/>
          <w:szCs w:val="32"/>
          <w:lang w:val="en-AU"/>
        </w:rPr>
        <w:t>本次拟捕获的目标鸟种是当地的常见越冬鸟类和留鸟，工作开展中采集的鸟类个体占总种群数量的极少量，将不会对目标鸟种的种群现状造成任何显著的不利影响。在开展捕捉中，张网时间不超过4小时，每隔15-20分钟对雾网进行巡网，确保及时将捕获鸟种摘下进行环志。</w:t>
      </w:r>
    </w:p>
    <w:p>
      <w:pPr>
        <w:pStyle w:val="2"/>
        <w:pageBreakBefore w:val="0"/>
        <w:widowControl w:val="0"/>
        <w:numPr>
          <w:ilvl w:val="0"/>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lang w:val="en-AU" w:eastAsia="zh-CN"/>
        </w:rPr>
      </w:pPr>
      <w:r>
        <w:rPr>
          <w:rFonts w:hint="eastAsia" w:ascii="黑体" w:hAnsi="黑体" w:eastAsia="黑体" w:cs="黑体"/>
          <w:b w:val="0"/>
          <w:bCs w:val="0"/>
          <w:lang w:val="en-AU" w:eastAsia="zh-CN"/>
        </w:rPr>
        <w:t>七、过往抓捕经验</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ascii="Songti SC" w:hAnsi="Songti SC"/>
          <w:color w:val="000000"/>
        </w:rPr>
      </w:pPr>
      <w:r>
        <w:rPr>
          <w:rFonts w:hint="eastAsia" w:ascii="仿宋_GB2312" w:hAnsi="仿宋_GB2312" w:eastAsia="仿宋_GB2312" w:cs="仿宋_GB2312"/>
          <w:sz w:val="32"/>
          <w:szCs w:val="32"/>
          <w:lang w:val="en-AU"/>
        </w:rPr>
        <w:t>2022年4-5月，红树林基金会联合福田红树林国家级自然保护区、南方科技大学、深圳观鸟会共同在福田红树林国家级自然保护区和福田红树林生态公园开展鸟类环志，共开展工作7次，每次架网2-3小时，共环志鸟类12种29只。环志工作结束后将环志结果发表在《中国鸟类研究简讯》第31卷第1期上（图2）。</w:t>
      </w:r>
    </w:p>
    <w:p>
      <w:pPr>
        <w:spacing w:line="360" w:lineRule="auto"/>
        <w:jc w:val="center"/>
        <w:rPr>
          <w:rFonts w:ascii="Songti SC" w:hAnsi="Songti SC"/>
          <w:color w:val="000000"/>
        </w:rPr>
      </w:pPr>
      <w:r>
        <w:rPr>
          <w:rFonts w:ascii="Songti SC" w:hAnsi="Songti SC"/>
          <w:color w:val="000000"/>
        </w:rPr>
        <w:drawing>
          <wp:inline distT="0" distB="0" distL="0" distR="0">
            <wp:extent cx="3925570" cy="3438525"/>
            <wp:effectExtent l="0" t="0" r="17780" b="952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6"/>
                    <a:srcRect t="39810" b="2075"/>
                    <a:stretch>
                      <a:fillRect/>
                    </a:stretch>
                  </pic:blipFill>
                  <pic:spPr>
                    <a:xfrm>
                      <a:off x="0" y="0"/>
                      <a:ext cx="3925570" cy="3438525"/>
                    </a:xfrm>
                    <a:prstGeom prst="rect">
                      <a:avLst/>
                    </a:prstGeom>
                    <a:ln>
                      <a:noFill/>
                    </a:ln>
                  </pic:spPr>
                </pic:pic>
              </a:graphicData>
            </a:graphic>
          </wp:inline>
        </w:drawing>
      </w:r>
    </w:p>
    <w:p>
      <w:pPr>
        <w:spacing w:line="360" w:lineRule="auto"/>
        <w:jc w:val="center"/>
        <w:rPr>
          <w:rStyle w:val="19"/>
          <w:rFonts w:hint="eastAsia" w:asciiTheme="minorEastAsia" w:hAnsiTheme="minorEastAsia" w:cstheme="minorBidi"/>
          <w:sz w:val="24"/>
          <w:szCs w:val="24"/>
        </w:rPr>
      </w:pPr>
      <w:r>
        <w:rPr>
          <w:rStyle w:val="19"/>
          <w:rFonts w:hint="eastAsia" w:asciiTheme="minorEastAsia" w:hAnsiTheme="minorEastAsia" w:cstheme="minorBidi"/>
          <w:sz w:val="24"/>
          <w:szCs w:val="24"/>
        </w:rPr>
        <w:t>图2.环志工作发表在《中国鸟类研究简讯》</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2023年4月，红树林基金会在全国鸟类环志中心，广东省鸟类环志总站，深圳市野生动植物保护管理处的指导下开展了深圳第一期鸟类环志培训，并结合野生动物疫源疫病监测进行了2023年鸟类环志监测工作。</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2024年4月，红树林基金会工作人员戎灿中在全国鸟类环志中心的引荐下到秦皇岛北戴河环志站和瑞典ottenby环志站的工作人员共同开展鸟类环志和换羽的学习。</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2024年10月，红树林基金会工作人员戎灿中在哥伦比亚参与南美鸟类环志网络的环志工作并获得科学环志者认证。</w:t>
      </w:r>
    </w:p>
    <w:p>
      <w:pPr>
        <w:pStyle w:val="2"/>
        <w:pageBreakBefore w:val="0"/>
        <w:widowControl w:val="0"/>
        <w:numPr>
          <w:ilvl w:val="0"/>
          <w:numId w:val="0"/>
        </w:numPr>
        <w:kinsoku/>
        <w:wordWrap/>
        <w:overflowPunct/>
        <w:topLinePunct w:val="0"/>
        <w:autoSpaceDE/>
        <w:autoSpaceDN/>
        <w:bidi w:val="0"/>
        <w:adjustRightInd/>
        <w:spacing w:after="0" w:line="560" w:lineRule="exact"/>
        <w:ind w:leftChars="0" w:firstLine="640" w:firstLineChars="200"/>
        <w:textAlignment w:val="auto"/>
        <w:rPr>
          <w:rFonts w:hint="eastAsia" w:ascii="黑体" w:hAnsi="黑体" w:eastAsia="黑体" w:cs="黑体"/>
          <w:b w:val="0"/>
          <w:bCs w:val="0"/>
          <w:lang w:val="en-AU" w:eastAsia="zh-CN"/>
        </w:rPr>
      </w:pPr>
      <w:r>
        <w:rPr>
          <w:rFonts w:hint="eastAsia" w:ascii="黑体" w:hAnsi="黑体" w:eastAsia="黑体" w:cs="黑体"/>
          <w:b w:val="0"/>
          <w:bCs w:val="0"/>
          <w:lang w:val="en-AU" w:eastAsia="zh-CN"/>
        </w:rPr>
        <w:t>八、参与猎捕工作人员</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参与猎捕的工作人员中主要由红树林基金会工作人员组成，均具有丰富的鸟类环志经验和研究经验。工作人员有能力应对捕捉过程的各种突发事件，在野外采样过程中如发现候鸟对捕捉、环志或采样方法出现不适反应，工作人员将会停止环志直到找出问题根源以及改善方法为止。</w:t>
      </w:r>
    </w:p>
    <w:p>
      <w:pPr>
        <w:pageBreakBefore w:val="0"/>
        <w:widowControl w:val="0"/>
        <w:kinsoku/>
        <w:wordWrap/>
        <w:overflowPunct/>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lang w:val="en-AU"/>
        </w:rPr>
      </w:pPr>
      <w:r>
        <w:rPr>
          <w:rFonts w:hint="eastAsia" w:ascii="仿宋_GB2312" w:hAnsi="仿宋_GB2312" w:eastAsia="仿宋_GB2312" w:cs="仿宋_GB2312"/>
          <w:sz w:val="32"/>
          <w:szCs w:val="32"/>
          <w:lang w:val="en-AU"/>
        </w:rPr>
        <w:t>参与抓捕鸟类的人员名单见表3。</w:t>
      </w: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p>
    <w:p>
      <w:pPr>
        <w:spacing w:line="360" w:lineRule="auto"/>
        <w:ind w:firstLine="480" w:firstLineChars="200"/>
        <w:jc w:val="center"/>
        <w:rPr>
          <w:rFonts w:hint="eastAsia" w:ascii="Songti SC" w:hAnsi="Songti SC"/>
          <w:bCs/>
        </w:rPr>
      </w:pPr>
      <w:r>
        <w:rPr>
          <w:rFonts w:hint="eastAsia" w:ascii="Songti SC" w:hAnsi="Songti SC"/>
          <w:bCs/>
        </w:rPr>
        <w:t>表3</w:t>
      </w:r>
      <w:r>
        <w:rPr>
          <w:rFonts w:ascii="Songti SC" w:hAnsi="Songti SC"/>
          <w:bCs/>
        </w:rPr>
        <w:t xml:space="preserve">. </w:t>
      </w:r>
      <w:r>
        <w:rPr>
          <w:rFonts w:hint="eastAsia" w:ascii="Songti SC" w:hAnsi="Songti SC"/>
          <w:bCs/>
        </w:rPr>
        <w:t>主要参与环志人员名单</w:t>
      </w:r>
    </w:p>
    <w:tbl>
      <w:tblPr>
        <w:tblStyle w:val="1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95"/>
        <w:gridCol w:w="2390"/>
        <w:gridCol w:w="1322"/>
        <w:gridCol w:w="3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b/>
                <w:bCs/>
                <w:kern w:val="0"/>
                <w:sz w:val="22"/>
                <w:szCs w:val="22"/>
                <w:lang w:val="zh-CN"/>
              </w:rPr>
            </w:pPr>
            <w:bookmarkStart w:id="0" w:name="_Hlk54791428"/>
            <w:r>
              <w:rPr>
                <w:rFonts w:hint="eastAsia" w:ascii="Songti SC" w:hAnsi="Songti SC"/>
                <w:b/>
                <w:bCs/>
                <w:kern w:val="0"/>
                <w:sz w:val="22"/>
                <w:szCs w:val="22"/>
                <w:lang w:val="zh-CN"/>
              </w:rPr>
              <w:t>序号</w:t>
            </w:r>
          </w:p>
        </w:tc>
        <w:tc>
          <w:tcPr>
            <w:tcW w:w="1295" w:type="dxa"/>
            <w:vAlign w:val="center"/>
          </w:tcPr>
          <w:p>
            <w:pPr>
              <w:spacing w:line="360" w:lineRule="auto"/>
              <w:ind w:firstLine="440" w:firstLineChars="200"/>
              <w:jc w:val="center"/>
              <w:rPr>
                <w:rFonts w:hint="eastAsia" w:ascii="Songti SC" w:hAnsi="Songti SC"/>
                <w:b/>
                <w:bCs/>
                <w:kern w:val="0"/>
                <w:sz w:val="22"/>
                <w:szCs w:val="22"/>
                <w:lang w:val="zh-CN"/>
              </w:rPr>
            </w:pPr>
            <w:r>
              <w:rPr>
                <w:rFonts w:hint="eastAsia" w:ascii="Songti SC" w:hAnsi="Songti SC"/>
                <w:b/>
                <w:bCs/>
                <w:kern w:val="0"/>
                <w:sz w:val="22"/>
                <w:szCs w:val="22"/>
                <w:lang w:val="zh-CN"/>
              </w:rPr>
              <w:t>姓名</w:t>
            </w:r>
          </w:p>
        </w:tc>
        <w:tc>
          <w:tcPr>
            <w:tcW w:w="2390" w:type="dxa"/>
            <w:vAlign w:val="center"/>
          </w:tcPr>
          <w:p>
            <w:pPr>
              <w:spacing w:line="360" w:lineRule="auto"/>
              <w:ind w:firstLine="440" w:firstLineChars="200"/>
              <w:jc w:val="center"/>
              <w:rPr>
                <w:rFonts w:hint="eastAsia" w:ascii="Songti SC" w:hAnsi="Songti SC"/>
                <w:b/>
                <w:bCs/>
                <w:kern w:val="0"/>
                <w:sz w:val="22"/>
                <w:szCs w:val="22"/>
                <w:lang w:val="zh-CN"/>
              </w:rPr>
            </w:pPr>
            <w:r>
              <w:rPr>
                <w:rFonts w:hint="eastAsia" w:ascii="Songti SC" w:hAnsi="Songti SC"/>
                <w:b/>
                <w:bCs/>
                <w:kern w:val="0"/>
                <w:sz w:val="22"/>
                <w:szCs w:val="22"/>
                <w:lang w:val="zh-CN"/>
              </w:rPr>
              <w:t>单位</w:t>
            </w:r>
          </w:p>
        </w:tc>
        <w:tc>
          <w:tcPr>
            <w:tcW w:w="1322" w:type="dxa"/>
            <w:vAlign w:val="center"/>
          </w:tcPr>
          <w:p>
            <w:pPr>
              <w:spacing w:line="360" w:lineRule="auto"/>
              <w:ind w:firstLine="440" w:firstLineChars="200"/>
              <w:jc w:val="center"/>
              <w:rPr>
                <w:rFonts w:hint="eastAsia" w:ascii="Songti SC" w:hAnsi="Songti SC"/>
                <w:b/>
                <w:bCs/>
                <w:kern w:val="0"/>
                <w:sz w:val="22"/>
                <w:szCs w:val="22"/>
                <w:lang w:val="zh-CN"/>
              </w:rPr>
            </w:pPr>
            <w:r>
              <w:rPr>
                <w:rFonts w:hint="eastAsia" w:ascii="Songti SC" w:hAnsi="Songti SC"/>
                <w:b/>
                <w:bCs/>
                <w:kern w:val="0"/>
                <w:sz w:val="22"/>
                <w:szCs w:val="22"/>
                <w:lang w:val="zh-CN"/>
              </w:rPr>
              <w:t>职务</w:t>
            </w:r>
          </w:p>
        </w:tc>
        <w:tc>
          <w:tcPr>
            <w:tcW w:w="3073" w:type="dxa"/>
            <w:vAlign w:val="center"/>
          </w:tcPr>
          <w:p>
            <w:pPr>
              <w:spacing w:line="360" w:lineRule="auto"/>
              <w:ind w:firstLine="440" w:firstLineChars="200"/>
              <w:jc w:val="center"/>
              <w:rPr>
                <w:rFonts w:hint="eastAsia" w:ascii="Songti SC" w:hAnsi="Songti SC"/>
                <w:b/>
                <w:bCs/>
                <w:kern w:val="0"/>
                <w:sz w:val="22"/>
                <w:szCs w:val="22"/>
                <w:lang w:val="zh-CN"/>
              </w:rPr>
            </w:pPr>
            <w:r>
              <w:rPr>
                <w:rFonts w:hint="eastAsia" w:ascii="Songti SC" w:hAnsi="Songti SC"/>
                <w:b/>
                <w:bCs/>
                <w:kern w:val="0"/>
                <w:sz w:val="22"/>
                <w:szCs w:val="22"/>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1</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戎灿中</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红树林基金会（福田红树林生态公园）</w:t>
            </w:r>
          </w:p>
        </w:tc>
        <w:tc>
          <w:tcPr>
            <w:tcW w:w="1322"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科学保育项目主任</w:t>
            </w:r>
          </w:p>
        </w:tc>
        <w:tc>
          <w:tcPr>
            <w:tcW w:w="3073" w:type="dxa"/>
          </w:tcPr>
          <w:p>
            <w:pPr>
              <w:spacing w:line="360" w:lineRule="auto"/>
              <w:rPr>
                <w:rFonts w:hint="eastAsia" w:ascii="Songti SC" w:hAnsi="Songti SC"/>
                <w:kern w:val="0"/>
                <w:sz w:val="22"/>
                <w:szCs w:val="22"/>
                <w:lang w:val="en-GB"/>
              </w:rPr>
            </w:pPr>
            <w:r>
              <w:rPr>
                <w:rFonts w:hint="eastAsia" w:ascii="Songti SC" w:hAnsi="Songti SC"/>
                <w:kern w:val="0"/>
                <w:sz w:val="22"/>
                <w:szCs w:val="22"/>
                <w:lang w:val="en-GB"/>
              </w:rPr>
              <w:t>具有4年鸟类环志经验，参与过全国环志中心鸟类环志培训，获得南美鸟类环志网络科学环志员认证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2</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尹玉柱</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红树林基金会（福田红树林生态公园）</w:t>
            </w:r>
          </w:p>
        </w:tc>
        <w:tc>
          <w:tcPr>
            <w:tcW w:w="1322"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项目总监</w:t>
            </w:r>
          </w:p>
        </w:tc>
        <w:tc>
          <w:tcPr>
            <w:tcW w:w="3073" w:type="dxa"/>
          </w:tcPr>
          <w:p>
            <w:pPr>
              <w:spacing w:line="360" w:lineRule="auto"/>
              <w:rPr>
                <w:rFonts w:hint="eastAsia" w:ascii="Songti SC" w:hAnsi="Songti SC"/>
                <w:kern w:val="0"/>
                <w:sz w:val="22"/>
                <w:szCs w:val="22"/>
                <w:lang w:val="zh-CN"/>
              </w:rPr>
            </w:pPr>
            <w:r>
              <w:rPr>
                <w:rFonts w:hint="eastAsia" w:ascii="Songti SC" w:hAnsi="Songti SC"/>
                <w:kern w:val="0"/>
                <w:sz w:val="22"/>
                <w:szCs w:val="22"/>
                <w:lang w:val="en-GB"/>
              </w:rPr>
              <w:t>参与过全国环志中心鸟类环志培训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3</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谢恺琪</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红树林基金会（福田红树林生态公园）</w:t>
            </w:r>
          </w:p>
        </w:tc>
        <w:tc>
          <w:tcPr>
            <w:tcW w:w="1322"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项目总监</w:t>
            </w:r>
          </w:p>
        </w:tc>
        <w:tc>
          <w:tcPr>
            <w:tcW w:w="3073" w:type="dxa"/>
          </w:tcPr>
          <w:p>
            <w:pPr>
              <w:spacing w:line="360" w:lineRule="auto"/>
              <w:rPr>
                <w:rFonts w:hint="eastAsia" w:ascii="Songti SC" w:hAnsi="Songti SC"/>
                <w:kern w:val="0"/>
                <w:sz w:val="22"/>
                <w:szCs w:val="22"/>
                <w:lang w:val="en-GB"/>
              </w:rPr>
            </w:pPr>
            <w:r>
              <w:rPr>
                <w:rFonts w:hint="eastAsia" w:ascii="Songti SC" w:hAnsi="Songti SC"/>
                <w:kern w:val="0"/>
                <w:sz w:val="22"/>
                <w:szCs w:val="22"/>
                <w:lang w:val="en-GB"/>
              </w:rPr>
              <w:t>参与过全国环志中心鸟类环志培训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4</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鄢默树</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红树林基金会（福田红树林生态公园）</w:t>
            </w:r>
          </w:p>
        </w:tc>
        <w:tc>
          <w:tcPr>
            <w:tcW w:w="1322"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项目总监</w:t>
            </w:r>
          </w:p>
        </w:tc>
        <w:tc>
          <w:tcPr>
            <w:tcW w:w="3073" w:type="dxa"/>
          </w:tcPr>
          <w:p>
            <w:pPr>
              <w:spacing w:line="360" w:lineRule="auto"/>
              <w:rPr>
                <w:rFonts w:hint="eastAsia" w:ascii="Songti SC" w:hAnsi="Songti SC"/>
                <w:kern w:val="0"/>
                <w:sz w:val="22"/>
                <w:szCs w:val="22"/>
                <w:lang w:val="en-GB"/>
              </w:rPr>
            </w:pPr>
            <w:r>
              <w:rPr>
                <w:rFonts w:hint="eastAsia" w:ascii="Songti SC" w:hAnsi="Songti SC"/>
                <w:kern w:val="0"/>
                <w:sz w:val="22"/>
                <w:szCs w:val="22"/>
                <w:lang w:val="en-GB"/>
              </w:rPr>
              <w:t>参与过全国环志中心鸟类环志培训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5</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杨洁琦</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环志志愿者</w:t>
            </w:r>
          </w:p>
        </w:tc>
        <w:tc>
          <w:tcPr>
            <w:tcW w:w="1322" w:type="dxa"/>
            <w:vAlign w:val="center"/>
          </w:tcPr>
          <w:p>
            <w:pPr>
              <w:spacing w:line="360" w:lineRule="auto"/>
              <w:jc w:val="center"/>
              <w:rPr>
                <w:rFonts w:hint="eastAsia" w:ascii="Songti SC" w:hAnsi="Songti SC"/>
                <w:kern w:val="0"/>
                <w:sz w:val="22"/>
                <w:szCs w:val="22"/>
                <w:lang w:val="zh-CN"/>
              </w:rPr>
            </w:pPr>
          </w:p>
        </w:tc>
        <w:tc>
          <w:tcPr>
            <w:tcW w:w="3073" w:type="dxa"/>
          </w:tcPr>
          <w:p>
            <w:pPr>
              <w:spacing w:line="360" w:lineRule="auto"/>
              <w:rPr>
                <w:rFonts w:hint="eastAsia" w:ascii="Songti SC" w:hAnsi="Songti SC"/>
                <w:kern w:val="0"/>
                <w:sz w:val="22"/>
                <w:szCs w:val="22"/>
                <w:lang w:val="en-GB"/>
              </w:rPr>
            </w:pPr>
            <w:r>
              <w:rPr>
                <w:rFonts w:hint="eastAsia" w:ascii="Songti SC" w:hAnsi="Songti SC"/>
                <w:kern w:val="0"/>
                <w:sz w:val="22"/>
                <w:szCs w:val="22"/>
                <w:lang w:val="en-GB"/>
              </w:rPr>
              <w:t>参与过全国环志中心鸟类环志培训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6</w:t>
            </w:r>
          </w:p>
        </w:tc>
        <w:tc>
          <w:tcPr>
            <w:tcW w:w="1295"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金莹</w:t>
            </w:r>
          </w:p>
        </w:tc>
        <w:tc>
          <w:tcPr>
            <w:tcW w:w="2390" w:type="dxa"/>
            <w:vAlign w:val="center"/>
          </w:tcPr>
          <w:p>
            <w:pPr>
              <w:spacing w:line="360" w:lineRule="auto"/>
              <w:jc w:val="center"/>
              <w:rPr>
                <w:rFonts w:hint="eastAsia" w:ascii="Songti SC" w:hAnsi="Songti SC"/>
                <w:kern w:val="0"/>
                <w:sz w:val="22"/>
                <w:szCs w:val="22"/>
                <w:lang w:val="zh-CN"/>
              </w:rPr>
            </w:pPr>
            <w:r>
              <w:rPr>
                <w:rFonts w:hint="eastAsia" w:ascii="Songti SC" w:hAnsi="Songti SC"/>
                <w:kern w:val="0"/>
                <w:sz w:val="22"/>
                <w:szCs w:val="22"/>
                <w:lang w:val="zh-CN"/>
              </w:rPr>
              <w:t>环志志愿者</w:t>
            </w:r>
          </w:p>
        </w:tc>
        <w:tc>
          <w:tcPr>
            <w:tcW w:w="1322" w:type="dxa"/>
            <w:vAlign w:val="center"/>
          </w:tcPr>
          <w:p>
            <w:pPr>
              <w:spacing w:line="360" w:lineRule="auto"/>
              <w:jc w:val="center"/>
              <w:rPr>
                <w:rFonts w:hint="eastAsia" w:ascii="Songti SC" w:hAnsi="Songti SC"/>
                <w:kern w:val="0"/>
                <w:sz w:val="22"/>
                <w:szCs w:val="22"/>
                <w:lang w:val="zh-CN"/>
              </w:rPr>
            </w:pPr>
          </w:p>
        </w:tc>
        <w:tc>
          <w:tcPr>
            <w:tcW w:w="3073" w:type="dxa"/>
          </w:tcPr>
          <w:p>
            <w:pPr>
              <w:spacing w:line="360" w:lineRule="auto"/>
              <w:rPr>
                <w:rFonts w:hint="eastAsia" w:ascii="Songti SC" w:hAnsi="Songti SC"/>
                <w:kern w:val="0"/>
                <w:sz w:val="22"/>
                <w:szCs w:val="22"/>
                <w:lang w:val="en-GB"/>
              </w:rPr>
            </w:pPr>
            <w:r>
              <w:rPr>
                <w:rFonts w:hint="eastAsia" w:ascii="Songti SC" w:hAnsi="Songti SC"/>
                <w:kern w:val="0"/>
                <w:sz w:val="22"/>
                <w:szCs w:val="22"/>
                <w:lang w:val="en-GB"/>
              </w:rPr>
              <w:t>参与过全国环志中心鸟类环志培训</w:t>
            </w:r>
          </w:p>
        </w:tc>
      </w:tr>
      <w:bookmarkEnd w:id="0"/>
    </w:tbl>
    <w:p>
      <w:pPr>
        <w:rPr>
          <w:lang w:val="zh-CN"/>
        </w:rPr>
      </w:pPr>
      <w:bookmarkStart w:id="1" w:name="_GoBack"/>
      <w:bookmarkEnd w:id="1"/>
    </w:p>
    <w:sectPr>
      <w:footerReference r:id="rId3" w:type="default"/>
      <w:pgSz w:w="11906" w:h="16838"/>
      <w:pgMar w:top="1701" w:right="1474" w:bottom="1587" w:left="1588" w:header="1418" w:footer="1418"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TimesNewRomanPSMT">
    <w:altName w:val="DejaVu Sans"/>
    <w:panose1 w:val="00000000000000000000"/>
    <w:charset w:val="00"/>
    <w:family w:val="roman"/>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ongti SC">
    <w:altName w:val="仿宋_GB2312"/>
    <w:panose1 w:val="00000000000000000000"/>
    <w:charset w:val="86"/>
    <w:family w:val="auto"/>
    <w:pitch w:val="default"/>
    <w:sig w:usb0="00000000" w:usb1="00000000" w:usb2="00000010" w:usb3="00000000" w:csb0="0004009F" w:csb1="00000000"/>
  </w:font>
  <w:font w:name="URW Bookman">
    <w:panose1 w:val="00000400000000000000"/>
    <w:charset w:val="00"/>
    <w:family w:val="auto"/>
    <w:pitch w:val="default"/>
    <w:sig w:usb0="00000287" w:usb1="00000800" w:usb2="00000000" w:usb3="00000000" w:csb0="6000009F" w:csb1="00000000"/>
  </w:font>
  <w:font w:name="等线 Light">
    <w:altName w:val="URW Bookman"/>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小标宋简体">
    <w:panose1 w:val="03000509000000000000"/>
    <w:charset w:val="86"/>
    <w:family w:val="auto"/>
    <w:pitch w:val="default"/>
    <w:sig w:usb0="00000001" w:usb1="080E0000" w:usb2="00000000" w:usb3="00000000" w:csb0="00040000" w:csb1="00000000"/>
  </w:font>
  <w:font w:name="SimSun">
    <w:panose1 w:val="02010600030101010101"/>
    <w:charset w:val="86"/>
    <w:family w:val="auto"/>
    <w:pitch w:val="default"/>
    <w:sig w:usb0="00000003" w:usb1="288F0000" w:usb2="00000006" w:usb3="00000000" w:csb0="00040001"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8675616"/>
      <w:docPartObj>
        <w:docPartGallery w:val="autotext"/>
      </w:docPartObj>
    </w:sdtPr>
    <w:sdtContent>
      <w:p>
        <w:pPr>
          <w:pStyle w:val="7"/>
          <w:jc w:val="right"/>
        </w:pPr>
        <w:r>
          <w:fldChar w:fldCharType="begin"/>
        </w:r>
        <w:r>
          <w:instrText xml:space="preserve"> PAGE   \* MERGEFORMAT </w:instrText>
        </w:r>
        <w:r>
          <w:fldChar w:fldCharType="separate"/>
        </w:r>
        <w:r>
          <w:t>2</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027017"/>
    <w:multiLevelType w:val="multilevel"/>
    <w:tmpl w:val="52027017"/>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characterSpacingControl w:val="doNotCompress"/>
  <w:compat>
    <w:useFELayout/>
    <w:compatSetting w:name="compatibilityMode" w:uri="http://schemas.microsoft.com/office/word" w:val="12"/>
  </w:compat>
  <w:rsids>
    <w:rsidRoot w:val="001643E1"/>
    <w:rsid w:val="000351D9"/>
    <w:rsid w:val="000B5A88"/>
    <w:rsid w:val="0010074F"/>
    <w:rsid w:val="001643E1"/>
    <w:rsid w:val="0023378E"/>
    <w:rsid w:val="00275030"/>
    <w:rsid w:val="003A32F5"/>
    <w:rsid w:val="00440329"/>
    <w:rsid w:val="004C0625"/>
    <w:rsid w:val="00581074"/>
    <w:rsid w:val="005C397C"/>
    <w:rsid w:val="005F3426"/>
    <w:rsid w:val="00704EAF"/>
    <w:rsid w:val="00711AF5"/>
    <w:rsid w:val="00867BAC"/>
    <w:rsid w:val="00974BA1"/>
    <w:rsid w:val="00A46B27"/>
    <w:rsid w:val="00A72E23"/>
    <w:rsid w:val="00B0340B"/>
    <w:rsid w:val="00B45783"/>
    <w:rsid w:val="00BA1692"/>
    <w:rsid w:val="00C56B58"/>
    <w:rsid w:val="00D3618D"/>
    <w:rsid w:val="00D761C6"/>
    <w:rsid w:val="00DF3A16"/>
    <w:rsid w:val="00E925E1"/>
    <w:rsid w:val="00EA6C95"/>
    <w:rsid w:val="00F27B8B"/>
    <w:rsid w:val="DEEFB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20"/>
      <w:jc w:val="both"/>
    </w:pPr>
    <w:rPr>
      <w:rFonts w:ascii="Calibri" w:hAnsi="Calibri" w:cs="Times New Roman" w:eastAsiaTheme="minorEastAsia"/>
      <w:kern w:val="2"/>
      <w:sz w:val="24"/>
      <w:szCs w:val="24"/>
      <w:lang w:val="en-US" w:eastAsia="zh-CN" w:bidi="ar-SA"/>
      <w14:ligatures w14:val="standardContextual"/>
    </w:rPr>
  </w:style>
  <w:style w:type="paragraph" w:styleId="2">
    <w:name w:val="heading 1"/>
    <w:basedOn w:val="1"/>
    <w:next w:val="1"/>
    <w:link w:val="13"/>
    <w:qFormat/>
    <w:uiPriority w:val="9"/>
    <w:pPr>
      <w:keepNext/>
      <w:keepLines/>
      <w:numPr>
        <w:ilvl w:val="0"/>
        <w:numId w:val="1"/>
      </w:numPr>
      <w:snapToGrid w:val="0"/>
      <w:spacing w:line="360" w:lineRule="auto"/>
      <w:jc w:val="left"/>
      <w:outlineLvl w:val="0"/>
    </w:pPr>
    <w:rPr>
      <w:b/>
      <w:bCs/>
      <w:color w:val="1A1A1A"/>
      <w:sz w:val="32"/>
      <w:szCs w:val="36"/>
    </w:rPr>
  </w:style>
  <w:style w:type="paragraph" w:styleId="3">
    <w:name w:val="heading 2"/>
    <w:basedOn w:val="1"/>
    <w:next w:val="1"/>
    <w:link w:val="14"/>
    <w:qFormat/>
    <w:uiPriority w:val="9"/>
    <w:pPr>
      <w:keepNext/>
      <w:keepLines/>
      <w:numPr>
        <w:ilvl w:val="1"/>
        <w:numId w:val="1"/>
      </w:numPr>
      <w:snapToGrid w:val="0"/>
      <w:spacing w:line="360" w:lineRule="auto"/>
      <w:jc w:val="left"/>
      <w:outlineLvl w:val="1"/>
    </w:pPr>
    <w:rPr>
      <w:b/>
      <w:bCs/>
      <w:color w:val="1A1A1A"/>
      <w:sz w:val="28"/>
      <w:szCs w:val="32"/>
    </w:rPr>
  </w:style>
  <w:style w:type="paragraph" w:styleId="4">
    <w:name w:val="heading 3"/>
    <w:basedOn w:val="1"/>
    <w:next w:val="1"/>
    <w:link w:val="15"/>
    <w:qFormat/>
    <w:uiPriority w:val="9"/>
    <w:pPr>
      <w:keepNext/>
      <w:keepLines/>
      <w:numPr>
        <w:ilvl w:val="2"/>
        <w:numId w:val="1"/>
      </w:numPr>
      <w:snapToGrid w:val="0"/>
      <w:spacing w:line="360" w:lineRule="auto"/>
      <w:jc w:val="left"/>
      <w:outlineLvl w:val="2"/>
    </w:pPr>
    <w:rPr>
      <w:bCs/>
      <w:color w:val="1A1A1A"/>
      <w:sz w:val="28"/>
      <w:szCs w:val="28"/>
    </w:rPr>
  </w:style>
  <w:style w:type="paragraph" w:styleId="5">
    <w:name w:val="heading 4"/>
    <w:basedOn w:val="1"/>
    <w:next w:val="1"/>
    <w:link w:val="16"/>
    <w:qFormat/>
    <w:uiPriority w:val="9"/>
    <w:pPr>
      <w:keepNext/>
      <w:keepLines/>
      <w:numPr>
        <w:ilvl w:val="3"/>
        <w:numId w:val="1"/>
      </w:numPr>
      <w:snapToGrid w:val="0"/>
      <w:spacing w:line="360" w:lineRule="auto"/>
      <w:jc w:val="left"/>
      <w:outlineLvl w:val="3"/>
    </w:pPr>
    <w:rPr>
      <w:bCs/>
      <w:color w:val="1A1A1A"/>
    </w:rPr>
  </w:style>
  <w:style w:type="paragraph" w:styleId="6">
    <w:name w:val="heading 5"/>
    <w:basedOn w:val="1"/>
    <w:next w:val="1"/>
    <w:link w:val="21"/>
    <w:unhideWhenUsed/>
    <w:qFormat/>
    <w:uiPriority w:val="9"/>
    <w:pPr>
      <w:keepNext/>
      <w:keepLines/>
      <w:spacing w:before="280" w:after="290" w:line="376" w:lineRule="auto"/>
      <w:outlineLvl w:val="4"/>
    </w:pPr>
    <w:rPr>
      <w:b/>
      <w:bCs/>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tabs>
        <w:tab w:val="center" w:pos="4153"/>
        <w:tab w:val="right" w:pos="8306"/>
      </w:tabs>
      <w:snapToGrid w:val="0"/>
      <w:jc w:val="center"/>
    </w:pPr>
    <w:rPr>
      <w:sz w:val="18"/>
      <w:szCs w:val="18"/>
    </w:rPr>
  </w:style>
  <w:style w:type="paragraph" w:styleId="9">
    <w:name w:val="Title"/>
    <w:basedOn w:val="1"/>
    <w:next w:val="1"/>
    <w:link w:val="22"/>
    <w:qFormat/>
    <w:uiPriority w:val="10"/>
    <w:pPr>
      <w:spacing w:before="240" w:after="60"/>
      <w:jc w:val="center"/>
      <w:outlineLvl w:val="0"/>
    </w:pPr>
    <w:rPr>
      <w:rFonts w:asciiTheme="majorHAnsi" w:hAnsiTheme="majorHAnsi" w:eastAsiaTheme="majorEastAsia" w:cstheme="majorBidi"/>
      <w:b/>
      <w:bCs/>
      <w:sz w:val="32"/>
      <w:szCs w:val="32"/>
    </w:rPr>
  </w:style>
  <w:style w:type="table" w:styleId="11">
    <w:name w:val="Table Grid"/>
    <w:basedOn w:val="10"/>
    <w:qFormat/>
    <w:uiPriority w:val="59"/>
    <w:pPr>
      <w:spacing w:after="160" w:line="259" w:lineRule="auto"/>
    </w:pPr>
    <w:rPr>
      <w:kern w:val="0"/>
      <w:sz w:val="20"/>
      <w:szCs w:val="20"/>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标题 1 字符"/>
    <w:basedOn w:val="12"/>
    <w:link w:val="2"/>
    <w:qFormat/>
    <w:uiPriority w:val="9"/>
    <w:rPr>
      <w:b/>
      <w:bCs/>
      <w:color w:val="1A1A1A"/>
      <w:sz w:val="32"/>
      <w:szCs w:val="36"/>
    </w:rPr>
  </w:style>
  <w:style w:type="character" w:customStyle="1" w:styleId="14">
    <w:name w:val="标题 2 字符"/>
    <w:basedOn w:val="12"/>
    <w:link w:val="3"/>
    <w:qFormat/>
    <w:uiPriority w:val="9"/>
    <w:rPr>
      <w:b/>
      <w:bCs/>
      <w:color w:val="1A1A1A"/>
      <w:sz w:val="28"/>
      <w:szCs w:val="32"/>
    </w:rPr>
  </w:style>
  <w:style w:type="character" w:customStyle="1" w:styleId="15">
    <w:name w:val="标题 3 字符"/>
    <w:basedOn w:val="12"/>
    <w:link w:val="4"/>
    <w:qFormat/>
    <w:uiPriority w:val="9"/>
    <w:rPr>
      <w:bCs/>
      <w:color w:val="1A1A1A"/>
      <w:sz w:val="28"/>
      <w:szCs w:val="28"/>
    </w:rPr>
  </w:style>
  <w:style w:type="character" w:customStyle="1" w:styleId="16">
    <w:name w:val="标题 4 字符"/>
    <w:basedOn w:val="12"/>
    <w:link w:val="5"/>
    <w:qFormat/>
    <w:uiPriority w:val="9"/>
    <w:rPr>
      <w:bCs/>
      <w:color w:val="1A1A1A"/>
      <w:sz w:val="24"/>
      <w:szCs w:val="24"/>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fontstyle11"/>
    <w:basedOn w:val="12"/>
    <w:qFormat/>
    <w:uiPriority w:val="0"/>
    <w:rPr>
      <w:rFonts w:hint="default" w:ascii="仿宋_GB2312" w:hAnsi="仿宋_GB2312"/>
      <w:color w:val="000000"/>
      <w:sz w:val="32"/>
      <w:szCs w:val="32"/>
    </w:rPr>
  </w:style>
  <w:style w:type="character" w:customStyle="1" w:styleId="20">
    <w:name w:val="fontstyle21"/>
    <w:basedOn w:val="12"/>
    <w:qFormat/>
    <w:uiPriority w:val="0"/>
    <w:rPr>
      <w:rFonts w:hint="default" w:ascii="TimesNewRomanPSMT" w:hAnsi="TimesNewRomanPSMT"/>
      <w:color w:val="000000"/>
      <w:sz w:val="32"/>
      <w:szCs w:val="32"/>
    </w:rPr>
  </w:style>
  <w:style w:type="character" w:customStyle="1" w:styleId="21">
    <w:name w:val="标题 5 字符"/>
    <w:basedOn w:val="12"/>
    <w:link w:val="6"/>
    <w:qFormat/>
    <w:uiPriority w:val="9"/>
    <w:rPr>
      <w:rFonts w:ascii="Calibri" w:hAnsi="Calibri" w:cs="Times New Roman"/>
      <w:b/>
      <w:bCs/>
      <w:sz w:val="28"/>
      <w:szCs w:val="28"/>
    </w:rPr>
  </w:style>
  <w:style w:type="character" w:customStyle="1" w:styleId="22">
    <w:name w:val="标题 字符"/>
    <w:basedOn w:val="12"/>
    <w:link w:val="9"/>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1869</Words>
  <Characters>2020</Characters>
  <Lines>126</Lines>
  <Paragraphs>138</Paragraphs>
  <TotalTime>69</TotalTime>
  <ScaleCrop>false</ScaleCrop>
  <LinksUpToDate>false</LinksUpToDate>
  <CharactersWithSpaces>3751</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2025-01-02T10:44:00Z</dcterms:created>
  <dc:creator>灿中 戎</dc:creator>
  <cp:lastModifiedBy>user</cp:lastModifiedBy>
  <cp:lastPrinted>2025-01-06T16:00:00Z</cp:lastPrinted>
  <dcterms:modified xsi:type="dcterms:W3CDTF">2025-11-24T09:19:52Z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