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国际红树林中心宣传衍生品</w:t>
      </w:r>
    </w:p>
    <w:p>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设计与制作项目采购需求</w:t>
      </w:r>
      <w:r>
        <w:rPr>
          <w:rFonts w:hint="eastAsia" w:ascii="方正小标宋_GBK" w:hAnsi="方正小标宋_GBK" w:eastAsia="方正小标宋_GBK" w:cs="方正小标宋_GBK"/>
          <w:bCs/>
          <w:color w:val="000000"/>
          <w:sz w:val="44"/>
          <w:szCs w:val="44"/>
          <w:lang w:eastAsia="zh-CN"/>
        </w:rPr>
        <w:t>文件</w:t>
      </w:r>
    </w:p>
    <w:tbl>
      <w:tblPr>
        <w:tblStyle w:val="12"/>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rPr>
          <w:trHeight w:val="47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项目名称</w:t>
            </w:r>
          </w:p>
        </w:tc>
        <w:tc>
          <w:tcPr>
            <w:tcW w:w="7407" w:type="dxa"/>
            <w:gridSpan w:val="4"/>
            <w:vAlign w:val="center"/>
          </w:tcPr>
          <w:p>
            <w:pPr>
              <w:jc w:val="left"/>
              <w:rPr>
                <w:rFonts w:hint="default" w:ascii="仿宋" w:hAnsi="仿宋" w:eastAsia="仿宋" w:cs="仿宋"/>
                <w:color w:val="000000"/>
                <w:szCs w:val="21"/>
                <w:lang w:val="en-US" w:eastAsia="zh-CN"/>
              </w:rPr>
            </w:pPr>
            <w:r>
              <w:rPr>
                <w:rFonts w:hint="eastAsia" w:ascii="仿宋" w:hAnsi="仿宋" w:eastAsia="仿宋" w:cs="仿宋"/>
                <w:color w:val="000000"/>
                <w:szCs w:val="21"/>
                <w:lang w:val="en" w:eastAsia="zh-CN"/>
              </w:rPr>
              <w:t>国际红树林中心宣传衍生品设计与制作项目</w:t>
            </w:r>
          </w:p>
        </w:tc>
      </w:tr>
      <w:tr>
        <w:trPr>
          <w:trHeight w:val="46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广东内伶仃福田国家级自然保护区管理局</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直接确定供应商</w:t>
            </w:r>
          </w:p>
        </w:tc>
      </w:tr>
      <w:tr>
        <w:trPr>
          <w:trHeight w:val="52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计划立项批文号</w:t>
            </w:r>
          </w:p>
        </w:tc>
        <w:tc>
          <w:tcPr>
            <w:tcW w:w="3780" w:type="dxa"/>
            <w:gridSpan w:val="2"/>
            <w:vAlign w:val="center"/>
          </w:tcPr>
          <w:p>
            <w:pPr>
              <w:jc w:val="left"/>
              <w:rPr>
                <w:rFonts w:hint="eastAsia" w:ascii="仿宋" w:hAnsi="仿宋" w:eastAsia="仿宋" w:cs="仿宋"/>
                <w:color w:val="000000"/>
                <w:szCs w:val="21"/>
                <w:lang w:val="en"/>
              </w:rPr>
            </w:pPr>
            <w:r>
              <w:rPr>
                <w:rFonts w:ascii="仿宋" w:hAnsi="仿宋" w:eastAsia="仿宋" w:cs="仿宋"/>
                <w:color w:val="000000"/>
                <w:szCs w:val="21"/>
                <w:lang w:val="en"/>
              </w:rPr>
              <w:t xml:space="preserve"> </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部门预算</w:t>
            </w:r>
          </w:p>
        </w:tc>
      </w:tr>
      <w:tr>
        <w:trPr>
          <w:trHeight w:val="488"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9</w:t>
            </w:r>
            <w:r>
              <w:rPr>
                <w:rFonts w:hint="eastAsia" w:ascii="仿宋" w:hAnsi="仿宋" w:eastAsia="仿宋" w:cs="仿宋"/>
                <w:color w:val="000000"/>
                <w:szCs w:val="21"/>
                <w:lang w:val="en-US" w:eastAsia="zh-CN"/>
              </w:rPr>
              <w:t>9700</w:t>
            </w:r>
            <w:r>
              <w:rPr>
                <w:rFonts w:hint="eastAsia" w:ascii="仿宋" w:hAnsi="仿宋" w:eastAsia="仿宋" w:cs="仿宋"/>
                <w:color w:val="000000"/>
                <w:szCs w:val="21"/>
              </w:rPr>
              <w:t>元</w:t>
            </w:r>
          </w:p>
        </w:tc>
        <w:tc>
          <w:tcPr>
            <w:tcW w:w="1366" w:type="dxa"/>
            <w:vAlign w:val="center"/>
          </w:tcPr>
          <w:p>
            <w:pPr>
              <w:jc w:val="left"/>
              <w:rPr>
                <w:rFonts w:hint="eastAsia" w:ascii="仿宋" w:hAnsi="仿宋" w:eastAsia="仿宋" w:cs="仿宋"/>
                <w:color w:val="000000"/>
                <w:szCs w:val="21"/>
              </w:rPr>
            </w:pPr>
          </w:p>
        </w:tc>
        <w:tc>
          <w:tcPr>
            <w:tcW w:w="2261" w:type="dxa"/>
            <w:vAlign w:val="center"/>
          </w:tcPr>
          <w:p>
            <w:pPr>
              <w:jc w:val="left"/>
              <w:rPr>
                <w:rFonts w:hint="eastAsia" w:ascii="仿宋" w:hAnsi="仿宋" w:eastAsia="仿宋" w:cs="仿宋"/>
                <w:color w:val="000000"/>
                <w:szCs w:val="21"/>
              </w:rPr>
            </w:pPr>
          </w:p>
        </w:tc>
      </w:tr>
      <w:tr>
        <w:trPr>
          <w:trHeight w:val="725"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项目背景</w:t>
            </w:r>
          </w:p>
        </w:tc>
        <w:tc>
          <w:tcPr>
            <w:tcW w:w="7407" w:type="dxa"/>
            <w:gridSpan w:val="4"/>
            <w:vAlign w:val="center"/>
          </w:tcPr>
          <w:p>
            <w:pPr>
              <w:pStyle w:val="20"/>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both"/>
              <w:textAlignment w:val="auto"/>
              <w:rPr>
                <w:rFonts w:hint="default" w:ascii="仿宋" w:hAnsi="仿宋" w:eastAsia="仿宋" w:cs="仿宋"/>
                <w:color w:val="000000"/>
                <w:kern w:val="2"/>
                <w:sz w:val="21"/>
                <w:szCs w:val="21"/>
                <w:lang w:val="en-US" w:eastAsia="zh-CN" w:bidi="ar-SA"/>
              </w:rPr>
            </w:pPr>
            <w:r>
              <w:rPr>
                <w:rFonts w:hint="default" w:ascii="仿宋" w:hAnsi="仿宋" w:eastAsia="仿宋" w:cs="仿宋"/>
                <w:color w:val="000000"/>
                <w:kern w:val="2"/>
                <w:sz w:val="21"/>
                <w:szCs w:val="21"/>
                <w:lang w:val="en-US" w:eastAsia="zh-CN"/>
              </w:rPr>
              <w:t>2</w:t>
            </w:r>
            <w:r>
              <w:rPr>
                <w:rFonts w:hint="default" w:ascii="仿宋" w:hAnsi="仿宋" w:eastAsia="仿宋" w:cs="仿宋"/>
                <w:color w:val="000000"/>
                <w:kern w:val="2"/>
                <w:sz w:val="21"/>
                <w:szCs w:val="21"/>
                <w:lang w:val="en-US" w:eastAsia="zh-CN" w:bidi="ar-SA"/>
              </w:rPr>
              <w:t>022年11月5日，习近平总书记在《湿地公约》第十四届缔约方大会开幕式上提出在深圳建立国际红树林中心的倡议。2023年9月，在国家林业和草原局的支持下，在深圳市政府的推动下，结合深圳绿色发展和生态保护需求，经《湿地公约》常委会第62次会议审议通过，国际红树林中心</w:t>
            </w:r>
            <w:r>
              <w:rPr>
                <w:rFonts w:hint="eastAsia" w:ascii="仿宋" w:hAnsi="仿宋" w:eastAsia="仿宋" w:cs="仿宋"/>
                <w:color w:val="000000"/>
                <w:kern w:val="2"/>
                <w:sz w:val="21"/>
                <w:szCs w:val="21"/>
                <w:lang w:val="en-US" w:eastAsia="zh-CN" w:bidi="ar-SA"/>
              </w:rPr>
              <w:t>（以下简称“中心”）正式</w:t>
            </w:r>
            <w:r>
              <w:rPr>
                <w:rFonts w:hint="default" w:ascii="仿宋" w:hAnsi="仿宋" w:eastAsia="仿宋" w:cs="仿宋"/>
                <w:color w:val="000000"/>
                <w:kern w:val="2"/>
                <w:sz w:val="21"/>
                <w:szCs w:val="21"/>
                <w:lang w:val="en-US" w:eastAsia="zh-CN" w:bidi="ar-SA"/>
              </w:rPr>
              <w:t>落户深圳。</w:t>
            </w:r>
            <w:r>
              <w:rPr>
                <w:rFonts w:hint="eastAsia" w:ascii="仿宋" w:hAnsi="仿宋" w:eastAsia="仿宋" w:cs="仿宋"/>
                <w:color w:val="000000"/>
                <w:szCs w:val="21"/>
              </w:rPr>
              <w:t>国际红树林中心成立协定签署仪式系列活动已于2024年11月4日至11月7日在深圳成功举行。首批18个创始成员国共同签署了</w:t>
            </w:r>
            <w:r>
              <w:rPr>
                <w:rFonts w:hint="eastAsia" w:ascii="仿宋" w:hAnsi="仿宋" w:eastAsia="仿宋" w:cs="仿宋"/>
                <w:color w:val="000000"/>
                <w:szCs w:val="21"/>
                <w:lang w:val="en-US" w:eastAsia="zh-CN"/>
              </w:rPr>
              <w:t>国际红树林中心</w:t>
            </w:r>
            <w:r>
              <w:rPr>
                <w:rFonts w:hint="eastAsia" w:ascii="仿宋" w:hAnsi="仿宋" w:eastAsia="仿宋" w:cs="仿宋"/>
                <w:color w:val="000000"/>
                <w:szCs w:val="21"/>
              </w:rPr>
              <w:t>成立协定，标志</w:t>
            </w:r>
            <w:r>
              <w:rPr>
                <w:rFonts w:hint="default" w:ascii="仿宋" w:hAnsi="仿宋" w:eastAsia="仿宋" w:cs="仿宋"/>
                <w:color w:val="000000"/>
                <w:szCs w:val="21"/>
              </w:rPr>
              <w:t>着中心正式设立并进入实体化运行</w:t>
            </w:r>
            <w:r>
              <w:rPr>
                <w:rFonts w:hint="default" w:ascii="仿宋" w:hAnsi="仿宋" w:eastAsia="仿宋" w:cs="仿宋"/>
                <w:color w:val="000000"/>
                <w:szCs w:val="21"/>
                <w:lang w:eastAsia="zh-CN"/>
              </w:rPr>
              <w:t>。</w:t>
            </w:r>
          </w:p>
          <w:p>
            <w:pPr>
              <w:pStyle w:val="20"/>
              <w:adjustRightInd w:val="0"/>
              <w:spacing w:line="360" w:lineRule="auto"/>
              <w:ind w:firstLine="420" w:firstLineChars="200"/>
              <w:rPr>
                <w:rFonts w:hint="eastAsia" w:ascii="仿宋" w:hAnsi="仿宋" w:eastAsia="仿宋" w:cs="仿宋"/>
                <w:color w:val="000000"/>
                <w:szCs w:val="21"/>
              </w:rPr>
            </w:pPr>
            <w:r>
              <w:rPr>
                <w:rFonts w:hint="default" w:ascii="仿宋" w:hAnsi="仿宋" w:eastAsia="仿宋" w:cs="仿宋"/>
                <w:color w:val="000000"/>
                <w:szCs w:val="21"/>
              </w:rPr>
              <w:t>中心的正式运作，迫切需要建立鲜明的品牌形象、提升公众教育效能并强化国际交流能力。因此，</w:t>
            </w:r>
            <w:r>
              <w:rPr>
                <w:rFonts w:hint="eastAsia" w:ascii="仿宋" w:hAnsi="仿宋" w:eastAsia="仿宋" w:cs="仿宋"/>
                <w:color w:val="000000"/>
                <w:szCs w:val="21"/>
                <w:lang w:eastAsia="zh-CN"/>
              </w:rPr>
              <w:t>为</w:t>
            </w:r>
            <w:r>
              <w:rPr>
                <w:rFonts w:hint="default" w:ascii="仿宋" w:hAnsi="仿宋" w:eastAsia="仿宋" w:cs="仿宋"/>
                <w:color w:val="000000"/>
                <w:szCs w:val="21"/>
              </w:rPr>
              <w:t>进一步提升中心的知名度与国际影响力，深化国际国内各界对中心核心使命、主要工作目标等内容的关注与认知，现需制作一批兼具观赏性与实用性的宣传衍生品。作为中心对外展示形象的重要媒介，宣传衍生品的</w:t>
            </w:r>
            <w:r>
              <w:rPr>
                <w:rFonts w:hint="eastAsia" w:ascii="仿宋" w:hAnsi="仿宋" w:eastAsia="仿宋" w:cs="仿宋"/>
                <w:color w:val="000000"/>
                <w:szCs w:val="21"/>
                <w:lang w:eastAsia="zh-CN"/>
              </w:rPr>
              <w:t>设计</w:t>
            </w:r>
            <w:r>
              <w:rPr>
                <w:rFonts w:hint="default" w:ascii="仿宋" w:hAnsi="仿宋" w:eastAsia="仿宋" w:cs="仿宋"/>
                <w:color w:val="000000"/>
                <w:szCs w:val="21"/>
              </w:rPr>
              <w:t>制作将有效提升国际红树林中心的公众教育、国际交流及品牌形象推广。</w:t>
            </w:r>
          </w:p>
        </w:tc>
      </w:tr>
      <w:tr>
        <w:trPr>
          <w:trHeight w:val="60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407" w:type="dxa"/>
            <w:gridSpan w:val="4"/>
            <w:vAlign w:val="center"/>
          </w:tcPr>
          <w:p>
            <w:pPr>
              <w:jc w:val="left"/>
              <w:rPr>
                <w:rFonts w:hint="eastAsia" w:ascii="仿宋" w:hAnsi="仿宋" w:eastAsia="仿宋" w:cs="仿宋"/>
                <w:color w:val="auto"/>
                <w:szCs w:val="21"/>
              </w:rPr>
            </w:pPr>
          </w:p>
        </w:tc>
      </w:tr>
      <w:tr>
        <w:trPr>
          <w:trHeight w:val="652" w:hRule="atLeast"/>
        </w:trPr>
        <w:tc>
          <w:tcPr>
            <w:tcW w:w="156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pPr>
              <w:jc w:val="left"/>
              <w:rPr>
                <w:rFonts w:hint="eastAsia" w:ascii="仿宋" w:hAnsi="仿宋" w:eastAsia="仿宋" w:cs="仿宋"/>
                <w:b/>
                <w:color w:val="auto"/>
                <w:kern w:val="0"/>
                <w:szCs w:val="21"/>
              </w:rPr>
            </w:pPr>
            <w:r>
              <w:rPr>
                <w:rFonts w:hint="eastAsia" w:ascii="仿宋" w:hAnsi="仿宋" w:eastAsia="仿宋" w:cs="仿宋"/>
                <w:b/>
                <w:color w:val="auto"/>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1）具有独立法人资格；</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2）本项目不接受联合体投标，不允许分包，（不接受投标人选用进口产品参与投标）。</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3）参与本项目投标前三年内，在经营活动中没有重大违法记录（由供应商在《供应商声明函》中作出声明）。</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4）参与本项目政府采购活动时不存在被有关部门禁止参与政府采购活动且在有效期内的情况（由供应商在《供应商声明函》中作出声明）。</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5）具备《中华人民共和国政府采购法》第二十二条第一款的条件（由供应商在《供应商声明函》中作出声明）。</w:t>
            </w:r>
          </w:p>
          <w:p>
            <w:pPr>
              <w:jc w:val="left"/>
              <w:rPr>
                <w:rFonts w:hint="eastAsia" w:ascii="仿宋" w:hAnsi="仿宋" w:eastAsia="仿宋" w:cs="仿宋"/>
                <w:color w:val="auto"/>
                <w:kern w:val="0"/>
                <w:szCs w:val="21"/>
              </w:rPr>
            </w:pPr>
            <w:r>
              <w:rPr>
                <w:rFonts w:hint="eastAsia" w:ascii="仿宋" w:hAnsi="仿宋" w:eastAsia="仿宋" w:cs="仿宋"/>
                <w:color w:val="auto"/>
                <w:kern w:val="0"/>
                <w:szCs w:val="21"/>
              </w:rPr>
              <w:t>6）参与政府采购项目投标的供应商未被列入失信被执行人、重大税收违法案件当事人名单、政府采购严重违法失信行为记录名单，不存在《深圳市财政局政府采购供应商信用信息管理办法》（深财规〔2023〕3号）列明的严重违法失信行为（由供应商在《政府采购投标及履约承诺函》中作出声明</w:t>
            </w:r>
            <w:r>
              <w:rPr>
                <w:rFonts w:hint="eastAsia" w:ascii="仿宋" w:hAnsi="仿宋" w:eastAsia="仿宋" w:cs="仿宋"/>
                <w:color w:val="auto"/>
                <w:kern w:val="0"/>
                <w:szCs w:val="21"/>
                <w:lang w:eastAsia="zh-CN"/>
              </w:rPr>
              <w:t>）。</w:t>
            </w:r>
          </w:p>
        </w:tc>
      </w:tr>
      <w:tr>
        <w:trPr>
          <w:trHeight w:val="652"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pPr>
              <w:widowControl/>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1、报价要求</w:t>
            </w:r>
          </w:p>
          <w:p>
            <w:pPr>
              <w:jc w:val="left"/>
              <w:rPr>
                <w:rFonts w:hint="eastAsia" w:ascii="仿宋" w:hAnsi="仿宋" w:eastAsia="仿宋" w:cs="仿宋"/>
                <w:color w:val="auto"/>
                <w:szCs w:val="21"/>
              </w:rPr>
            </w:pPr>
            <w:r>
              <w:rPr>
                <w:rFonts w:hint="eastAsia" w:ascii="仿宋" w:hAnsi="仿宋" w:eastAsia="仿宋" w:cs="仿宋"/>
                <w:color w:val="auto"/>
                <w:szCs w:val="21"/>
              </w:rPr>
              <w:t>（1）本项目服务费采用包干制，应包括服务成本、法定税费和企业的利润。由投标供应商根据采购文件所提供的资料自行测算投标报价；报价总价作为中标供应商与采购人</w:t>
            </w:r>
            <w:r>
              <w:rPr>
                <w:rFonts w:hint="eastAsia" w:ascii="仿宋" w:hAnsi="仿宋" w:eastAsia="仿宋" w:cs="仿宋"/>
                <w:color w:val="auto"/>
                <w:szCs w:val="21"/>
                <w:lang w:eastAsia="zh-CN"/>
              </w:rPr>
              <w:t>签订</w:t>
            </w:r>
            <w:r>
              <w:rPr>
                <w:rFonts w:hint="eastAsia" w:ascii="仿宋" w:hAnsi="仿宋" w:eastAsia="仿宋" w:cs="仿宋"/>
                <w:color w:val="auto"/>
                <w:szCs w:val="21"/>
              </w:rPr>
              <w:t>的合同金额，后期结算按标准据实结算。</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（2）供应商应当根据本企业的成本自行决定报价，但不得以低于其企业成本的报价投标。</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（3）本项目预算金额为人民币99700</w:t>
            </w:r>
            <w:r>
              <w:rPr>
                <w:rFonts w:ascii="仿宋" w:hAnsi="仿宋" w:eastAsia="仿宋" w:cs="仿宋"/>
                <w:color w:val="auto"/>
                <w:szCs w:val="21"/>
              </w:rPr>
              <w:t>元</w:t>
            </w:r>
            <w:r>
              <w:rPr>
                <w:rFonts w:hint="eastAsia" w:ascii="仿宋" w:hAnsi="仿宋" w:eastAsia="仿宋" w:cs="仿宋"/>
                <w:color w:val="auto"/>
                <w:szCs w:val="21"/>
              </w:rPr>
              <w:t>，供应商的报价不得超过项目预算金额。最终结算金额以实际发生额为准。</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（4）供应商的报价，应当是本项目采购范围和采购文件及合同条款上所列的各项内容中所述的全部，不得以任何理由予以重复。</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（5）供应商应先到项目地点踏勘以充分了解项目的位置、情况及任何</w:t>
            </w:r>
            <w:r>
              <w:rPr>
                <w:rFonts w:hint="eastAsia" w:ascii="仿宋" w:hAnsi="仿宋" w:eastAsia="仿宋" w:cs="仿宋"/>
                <w:color w:val="auto"/>
                <w:szCs w:val="21"/>
                <w:lang w:eastAsia="zh-CN"/>
              </w:rPr>
              <w:t>其他</w:t>
            </w:r>
            <w:r>
              <w:rPr>
                <w:rFonts w:hint="eastAsia" w:ascii="仿宋" w:hAnsi="仿宋" w:eastAsia="仿宋" w:cs="仿宋"/>
                <w:color w:val="auto"/>
                <w:szCs w:val="21"/>
              </w:rPr>
              <w:t>足以影响投标报价的情况，任何因忽视或误解项目情况而导致的索赔或服务期限延长申请将不获批准。</w:t>
            </w:r>
          </w:p>
          <w:p>
            <w:pPr>
              <w:widowControl/>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2、付款方式</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分二期付款。</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第一期：自双方签订合同之日起10个工作日内</w:t>
            </w:r>
            <w:r>
              <w:rPr>
                <w:rFonts w:hint="default" w:ascii="仿宋" w:hAnsi="仿宋" w:eastAsia="仿宋" w:cs="仿宋"/>
                <w:color w:val="auto"/>
                <w:kern w:val="2"/>
                <w:sz w:val="21"/>
                <w:szCs w:val="21"/>
                <w:lang w:val="en-US" w:eastAsia="zh-CN" w:bidi="ar-SA"/>
              </w:rPr>
              <w:t>付合同首期款</w:t>
            </w:r>
            <w:r>
              <w:rPr>
                <w:rFonts w:hint="eastAsia" w:ascii="仿宋" w:hAnsi="仿宋" w:eastAsia="仿宋" w:cs="仿宋"/>
                <w:color w:val="auto"/>
                <w:szCs w:val="21"/>
              </w:rPr>
              <w:t>，</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提出付款申请及有效发票，采购方根据合同金额支付</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合同总价款的</w:t>
            </w:r>
            <w:r>
              <w:rPr>
                <w:rFonts w:hint="eastAsia" w:ascii="仿宋" w:hAnsi="仿宋" w:eastAsia="仿宋" w:cs="仿宋"/>
                <w:color w:val="auto"/>
                <w:szCs w:val="21"/>
                <w:lang w:val="en-US" w:eastAsia="zh-CN"/>
              </w:rPr>
              <w:t>7</w:t>
            </w:r>
            <w:r>
              <w:rPr>
                <w:rFonts w:hint="eastAsia" w:ascii="仿宋" w:hAnsi="仿宋" w:eastAsia="仿宋" w:cs="仿宋"/>
                <w:color w:val="auto"/>
                <w:szCs w:val="21"/>
              </w:rPr>
              <w:t>0%。</w:t>
            </w:r>
          </w:p>
          <w:p>
            <w:pPr>
              <w:widowControl/>
              <w:jc w:val="left"/>
              <w:rPr>
                <w:rFonts w:hint="eastAsia" w:ascii="仿宋" w:hAnsi="仿宋" w:eastAsia="仿宋" w:cs="仿宋"/>
                <w:color w:val="auto"/>
                <w:szCs w:val="21"/>
              </w:rPr>
            </w:pPr>
            <w:r>
              <w:rPr>
                <w:rFonts w:hint="eastAsia" w:ascii="仿宋" w:hAnsi="仿宋" w:eastAsia="仿宋" w:cs="仿宋"/>
                <w:color w:val="auto"/>
                <w:szCs w:val="21"/>
              </w:rPr>
              <w:t>第二期：</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完成合同规定的各项工作内容、按照合同规定提交最终成果验收报告，并提出付款申请及有效发票后，采购方支付</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实际总价款</w:t>
            </w:r>
            <w:r>
              <w:rPr>
                <w:rFonts w:hint="eastAsia" w:ascii="仿宋" w:hAnsi="仿宋" w:eastAsia="仿宋" w:cs="仿宋"/>
                <w:color w:val="auto"/>
                <w:szCs w:val="21"/>
                <w:lang w:val="en-US" w:eastAsia="zh-CN"/>
              </w:rPr>
              <w:t>剩余</w:t>
            </w:r>
            <w:r>
              <w:rPr>
                <w:rFonts w:hint="eastAsia" w:ascii="仿宋" w:hAnsi="仿宋" w:eastAsia="仿宋" w:cs="仿宋"/>
                <w:color w:val="auto"/>
                <w:szCs w:val="21"/>
              </w:rPr>
              <w:t>的</w:t>
            </w:r>
            <w:r>
              <w:rPr>
                <w:rFonts w:hint="eastAsia" w:ascii="仿宋" w:hAnsi="仿宋" w:eastAsia="仿宋" w:cs="仿宋"/>
                <w:color w:val="auto"/>
                <w:szCs w:val="21"/>
                <w:lang w:val="en-US" w:eastAsia="zh-CN"/>
              </w:rPr>
              <w:t>3</w:t>
            </w:r>
            <w:r>
              <w:rPr>
                <w:rFonts w:hint="eastAsia" w:ascii="仿宋" w:hAnsi="仿宋" w:eastAsia="仿宋" w:cs="仿宋"/>
                <w:color w:val="auto"/>
                <w:szCs w:val="21"/>
              </w:rPr>
              <w:t>0%。</w:t>
            </w:r>
          </w:p>
          <w:p>
            <w:pPr>
              <w:widowControl/>
              <w:jc w:val="left"/>
              <w:rPr>
                <w:rFonts w:hint="eastAsia" w:ascii="仿宋" w:hAnsi="仿宋" w:eastAsia="仿宋" w:cs="仿宋"/>
                <w:color w:val="auto"/>
                <w:szCs w:val="21"/>
              </w:rPr>
            </w:pPr>
            <w:r>
              <w:rPr>
                <w:rFonts w:hint="eastAsia" w:ascii="仿宋" w:hAnsi="仿宋" w:eastAsia="仿宋" w:cs="仿宋"/>
                <w:b/>
                <w:color w:val="auto"/>
                <w:szCs w:val="21"/>
              </w:rPr>
              <w:t>*</w:t>
            </w:r>
            <w:r>
              <w:rPr>
                <w:rFonts w:hint="eastAsia" w:ascii="仿宋" w:hAnsi="仿宋" w:eastAsia="仿宋" w:cs="仿宋"/>
                <w:color w:val="auto"/>
                <w:szCs w:val="21"/>
              </w:rPr>
              <w:t>3、履约保证金</w:t>
            </w:r>
          </w:p>
          <w:p>
            <w:pPr>
              <w:widowControl/>
              <w:jc w:val="left"/>
              <w:rPr>
                <w:rFonts w:hint="eastAsia" w:ascii="仿宋" w:hAnsi="仿宋" w:eastAsia="仿宋" w:cs="仿宋"/>
                <w:color w:val="auto"/>
                <w:kern w:val="0"/>
                <w:szCs w:val="21"/>
              </w:rPr>
            </w:pPr>
            <w:r>
              <w:rPr>
                <w:rFonts w:hint="eastAsia" w:ascii="仿宋" w:hAnsi="仿宋" w:eastAsia="仿宋" w:cs="仿宋"/>
                <w:color w:val="auto"/>
                <w:szCs w:val="21"/>
              </w:rPr>
              <w:t>无需缴纳履约保证金。</w:t>
            </w:r>
          </w:p>
        </w:tc>
      </w:tr>
      <w:tr>
        <w:trPr>
          <w:trHeight w:val="1303"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pPr>
              <w:jc w:val="left"/>
              <w:rPr>
                <w:rFonts w:hint="eastAsia" w:ascii="仿宋" w:hAnsi="仿宋" w:eastAsia="仿宋" w:cs="仿宋"/>
                <w:color w:val="auto"/>
                <w:szCs w:val="21"/>
              </w:rPr>
            </w:pPr>
            <w:r>
              <w:rPr>
                <w:rFonts w:hint="eastAsia" w:ascii="仿宋" w:hAnsi="仿宋" w:eastAsia="仿宋" w:cs="仿宋"/>
                <w:color w:val="auto"/>
                <w:szCs w:val="21"/>
              </w:rPr>
              <w:t>1.总体要求</w:t>
            </w:r>
          </w:p>
          <w:p>
            <w:pPr>
              <w:jc w:val="left"/>
              <w:rPr>
                <w:rFonts w:hint="eastAsia" w:ascii="仿宋" w:hAnsi="仿宋" w:eastAsia="仿宋" w:cs="仿宋"/>
                <w:color w:val="auto"/>
                <w:szCs w:val="21"/>
              </w:rPr>
            </w:pPr>
            <w:r>
              <w:rPr>
                <w:rFonts w:hint="eastAsia" w:ascii="仿宋" w:hAnsi="仿宋" w:eastAsia="仿宋" w:cs="仿宋"/>
                <w:color w:val="auto"/>
                <w:szCs w:val="21"/>
                <w:lang w:val="en-US" w:eastAsia="zh-CN"/>
              </w:rPr>
              <w:t>为提升国际红树林中心的影响力，</w:t>
            </w:r>
            <w:r>
              <w:rPr>
                <w:rFonts w:hint="eastAsia" w:ascii="仿宋" w:hAnsi="仿宋" w:eastAsia="仿宋" w:cs="仿宋"/>
                <w:color w:val="auto"/>
                <w:szCs w:val="21"/>
              </w:rPr>
              <w:t>促进红树林保护修复及合理利用领域</w:t>
            </w:r>
            <w:r>
              <w:rPr>
                <w:rFonts w:hint="eastAsia" w:ascii="仿宋" w:hAnsi="仿宋" w:eastAsia="仿宋" w:cs="仿宋"/>
                <w:color w:val="auto"/>
                <w:szCs w:val="21"/>
                <w:lang w:val="en-US" w:eastAsia="zh-CN"/>
              </w:rPr>
              <w:t>国际交流</w:t>
            </w:r>
            <w:r>
              <w:rPr>
                <w:rFonts w:hint="eastAsia" w:ascii="仿宋" w:hAnsi="仿宋" w:eastAsia="仿宋" w:cs="仿宋"/>
                <w:color w:val="auto"/>
                <w:szCs w:val="21"/>
              </w:rPr>
              <w:t>，拟通过宣传册策划、视觉效果设计、定制图片设计、</w:t>
            </w:r>
            <w:r>
              <w:rPr>
                <w:rFonts w:hint="eastAsia" w:ascii="仿宋" w:hAnsi="仿宋" w:eastAsia="仿宋" w:cs="仿宋"/>
                <w:color w:val="auto"/>
                <w:szCs w:val="21"/>
                <w:lang w:val="en-US" w:eastAsia="zh-CN"/>
              </w:rPr>
              <w:t>制作等推进方式，开展</w:t>
            </w:r>
            <w:r>
              <w:rPr>
                <w:rFonts w:hint="eastAsia" w:ascii="仿宋" w:hAnsi="仿宋" w:eastAsia="仿宋" w:cs="仿宋"/>
                <w:color w:val="auto"/>
                <w:szCs w:val="21"/>
              </w:rPr>
              <w:t>国际红树林中心宣传衍生品设计</w:t>
            </w:r>
            <w:r>
              <w:rPr>
                <w:rFonts w:hint="eastAsia" w:ascii="仿宋" w:hAnsi="仿宋" w:eastAsia="仿宋" w:cs="仿宋"/>
                <w:color w:val="auto"/>
                <w:szCs w:val="21"/>
                <w:lang w:val="en-US" w:eastAsia="zh-CN"/>
              </w:rPr>
              <w:t>与制作</w:t>
            </w:r>
            <w:bookmarkStart w:id="1" w:name="_GoBack"/>
            <w:bookmarkEnd w:id="1"/>
            <w:r>
              <w:rPr>
                <w:rFonts w:hint="eastAsia" w:ascii="仿宋" w:hAnsi="仿宋" w:eastAsia="仿宋" w:cs="仿宋"/>
                <w:color w:val="auto"/>
                <w:szCs w:val="21"/>
              </w:rPr>
              <w:t>项目</w:t>
            </w:r>
            <w:r>
              <w:rPr>
                <w:rFonts w:hint="eastAsia" w:ascii="仿宋" w:hAnsi="仿宋" w:eastAsia="仿宋" w:cs="仿宋"/>
                <w:color w:val="auto"/>
                <w:szCs w:val="21"/>
                <w:lang w:eastAsia="zh-CN"/>
              </w:rPr>
              <w:t>。</w:t>
            </w:r>
            <w:r>
              <w:rPr>
                <w:rFonts w:hint="eastAsia" w:ascii="仿宋" w:hAnsi="仿宋" w:eastAsia="仿宋" w:cs="仿宋"/>
                <w:color w:val="auto"/>
                <w:szCs w:val="21"/>
              </w:rPr>
              <w:t>搭建中心对外展示形象、传递核心价值的多元传播平台，进一步提升国际红树林中心的知名度和</w:t>
            </w:r>
            <w:r>
              <w:rPr>
                <w:rFonts w:hint="eastAsia" w:ascii="仿宋" w:hAnsi="仿宋" w:eastAsia="仿宋" w:cs="仿宋"/>
                <w:color w:val="auto"/>
                <w:szCs w:val="21"/>
                <w:lang w:val="en-US" w:eastAsia="zh-CN"/>
              </w:rPr>
              <w:t>全球湿地保护</w:t>
            </w:r>
            <w:r>
              <w:rPr>
                <w:rFonts w:hint="eastAsia" w:ascii="仿宋" w:hAnsi="仿宋" w:eastAsia="仿宋" w:cs="仿宋"/>
                <w:color w:val="auto"/>
                <w:szCs w:val="21"/>
              </w:rPr>
              <w:t>影响力，为全球湿地生态治理贡献“中国智慧”和“中国力量”。</w:t>
            </w:r>
          </w:p>
          <w:p>
            <w:pPr>
              <w:jc w:val="left"/>
              <w:rPr>
                <w:rFonts w:hint="eastAsia" w:ascii="仿宋" w:hAnsi="仿宋" w:eastAsia="仿宋" w:cs="仿宋"/>
                <w:color w:val="auto"/>
                <w:szCs w:val="21"/>
              </w:rPr>
            </w:pPr>
            <w:r>
              <w:rPr>
                <w:rFonts w:hint="eastAsia" w:ascii="仿宋" w:hAnsi="仿宋" w:eastAsia="仿宋" w:cs="仿宋"/>
                <w:color w:val="auto"/>
                <w:szCs w:val="21"/>
              </w:rPr>
              <w:t>2.服务地点</w:t>
            </w:r>
          </w:p>
          <w:p>
            <w:pPr>
              <w:jc w:val="left"/>
              <w:rPr>
                <w:rFonts w:hint="eastAsia" w:ascii="仿宋" w:hAnsi="仿宋" w:eastAsia="仿宋" w:cs="仿宋"/>
                <w:color w:val="auto"/>
                <w:szCs w:val="21"/>
              </w:rPr>
            </w:pPr>
            <w:r>
              <w:rPr>
                <w:rFonts w:hint="eastAsia" w:ascii="仿宋" w:hAnsi="仿宋" w:eastAsia="仿宋" w:cs="仿宋"/>
                <w:color w:val="auto"/>
                <w:szCs w:val="21"/>
              </w:rPr>
              <w:t>广东省深圳市</w:t>
            </w:r>
          </w:p>
          <w:p>
            <w:pPr>
              <w:jc w:val="left"/>
              <w:rPr>
                <w:rFonts w:hint="eastAsia" w:ascii="仿宋" w:hAnsi="仿宋" w:eastAsia="仿宋" w:cs="仿宋"/>
                <w:color w:val="auto"/>
                <w:szCs w:val="21"/>
              </w:rPr>
            </w:pPr>
            <w:r>
              <w:rPr>
                <w:rFonts w:hint="eastAsia" w:ascii="仿宋" w:hAnsi="仿宋" w:eastAsia="仿宋" w:cs="仿宋"/>
                <w:color w:val="auto"/>
                <w:szCs w:val="21"/>
              </w:rPr>
              <w:t>服务时间</w:t>
            </w:r>
          </w:p>
          <w:p>
            <w:pPr>
              <w:jc w:val="left"/>
              <w:rPr>
                <w:rFonts w:hint="eastAsia" w:ascii="仿宋" w:hAnsi="仿宋" w:eastAsia="仿宋" w:cs="仿宋"/>
                <w:color w:val="auto"/>
                <w:szCs w:val="21"/>
              </w:rPr>
            </w:pPr>
            <w:r>
              <w:rPr>
                <w:rFonts w:hint="eastAsia" w:ascii="仿宋" w:hAnsi="仿宋" w:eastAsia="仿宋" w:cs="仿宋"/>
                <w:color w:val="auto"/>
                <w:szCs w:val="21"/>
              </w:rPr>
              <w:t>自合同签订后</w:t>
            </w:r>
            <w:r>
              <w:rPr>
                <w:rFonts w:hint="eastAsia" w:ascii="仿宋" w:hAnsi="仿宋" w:eastAsia="仿宋" w:cs="仿宋"/>
                <w:color w:val="auto"/>
                <w:szCs w:val="21"/>
                <w:lang w:val="en-US" w:eastAsia="zh-CN"/>
              </w:rPr>
              <w:t>至</w:t>
            </w:r>
            <w:r>
              <w:rPr>
                <w:rFonts w:hint="eastAsia" w:ascii="仿宋" w:hAnsi="仿宋" w:eastAsia="仿宋" w:cs="仿宋"/>
                <w:color w:val="auto"/>
                <w:szCs w:val="21"/>
              </w:rPr>
              <w:t>2025年12月31日</w:t>
            </w:r>
          </w:p>
          <w:p>
            <w:pPr>
              <w:tabs>
                <w:tab w:val="left" w:pos="6173"/>
              </w:tabs>
              <w:jc w:val="left"/>
              <w:rPr>
                <w:rFonts w:hint="eastAsia" w:ascii="仿宋" w:hAnsi="仿宋" w:eastAsia="仿宋" w:cs="仿宋"/>
                <w:color w:val="auto"/>
                <w:szCs w:val="21"/>
              </w:rPr>
            </w:pPr>
            <w:r>
              <w:rPr>
                <w:rFonts w:hint="eastAsia" w:ascii="仿宋" w:hAnsi="仿宋" w:eastAsia="仿宋" w:cs="仿宋"/>
                <w:color w:val="auto"/>
                <w:szCs w:val="21"/>
              </w:rPr>
              <w:t>3.人员安排要求</w:t>
            </w:r>
            <w:r>
              <w:rPr>
                <w:rFonts w:ascii="仿宋" w:hAnsi="仿宋" w:eastAsia="仿宋" w:cs="仿宋"/>
                <w:color w:val="auto"/>
                <w:szCs w:val="21"/>
              </w:rPr>
              <w:tab/>
            </w:r>
          </w:p>
          <w:p>
            <w:pPr>
              <w:jc w:val="left"/>
              <w:rPr>
                <w:rFonts w:hint="eastAsia" w:ascii="仿宋" w:hAnsi="仿宋" w:eastAsia="仿宋" w:cs="仿宋"/>
                <w:color w:val="auto"/>
                <w:szCs w:val="21"/>
              </w:rPr>
            </w:pPr>
            <w:r>
              <w:rPr>
                <w:rFonts w:hint="eastAsia" w:ascii="仿宋" w:hAnsi="仿宋" w:eastAsia="仿宋" w:cs="仿宋"/>
                <w:color w:val="auto"/>
                <w:szCs w:val="21"/>
              </w:rPr>
              <w:t>项目组应具有丰富的宣传设计工作经验，确保项目高质量开展。</w:t>
            </w:r>
          </w:p>
          <w:p>
            <w:pPr>
              <w:jc w:val="left"/>
              <w:rPr>
                <w:rFonts w:hint="eastAsia" w:ascii="仿宋" w:hAnsi="仿宋" w:eastAsia="仿宋" w:cs="仿宋"/>
                <w:color w:val="auto"/>
                <w:szCs w:val="21"/>
              </w:rPr>
            </w:pPr>
            <w:r>
              <w:rPr>
                <w:rFonts w:hint="eastAsia" w:ascii="仿宋" w:hAnsi="仿宋" w:eastAsia="仿宋" w:cs="仿宋"/>
                <w:color w:val="auto"/>
                <w:szCs w:val="21"/>
              </w:rPr>
              <w:t>4.内容要求</w:t>
            </w:r>
          </w:p>
          <w:p>
            <w:pPr>
              <w:jc w:val="left"/>
              <w:rPr>
                <w:rFonts w:hint="eastAsia" w:ascii="仿宋" w:hAnsi="仿宋" w:eastAsia="仿宋" w:cs="仿宋"/>
                <w:color w:val="auto"/>
                <w:szCs w:val="21"/>
              </w:rPr>
            </w:pPr>
            <w:r>
              <w:rPr>
                <w:rFonts w:hint="eastAsia" w:ascii="仿宋" w:hAnsi="仿宋" w:eastAsia="仿宋" w:cs="仿宋"/>
                <w:color w:val="auto"/>
                <w:szCs w:val="21"/>
              </w:rPr>
              <w:t>本项目工作内容主要包含宣传册策划、视觉效果设计、定制图片设计、制作等工作。</w:t>
            </w:r>
          </w:p>
          <w:p>
            <w:pPr>
              <w:jc w:val="left"/>
              <w:rPr>
                <w:rFonts w:hint="eastAsia" w:ascii="仿宋" w:hAnsi="仿宋" w:eastAsia="仿宋" w:cs="仿宋"/>
                <w:color w:val="auto"/>
                <w:szCs w:val="21"/>
              </w:rPr>
            </w:pPr>
            <w:r>
              <w:rPr>
                <w:rFonts w:hint="eastAsia" w:ascii="仿宋" w:hAnsi="仿宋" w:eastAsia="仿宋" w:cs="仿宋"/>
                <w:color w:val="auto"/>
                <w:szCs w:val="21"/>
              </w:rPr>
              <w:t>（1）宣传册策划：根据项目具体情况，明确宣传册主题定位、内容结构规划和核心信息梳理等工作。</w:t>
            </w:r>
          </w:p>
          <w:p>
            <w:pPr>
              <w:jc w:val="left"/>
              <w:rPr>
                <w:rFonts w:hint="eastAsia" w:ascii="仿宋" w:hAnsi="仿宋" w:eastAsia="仿宋" w:cs="仿宋"/>
                <w:color w:val="auto"/>
                <w:szCs w:val="21"/>
              </w:rPr>
            </w:pPr>
            <w:r>
              <w:rPr>
                <w:rFonts w:hint="eastAsia" w:ascii="仿宋" w:hAnsi="仿宋" w:eastAsia="仿宋" w:cs="仿宋"/>
                <w:color w:val="auto"/>
                <w:szCs w:val="21"/>
              </w:rPr>
              <w:t>（2）视觉效果设计：按照需求，进行整体风格定调、色彩体系设计、版式风格规范等工作。</w:t>
            </w:r>
          </w:p>
          <w:p>
            <w:pPr>
              <w:jc w:val="left"/>
              <w:rPr>
                <w:rFonts w:hint="eastAsia" w:ascii="仿宋" w:hAnsi="仿宋" w:eastAsia="仿宋" w:cs="仿宋"/>
                <w:color w:val="auto"/>
                <w:szCs w:val="21"/>
              </w:rPr>
            </w:pPr>
            <w:r>
              <w:rPr>
                <w:rFonts w:hint="eastAsia" w:ascii="仿宋" w:hAnsi="仿宋" w:eastAsia="仿宋" w:cs="仿宋"/>
                <w:color w:val="auto"/>
                <w:szCs w:val="21"/>
              </w:rPr>
              <w:t>（3）定制图片设计、制作：提取红树林、招潮蟹以及黑脸琵鹭等核心生态元素，对相关图片进行后期处理及设计工作。</w:t>
            </w:r>
          </w:p>
          <w:p>
            <w:pPr>
              <w:jc w:val="left"/>
              <w:rPr>
                <w:rFonts w:hint="eastAsia" w:ascii="仿宋" w:hAnsi="仿宋" w:eastAsia="仿宋" w:cs="仿宋"/>
                <w:color w:val="auto"/>
                <w:szCs w:val="21"/>
              </w:rPr>
            </w:pPr>
            <w:r>
              <w:rPr>
                <w:rFonts w:hint="eastAsia" w:ascii="仿宋" w:hAnsi="仿宋" w:eastAsia="仿宋" w:cs="仿宋"/>
                <w:color w:val="auto"/>
                <w:szCs w:val="21"/>
              </w:rPr>
              <w:t>（4）其他：进行10页折页宣传册内容撰写、专业表述核对、错别字修正，调整宣传折页整体排版设计，提供宣传册折页翻译以及打样服务，包含打样1、PDF版（用于内容确认）；2、实体打样（250g铜版纸+覆哑膜）。</w:t>
            </w:r>
          </w:p>
        </w:tc>
      </w:tr>
      <w:tr>
        <w:trPr>
          <w:trHeight w:val="694" w:hRule="atLeast"/>
        </w:trPr>
        <w:tc>
          <w:tcPr>
            <w:tcW w:w="1560" w:type="dxa"/>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pPr>
              <w:jc w:val="left"/>
              <w:rPr>
                <w:rFonts w:hint="eastAsia" w:ascii="仿宋" w:hAnsi="仿宋" w:eastAsia="仿宋" w:cs="仿宋"/>
                <w:color w:val="auto"/>
                <w:szCs w:val="21"/>
              </w:rPr>
            </w:pPr>
            <w:r>
              <w:rPr>
                <w:rFonts w:hint="eastAsia" w:ascii="仿宋" w:hAnsi="仿宋" w:eastAsia="仿宋" w:cs="仿宋"/>
                <w:color w:val="auto"/>
                <w:szCs w:val="21"/>
                <w:lang w:eastAsia="zh-CN"/>
              </w:rPr>
              <w:t>1.</w:t>
            </w:r>
            <w:r>
              <w:rPr>
                <w:rFonts w:hint="eastAsia" w:ascii="仿宋" w:hAnsi="仿宋" w:eastAsia="仿宋" w:cs="仿宋"/>
                <w:color w:val="auto"/>
                <w:szCs w:val="21"/>
              </w:rPr>
              <w:t>服务期限</w:t>
            </w:r>
          </w:p>
          <w:p>
            <w:pPr>
              <w:jc w:val="left"/>
              <w:rPr>
                <w:rFonts w:hint="eastAsia" w:ascii="仿宋" w:hAnsi="仿宋" w:eastAsia="仿宋" w:cs="仿宋"/>
                <w:color w:val="auto"/>
                <w:szCs w:val="21"/>
              </w:rPr>
            </w:pPr>
            <w:bookmarkStart w:id="0" w:name="_Hlk132040907"/>
            <w:r>
              <w:rPr>
                <w:rFonts w:hint="eastAsia" w:ascii="仿宋" w:hAnsi="仿宋" w:eastAsia="仿宋" w:cs="仿宋"/>
                <w:color w:val="auto"/>
                <w:szCs w:val="21"/>
              </w:rPr>
              <w:t>合同签订之日起至2025年1</w:t>
            </w:r>
            <w:r>
              <w:rPr>
                <w:rFonts w:hint="eastAsia" w:ascii="仿宋" w:hAnsi="仿宋" w:eastAsia="仿宋" w:cs="仿宋"/>
                <w:color w:val="auto"/>
                <w:szCs w:val="21"/>
                <w:lang w:val="en-US" w:eastAsia="zh-CN"/>
              </w:rPr>
              <w:t>2</w:t>
            </w:r>
            <w:r>
              <w:rPr>
                <w:rFonts w:hint="eastAsia" w:ascii="仿宋" w:hAnsi="仿宋" w:eastAsia="仿宋" w:cs="仿宋"/>
                <w:color w:val="auto"/>
                <w:szCs w:val="21"/>
              </w:rPr>
              <w:t>月3</w:t>
            </w:r>
            <w:r>
              <w:rPr>
                <w:rFonts w:hint="eastAsia" w:ascii="仿宋" w:hAnsi="仿宋" w:eastAsia="仿宋" w:cs="仿宋"/>
                <w:color w:val="auto"/>
                <w:szCs w:val="21"/>
                <w:lang w:val="en-US" w:eastAsia="zh-CN"/>
              </w:rPr>
              <w:t>1</w:t>
            </w:r>
            <w:r>
              <w:rPr>
                <w:rFonts w:hint="eastAsia" w:ascii="仿宋" w:hAnsi="仿宋" w:eastAsia="仿宋" w:cs="仿宋"/>
                <w:color w:val="auto"/>
                <w:szCs w:val="21"/>
              </w:rPr>
              <w:t>日，完成本项目的最终全部工作内容</w:t>
            </w:r>
            <w:bookmarkEnd w:id="0"/>
            <w:r>
              <w:rPr>
                <w:rFonts w:hint="eastAsia" w:ascii="仿宋" w:hAnsi="仿宋" w:eastAsia="仿宋" w:cs="仿宋"/>
                <w:color w:val="auto"/>
                <w:szCs w:val="21"/>
              </w:rPr>
              <w:t>。</w:t>
            </w:r>
          </w:p>
          <w:p>
            <w:pPr>
              <w:jc w:val="left"/>
              <w:rPr>
                <w:rFonts w:hint="eastAsia" w:ascii="仿宋" w:hAnsi="仿宋" w:eastAsia="仿宋" w:cs="仿宋"/>
                <w:color w:val="auto"/>
                <w:szCs w:val="21"/>
              </w:rPr>
            </w:pPr>
            <w:r>
              <w:rPr>
                <w:rFonts w:hint="eastAsia" w:ascii="仿宋" w:hAnsi="仿宋" w:eastAsia="仿宋" w:cs="仿宋"/>
                <w:color w:val="auto"/>
                <w:szCs w:val="21"/>
                <w:lang w:eastAsia="zh-CN"/>
              </w:rPr>
              <w:t>2.</w:t>
            </w:r>
            <w:r>
              <w:rPr>
                <w:rFonts w:hint="eastAsia" w:ascii="仿宋" w:hAnsi="仿宋" w:eastAsia="仿宋" w:cs="仿宋"/>
                <w:color w:val="auto"/>
                <w:szCs w:val="21"/>
              </w:rPr>
              <w:t>进度安排</w:t>
            </w:r>
          </w:p>
          <w:p>
            <w:pPr>
              <w:jc w:val="left"/>
              <w:rPr>
                <w:rFonts w:hint="eastAsia" w:ascii="仿宋" w:hAnsi="仿宋" w:eastAsia="仿宋" w:cs="仿宋"/>
                <w:color w:val="auto"/>
                <w:szCs w:val="21"/>
                <w:lang w:val="en"/>
              </w:rPr>
            </w:pPr>
            <w:r>
              <w:rPr>
                <w:rFonts w:hint="eastAsia" w:ascii="仿宋" w:hAnsi="仿宋" w:eastAsia="仿宋" w:cs="仿宋"/>
                <w:color w:val="auto"/>
                <w:szCs w:val="21"/>
                <w:lang w:val="en"/>
              </w:rPr>
              <w:t>合同签订后，</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lang w:val="en"/>
              </w:rPr>
              <w:t>应于一周内组织项目团队启动项目有关工作。</w:t>
            </w:r>
          </w:p>
          <w:p>
            <w:pPr>
              <w:jc w:val="left"/>
              <w:rPr>
                <w:rFonts w:hint="eastAsia" w:ascii="仿宋" w:hAnsi="仿宋" w:eastAsia="仿宋" w:cs="仿宋"/>
                <w:color w:val="auto"/>
                <w:szCs w:val="21"/>
              </w:rPr>
            </w:pPr>
            <w:r>
              <w:rPr>
                <w:rFonts w:hint="eastAsia" w:ascii="仿宋" w:hAnsi="仿宋" w:eastAsia="仿宋" w:cs="仿宋"/>
                <w:color w:val="auto"/>
                <w:szCs w:val="21"/>
                <w:lang w:val="en" w:eastAsia="zh-CN"/>
              </w:rPr>
              <w:t>3.</w:t>
            </w:r>
            <w:r>
              <w:rPr>
                <w:rFonts w:hint="eastAsia" w:ascii="仿宋" w:hAnsi="仿宋" w:eastAsia="仿宋" w:cs="仿宋"/>
                <w:color w:val="auto"/>
                <w:szCs w:val="21"/>
              </w:rPr>
              <w:t>成果要求</w:t>
            </w:r>
          </w:p>
          <w:p>
            <w:pPr>
              <w:jc w:val="left"/>
              <w:rPr>
                <w:rFonts w:hint="eastAsia" w:ascii="仿宋" w:hAnsi="仿宋" w:eastAsia="仿宋" w:cs="仿宋"/>
                <w:color w:val="auto"/>
                <w:szCs w:val="21"/>
              </w:rPr>
            </w:pPr>
            <w:r>
              <w:rPr>
                <w:rFonts w:hint="eastAsia" w:ascii="仿宋" w:hAnsi="仿宋" w:eastAsia="仿宋" w:cs="仿宋"/>
                <w:color w:val="auto"/>
                <w:szCs w:val="21"/>
                <w:lang w:val="en"/>
              </w:rPr>
              <w:t>按合同规定完成“国际红树林中心宣传衍生品设计与制作项目”的所有设计、打样和制作工作。</w:t>
            </w:r>
          </w:p>
          <w:p>
            <w:pPr>
              <w:jc w:val="left"/>
              <w:rPr>
                <w:rFonts w:hint="eastAsia" w:ascii="仿宋" w:hAnsi="仿宋" w:eastAsia="仿宋" w:cs="仿宋"/>
                <w:color w:val="auto"/>
                <w:szCs w:val="21"/>
              </w:rPr>
            </w:pPr>
            <w:r>
              <w:rPr>
                <w:rFonts w:hint="eastAsia" w:ascii="仿宋" w:hAnsi="仿宋" w:eastAsia="仿宋" w:cs="仿宋"/>
                <w:color w:val="auto"/>
                <w:szCs w:val="21"/>
                <w:lang w:eastAsia="zh-CN"/>
              </w:rPr>
              <w:t>4.</w:t>
            </w:r>
            <w:r>
              <w:rPr>
                <w:rFonts w:hint="eastAsia" w:ascii="仿宋" w:hAnsi="仿宋" w:eastAsia="仿宋" w:cs="仿宋"/>
                <w:color w:val="auto"/>
                <w:szCs w:val="21"/>
              </w:rPr>
              <w:t xml:space="preserve">服务质量监督和项目验收要求 </w:t>
            </w:r>
          </w:p>
          <w:p>
            <w:pPr>
              <w:jc w:val="left"/>
              <w:rPr>
                <w:rFonts w:hint="eastAsia" w:ascii="仿宋" w:hAnsi="仿宋" w:eastAsia="仿宋" w:cs="仿宋"/>
                <w:color w:val="auto"/>
                <w:szCs w:val="21"/>
              </w:rPr>
            </w:pPr>
            <w:r>
              <w:rPr>
                <w:rFonts w:hint="eastAsia" w:ascii="仿宋" w:hAnsi="仿宋" w:eastAsia="仿宋" w:cs="仿宋"/>
                <w:color w:val="auto"/>
                <w:szCs w:val="21"/>
              </w:rPr>
              <w:t>按采购方的设计需求及时间要求，完成相应工作成果并全部提交后，采购方将进行项目验收。验收方式为采购方验收通过。验收方式为国际红树林中心建设工作专班</w:t>
            </w:r>
            <w:r>
              <w:rPr>
                <w:rFonts w:hint="eastAsia" w:ascii="仿宋" w:hAnsi="仿宋" w:eastAsia="仿宋" w:cs="仿宋"/>
                <w:color w:val="auto"/>
                <w:szCs w:val="21"/>
                <w:lang w:eastAsia="zh-CN"/>
              </w:rPr>
              <w:t>审批存档</w:t>
            </w:r>
            <w:r>
              <w:rPr>
                <w:rFonts w:hint="eastAsia" w:ascii="仿宋" w:hAnsi="仿宋" w:eastAsia="仿宋" w:cs="仿宋"/>
                <w:color w:val="auto"/>
                <w:szCs w:val="21"/>
              </w:rPr>
              <w:t>。</w:t>
            </w:r>
          </w:p>
          <w:p>
            <w:pPr>
              <w:widowControl/>
              <w:jc w:val="left"/>
              <w:rPr>
                <w:rFonts w:hint="eastAsia" w:ascii="仿宋" w:hAnsi="仿宋" w:eastAsia="仿宋" w:cs="仿宋"/>
                <w:color w:val="auto"/>
                <w:szCs w:val="21"/>
              </w:rPr>
            </w:pPr>
            <w:r>
              <w:rPr>
                <w:rFonts w:hint="eastAsia" w:ascii="仿宋" w:hAnsi="仿宋" w:eastAsia="仿宋" w:cs="仿宋"/>
                <w:color w:val="auto"/>
                <w:szCs w:val="21"/>
                <w:lang w:eastAsia="zh-CN"/>
              </w:rPr>
              <w:t>5.</w:t>
            </w:r>
            <w:r>
              <w:rPr>
                <w:rFonts w:ascii="仿宋" w:hAnsi="仿宋" w:eastAsia="仿宋" w:cs="仿宋"/>
                <w:color w:val="auto"/>
                <w:szCs w:val="21"/>
              </w:rPr>
              <w:t>售后服务要求</w:t>
            </w:r>
          </w:p>
          <w:p>
            <w:pPr>
              <w:jc w:val="left"/>
              <w:rPr>
                <w:rFonts w:hint="eastAsia" w:ascii="仿宋" w:hAnsi="仿宋" w:eastAsia="仿宋" w:cs="仿宋"/>
                <w:color w:val="auto"/>
                <w:szCs w:val="21"/>
              </w:rPr>
            </w:pPr>
            <w:r>
              <w:rPr>
                <w:rFonts w:ascii="仿宋" w:hAnsi="仿宋" w:eastAsia="仿宋" w:cs="仿宋"/>
                <w:color w:val="auto"/>
                <w:szCs w:val="21"/>
              </w:rPr>
              <w:t>项目售后服务期限自最终成果提交采购方之日起的6个月内，</w:t>
            </w:r>
            <w:r>
              <w:rPr>
                <w:rFonts w:hint="eastAsia" w:ascii="仿宋" w:hAnsi="仿宋" w:eastAsia="仿宋" w:cs="仿宋"/>
                <w:color w:val="auto"/>
                <w:szCs w:val="21"/>
                <w:lang w:val="en-US" w:eastAsia="zh-CN"/>
              </w:rPr>
              <w:t>供应商</w:t>
            </w:r>
            <w:r>
              <w:rPr>
                <w:rFonts w:ascii="仿宋" w:hAnsi="仿宋" w:eastAsia="仿宋" w:cs="仿宋"/>
                <w:color w:val="auto"/>
                <w:szCs w:val="21"/>
              </w:rPr>
              <w:t>须与采购方保持密切沟通，随时跟进项目后续的服务需求，提供相关技术支持，配合做好相关汇报工作。</w:t>
            </w:r>
          </w:p>
          <w:p>
            <w:pPr>
              <w:jc w:val="left"/>
              <w:rPr>
                <w:rFonts w:hint="eastAsia"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其他要求</w:t>
            </w:r>
          </w:p>
          <w:p>
            <w:pPr>
              <w:pStyle w:val="5"/>
              <w:spacing w:before="78" w:beforeLines="25" w:after="78" w:afterLines="25"/>
              <w:ind w:firstLine="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应确保文件中的人员信息及所提交资料的真实、有效。</w:t>
            </w:r>
          </w:p>
          <w:p>
            <w:pPr>
              <w:jc w:val="left"/>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必须保守国家机密，</w:t>
            </w:r>
            <w:r>
              <w:rPr>
                <w:rFonts w:hint="eastAsia" w:ascii="仿宋" w:hAnsi="仿宋" w:eastAsia="仿宋" w:cs="仿宋"/>
                <w:color w:val="auto"/>
                <w:szCs w:val="21"/>
                <w:lang w:eastAsia="zh-CN"/>
              </w:rPr>
              <w:t>不得泄露</w:t>
            </w:r>
            <w:r>
              <w:rPr>
                <w:rFonts w:hint="eastAsia" w:ascii="仿宋" w:hAnsi="仿宋" w:eastAsia="仿宋" w:cs="仿宋"/>
                <w:color w:val="auto"/>
                <w:szCs w:val="21"/>
              </w:rPr>
              <w:t>采购方所提供的属国家秘密的信息和数据；未经采购方允许，不得向第三方提供本项目的相关信息或数据。</w:t>
            </w:r>
          </w:p>
        </w:tc>
      </w:tr>
      <w:tr>
        <w:trPr>
          <w:trHeight w:val="388" w:hRule="atLeast"/>
        </w:trPr>
        <w:tc>
          <w:tcPr>
            <w:tcW w:w="1560" w:type="dxa"/>
            <w:vMerge w:val="restart"/>
          </w:tcPr>
          <w:p>
            <w:pPr>
              <w:jc w:val="center"/>
              <w:rPr>
                <w:rFonts w:hint="eastAsia" w:ascii="仿宋" w:hAnsi="仿宋" w:eastAsia="仿宋" w:cs="仿宋"/>
                <w:szCs w:val="21"/>
              </w:rPr>
            </w:pPr>
            <w:r>
              <w:rPr>
                <w:rFonts w:hint="eastAsia" w:ascii="仿宋" w:hAnsi="仿宋" w:eastAsia="仿宋" w:cs="仿宋"/>
                <w:szCs w:val="21"/>
              </w:rPr>
              <w:t>其他要求</w:t>
            </w:r>
          </w:p>
        </w:tc>
        <w:tc>
          <w:tcPr>
            <w:tcW w:w="7407" w:type="dxa"/>
            <w:gridSpan w:val="4"/>
          </w:tcPr>
          <w:p>
            <w:pPr>
              <w:jc w:val="left"/>
              <w:rPr>
                <w:rFonts w:hint="eastAsia" w:ascii="仿宋" w:hAnsi="仿宋" w:eastAsia="仿宋" w:cs="仿宋"/>
                <w:color w:val="auto"/>
                <w:szCs w:val="21"/>
              </w:rPr>
            </w:pPr>
            <w:r>
              <w:rPr>
                <w:rFonts w:hint="eastAsia" w:ascii="仿宋" w:hAnsi="仿宋" w:eastAsia="仿宋" w:cs="仿宋"/>
                <w:color w:val="auto"/>
                <w:szCs w:val="21"/>
              </w:rPr>
              <w:t>特定供应商的名称、项目负责人及联系方式</w:t>
            </w:r>
          </w:p>
        </w:tc>
      </w:tr>
      <w:tr>
        <w:trPr>
          <w:trHeight w:val="315" w:hRule="atLeast"/>
        </w:trPr>
        <w:tc>
          <w:tcPr>
            <w:tcW w:w="1560" w:type="dxa"/>
            <w:vMerge w:val="continue"/>
          </w:tcPr>
          <w:p>
            <w:pPr>
              <w:jc w:val="left"/>
              <w:rPr>
                <w:rFonts w:hint="eastAsia" w:ascii="仿宋" w:hAnsi="仿宋" w:eastAsia="仿宋" w:cs="仿宋"/>
                <w:szCs w:val="21"/>
              </w:rPr>
            </w:pPr>
          </w:p>
        </w:tc>
        <w:tc>
          <w:tcPr>
            <w:tcW w:w="850" w:type="dxa"/>
            <w:vMerge w:val="restart"/>
          </w:tcPr>
          <w:p>
            <w:pPr>
              <w:jc w:val="left"/>
              <w:rPr>
                <w:rFonts w:hint="eastAsia" w:ascii="仿宋" w:hAnsi="仿宋" w:eastAsia="仿宋" w:cs="仿宋"/>
                <w:color w:val="auto"/>
                <w:szCs w:val="21"/>
              </w:rPr>
            </w:pPr>
            <w:r>
              <w:rPr>
                <w:rFonts w:hint="eastAsia" w:ascii="仿宋" w:hAnsi="仿宋" w:eastAsia="仿宋" w:cs="仿宋"/>
                <w:color w:val="auto"/>
                <w:szCs w:val="21"/>
              </w:rPr>
              <w:t>特定供应商</w:t>
            </w:r>
          </w:p>
        </w:tc>
        <w:tc>
          <w:tcPr>
            <w:tcW w:w="6557" w:type="dxa"/>
            <w:gridSpan w:val="3"/>
          </w:tcPr>
          <w:p>
            <w:pPr>
              <w:jc w:val="left"/>
              <w:rPr>
                <w:rFonts w:hint="eastAsia" w:ascii="仿宋" w:hAnsi="仿宋" w:eastAsia="仿宋" w:cs="仿宋"/>
                <w:color w:val="auto"/>
                <w:szCs w:val="21"/>
              </w:rPr>
            </w:pPr>
            <w:r>
              <w:rPr>
                <w:rFonts w:hint="eastAsia" w:ascii="仿宋" w:hAnsi="仿宋" w:eastAsia="仿宋" w:cs="仿宋"/>
                <w:color w:val="auto"/>
                <w:szCs w:val="21"/>
              </w:rPr>
              <w:t>单位名称：深圳极美欢庆文化有限公司</w:t>
            </w:r>
          </w:p>
        </w:tc>
      </w:tr>
      <w:tr>
        <w:trPr>
          <w:trHeight w:val="325"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color w:val="auto"/>
                <w:szCs w:val="21"/>
              </w:rPr>
            </w:pPr>
          </w:p>
        </w:tc>
        <w:tc>
          <w:tcPr>
            <w:tcW w:w="6557" w:type="dxa"/>
            <w:gridSpan w:val="3"/>
          </w:tcPr>
          <w:p>
            <w:pPr>
              <w:jc w:val="left"/>
              <w:rPr>
                <w:rFonts w:hint="eastAsia" w:ascii="仿宋" w:hAnsi="仿宋" w:eastAsia="仿宋" w:cs="仿宋"/>
                <w:color w:val="auto"/>
                <w:szCs w:val="21"/>
              </w:rPr>
            </w:pPr>
            <w:r>
              <w:rPr>
                <w:rFonts w:hint="eastAsia" w:ascii="仿宋" w:hAnsi="仿宋" w:eastAsia="仿宋" w:cs="仿宋"/>
                <w:color w:val="auto"/>
                <w:szCs w:val="21"/>
              </w:rPr>
              <w:t>项目负责人：</w:t>
            </w:r>
            <w:r>
              <w:rPr>
                <w:rFonts w:hint="eastAsia" w:ascii="仿宋" w:hAnsi="仿宋" w:eastAsia="仿宋" w:cs="仿宋"/>
                <w:color w:val="auto"/>
                <w:szCs w:val="21"/>
                <w:lang w:val="en-US" w:eastAsia="zh-CN"/>
              </w:rPr>
              <w:t>欧锦生</w:t>
            </w:r>
          </w:p>
        </w:tc>
      </w:tr>
      <w:tr>
        <w:trPr>
          <w:trHeight w:val="283"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color w:val="auto"/>
                <w:szCs w:val="21"/>
              </w:rPr>
            </w:pPr>
          </w:p>
        </w:tc>
        <w:tc>
          <w:tcPr>
            <w:tcW w:w="6557" w:type="dxa"/>
            <w:gridSpan w:val="3"/>
          </w:tcPr>
          <w:p>
            <w:pPr>
              <w:jc w:val="left"/>
              <w:rPr>
                <w:rFonts w:hint="eastAsia" w:ascii="仿宋" w:hAnsi="仿宋" w:eastAsia="仿宋" w:cs="仿宋"/>
                <w:color w:val="auto"/>
                <w:szCs w:val="21"/>
              </w:rPr>
            </w:pPr>
            <w:r>
              <w:rPr>
                <w:rFonts w:hint="eastAsia" w:ascii="仿宋" w:hAnsi="仿宋" w:eastAsia="仿宋" w:cs="仿宋"/>
                <w:color w:val="auto"/>
                <w:szCs w:val="21"/>
              </w:rPr>
              <w:t>联系电话：400-8819-803</w:t>
            </w:r>
          </w:p>
        </w:tc>
      </w:tr>
    </w:tbl>
    <w:p>
      <w:pPr>
        <w:spacing w:line="360" w:lineRule="exact"/>
        <w:jc w:val="left"/>
        <w:rPr>
          <w:rFonts w:hint="eastAsia"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lang w:eastAsia="zh-CN"/>
        </w:rPr>
        <w:t>2.</w:t>
      </w:r>
      <w:r>
        <w:rPr>
          <w:rFonts w:hint="eastAsia" w:ascii="仿宋" w:hAnsi="仿宋" w:eastAsia="仿宋"/>
          <w:bCs/>
          <w:color w:val="000000"/>
          <w:szCs w:val="21"/>
        </w:rPr>
        <w:t>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lang w:eastAsia="zh-CN"/>
        </w:rPr>
        <w:t>3.</w:t>
      </w:r>
      <w:r>
        <w:rPr>
          <w:rFonts w:hint="eastAsia" w:ascii="仿宋" w:hAnsi="仿宋" w:eastAsia="仿宋"/>
          <w:bCs/>
          <w:color w:val="000000"/>
          <w:szCs w:val="21"/>
        </w:rPr>
        <w:t>采购单位以上填报的商务条款、技术条款若存在倾向性或不公正性条款，由此引起的不良后果将由采购单位自行承担。</w:t>
      </w:r>
    </w:p>
    <w:p>
      <w:pPr>
        <w:rPr>
          <w:color w:val="00000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NWU2ZGMxMjNmMTc2MDYxY2UwOTI2MGViZDhjM2MifQ=="/>
  </w:docVars>
  <w:rsids>
    <w:rsidRoot w:val="FFD76D0C"/>
    <w:rsid w:val="00027070"/>
    <w:rsid w:val="00027F65"/>
    <w:rsid w:val="00034708"/>
    <w:rsid w:val="00063E32"/>
    <w:rsid w:val="00086A7F"/>
    <w:rsid w:val="000D02E0"/>
    <w:rsid w:val="000F2E14"/>
    <w:rsid w:val="00111173"/>
    <w:rsid w:val="001747A5"/>
    <w:rsid w:val="001C3819"/>
    <w:rsid w:val="001C5422"/>
    <w:rsid w:val="001D1684"/>
    <w:rsid w:val="001D4F28"/>
    <w:rsid w:val="002C422C"/>
    <w:rsid w:val="002F0360"/>
    <w:rsid w:val="0034351D"/>
    <w:rsid w:val="003B75B9"/>
    <w:rsid w:val="003D196B"/>
    <w:rsid w:val="00411DB9"/>
    <w:rsid w:val="0046278E"/>
    <w:rsid w:val="00480EE8"/>
    <w:rsid w:val="0049478F"/>
    <w:rsid w:val="004F0F85"/>
    <w:rsid w:val="005108EE"/>
    <w:rsid w:val="0055266D"/>
    <w:rsid w:val="0056220E"/>
    <w:rsid w:val="00590F65"/>
    <w:rsid w:val="006565F2"/>
    <w:rsid w:val="006F1366"/>
    <w:rsid w:val="007177E8"/>
    <w:rsid w:val="007420AF"/>
    <w:rsid w:val="007938C2"/>
    <w:rsid w:val="007A264F"/>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E5E94"/>
    <w:rsid w:val="02B626AB"/>
    <w:rsid w:val="070B661E"/>
    <w:rsid w:val="140B7FF3"/>
    <w:rsid w:val="17BF7966"/>
    <w:rsid w:val="1800599F"/>
    <w:rsid w:val="18BFAF94"/>
    <w:rsid w:val="1E68704C"/>
    <w:rsid w:val="25704025"/>
    <w:rsid w:val="27A21C1E"/>
    <w:rsid w:val="289D3530"/>
    <w:rsid w:val="29246737"/>
    <w:rsid w:val="2A8FCBDA"/>
    <w:rsid w:val="2DBB9ECF"/>
    <w:rsid w:val="2FFC70E5"/>
    <w:rsid w:val="31B13859"/>
    <w:rsid w:val="366F6D52"/>
    <w:rsid w:val="37D1ADBB"/>
    <w:rsid w:val="37FFECEA"/>
    <w:rsid w:val="38425367"/>
    <w:rsid w:val="3BF84DE7"/>
    <w:rsid w:val="3DBDB6A8"/>
    <w:rsid w:val="3F5DF255"/>
    <w:rsid w:val="3F7363D7"/>
    <w:rsid w:val="3FEBBE60"/>
    <w:rsid w:val="47CF312A"/>
    <w:rsid w:val="48233465"/>
    <w:rsid w:val="49C97A9C"/>
    <w:rsid w:val="4CF352AC"/>
    <w:rsid w:val="553755F6"/>
    <w:rsid w:val="55B15923"/>
    <w:rsid w:val="569A63F6"/>
    <w:rsid w:val="57FB3B64"/>
    <w:rsid w:val="5D6E1A8B"/>
    <w:rsid w:val="5FBFF009"/>
    <w:rsid w:val="67363FF7"/>
    <w:rsid w:val="6E54327C"/>
    <w:rsid w:val="6F3592EA"/>
    <w:rsid w:val="72FA4DA6"/>
    <w:rsid w:val="743BBE01"/>
    <w:rsid w:val="74E7F739"/>
    <w:rsid w:val="74FF59F6"/>
    <w:rsid w:val="75625322"/>
    <w:rsid w:val="75BEB14A"/>
    <w:rsid w:val="76DD495A"/>
    <w:rsid w:val="77251B6B"/>
    <w:rsid w:val="77FA9395"/>
    <w:rsid w:val="7B5F95A0"/>
    <w:rsid w:val="7CFF75D7"/>
    <w:rsid w:val="7DFC9289"/>
    <w:rsid w:val="7DFFBAC9"/>
    <w:rsid w:val="7E35A5E7"/>
    <w:rsid w:val="7EC26E55"/>
    <w:rsid w:val="7EEA0760"/>
    <w:rsid w:val="7EF5E079"/>
    <w:rsid w:val="7EFFAA2F"/>
    <w:rsid w:val="7FD74127"/>
    <w:rsid w:val="7FED09B6"/>
    <w:rsid w:val="8DF6C7F1"/>
    <w:rsid w:val="8F3F4F83"/>
    <w:rsid w:val="A39F5C83"/>
    <w:rsid w:val="ABCBADA3"/>
    <w:rsid w:val="ADF99E3B"/>
    <w:rsid w:val="AF67D541"/>
    <w:rsid w:val="B7BB78EC"/>
    <w:rsid w:val="B7BC21A4"/>
    <w:rsid w:val="B7FE5796"/>
    <w:rsid w:val="BB9F010D"/>
    <w:rsid w:val="BBFA8ACB"/>
    <w:rsid w:val="BDE5BC27"/>
    <w:rsid w:val="BEDFD388"/>
    <w:rsid w:val="BFB76DC7"/>
    <w:rsid w:val="BFBF589F"/>
    <w:rsid w:val="BFFD2304"/>
    <w:rsid w:val="DBF92A12"/>
    <w:rsid w:val="DD7EB7C7"/>
    <w:rsid w:val="DDFFB6CA"/>
    <w:rsid w:val="E57D0AFD"/>
    <w:rsid w:val="E6B97382"/>
    <w:rsid w:val="E7F96DE1"/>
    <w:rsid w:val="E8AAD269"/>
    <w:rsid w:val="EBF32ADD"/>
    <w:rsid w:val="ED5FCACE"/>
    <w:rsid w:val="EDFDCE19"/>
    <w:rsid w:val="EFD724DC"/>
    <w:rsid w:val="EFDB7936"/>
    <w:rsid w:val="EFF7CC39"/>
    <w:rsid w:val="F3A58CE4"/>
    <w:rsid w:val="F3BFF85B"/>
    <w:rsid w:val="F5F3053C"/>
    <w:rsid w:val="F6FE2E1C"/>
    <w:rsid w:val="F6FF62F6"/>
    <w:rsid w:val="F70FE3E1"/>
    <w:rsid w:val="F7FF4800"/>
    <w:rsid w:val="F9FA2435"/>
    <w:rsid w:val="FB7F537E"/>
    <w:rsid w:val="FBFDC630"/>
    <w:rsid w:val="FD66A03A"/>
    <w:rsid w:val="FDEB120D"/>
    <w:rsid w:val="FDFC3904"/>
    <w:rsid w:val="FE3E357D"/>
    <w:rsid w:val="FED6A6F7"/>
    <w:rsid w:val="FEF54E4F"/>
    <w:rsid w:val="FF537CD6"/>
    <w:rsid w:val="FF756E39"/>
    <w:rsid w:val="FF9FB609"/>
    <w:rsid w:val="FFA64865"/>
    <w:rsid w:val="FFBA973A"/>
    <w:rsid w:val="FFD76D0C"/>
    <w:rsid w:val="FFDE2BB1"/>
    <w:rsid w:val="FFF96ACA"/>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5">
    <w:name w:val="Normal Indent"/>
    <w:basedOn w:val="1"/>
    <w:qFormat/>
    <w:uiPriority w:val="0"/>
    <w:pPr>
      <w:ind w:firstLine="420"/>
    </w:pPr>
    <w:rPr>
      <w:szCs w:val="20"/>
    </w:rPr>
  </w:style>
  <w:style w:type="paragraph" w:styleId="6">
    <w:name w:val="annotation text"/>
    <w:basedOn w:val="1"/>
    <w:qFormat/>
    <w:uiPriority w:val="0"/>
    <w:pPr>
      <w:spacing w:line="259" w:lineRule="auto"/>
    </w:pPr>
    <w:rPr>
      <w:rFonts w:ascii="等线" w:hAnsi="等线" w:eastAsia="等线"/>
      <w:kern w:val="0"/>
      <w:sz w:val="22"/>
    </w:rPr>
  </w:style>
  <w:style w:type="paragraph" w:styleId="7">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479</Words>
  <Characters>2734</Characters>
  <Lines>22</Lines>
  <Paragraphs>6</Paragraphs>
  <TotalTime>25</TotalTime>
  <ScaleCrop>false</ScaleCrop>
  <LinksUpToDate>false</LinksUpToDate>
  <CharactersWithSpaces>3207</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2025-03-22T01:37:00Z</dcterms:created>
  <dc:creator>qiling</dc:creator>
  <cp:lastModifiedBy>leqitong</cp:lastModifiedBy>
  <cp:lastPrinted>2025-08-11T22:53:00Z</cp:lastPrinted>
  <dcterms:modified xsi:type="dcterms:W3CDTF">2025-11-14T15:52:36Z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0DBA4F212756B736E0960D692B1A1545_43</vt:lpwstr>
  </property>
</Properties>
</file>