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adjustRightInd w:val="0"/>
        <w:snapToGrid w:val="0"/>
        <w:spacing w:line="560" w:lineRule="exact"/>
        <w:ind w:right="420" w:firstLine="4095" w:firstLineChars="1950"/>
        <w:rPr>
          <w:rFonts w:hint="eastAsia" w:ascii="Times New Roman" w:hAnsi="Times New Roman" w:eastAsia="宋体" w:cs="Times New Roman"/>
          <w:szCs w:val="21"/>
        </w:rPr>
      </w:pPr>
      <w:bookmarkStart w:id="2" w:name="_GoBack"/>
      <w:bookmarkEnd w:id="2"/>
    </w:p>
    <w:p>
      <w:pPr>
        <w:tabs>
          <w:tab w:val="left" w:pos="180"/>
        </w:tabs>
        <w:adjustRightInd w:val="0"/>
        <w:snapToGrid w:val="0"/>
        <w:spacing w:line="560" w:lineRule="exact"/>
        <w:ind w:right="420" w:firstLine="4680" w:firstLineChars="1950"/>
        <w:rPr>
          <w:rFonts w:hint="eastAsia" w:ascii="Times New Roman" w:hAnsi="Times New Roman" w:eastAsia="宋体" w:cs="Times New Roman"/>
          <w:sz w:val="24"/>
          <w:szCs w:val="24"/>
          <w:u w:val="single"/>
        </w:rPr>
      </w:pPr>
    </w:p>
    <w:p>
      <w:pPr>
        <w:pStyle w:val="3"/>
        <w:rPr>
          <w:rFonts w:hint="eastAsia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Times New Roman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after="156" w:afterLines="50" w:line="560" w:lineRule="exact"/>
        <w:jc w:val="center"/>
        <w:rPr>
          <w:rFonts w:hint="eastAsia" w:ascii="黑体" w:hAnsi="Times New Roman" w:eastAsia="黑体" w:cs="Times New Roman"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Cs/>
          <w:sz w:val="36"/>
          <w:szCs w:val="36"/>
          <w:lang w:val="en-US" w:eastAsia="zh-CN"/>
        </w:rPr>
        <w:t>深汕特别合作区莲花山九龙湾自然保护地统一确权登记之地籍调查</w:t>
      </w:r>
      <w:r>
        <w:rPr>
          <w:rFonts w:hint="eastAsia" w:ascii="黑体" w:hAnsi="Times New Roman" w:eastAsia="黑体" w:cs="Times New Roman"/>
          <w:bCs/>
          <w:sz w:val="36"/>
          <w:szCs w:val="36"/>
        </w:rPr>
        <w:t>项目合同</w:t>
      </w:r>
      <w:r>
        <w:rPr>
          <w:rFonts w:hint="eastAsia" w:ascii="黑体" w:hAnsi="Times New Roman" w:eastAsia="黑体" w:cs="Times New Roman"/>
          <w:bCs/>
          <w:sz w:val="36"/>
          <w:szCs w:val="36"/>
          <w:lang w:eastAsia="zh-CN"/>
        </w:rPr>
        <w:t>补充</w:t>
      </w:r>
      <w:r>
        <w:rPr>
          <w:rFonts w:hint="eastAsia" w:ascii="黑体" w:hAnsi="Times New Roman" w:eastAsia="黑体" w:cs="Times New Roman"/>
          <w:bCs/>
          <w:sz w:val="36"/>
          <w:szCs w:val="36"/>
        </w:rPr>
        <w:t>协议书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Times New Roman" w:eastAsia="黑体" w:cs="Times New Roman"/>
          <w:b/>
          <w:bCs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leader="underscore" w:pos="180"/>
          <w:tab w:val="left" w:pos="2160"/>
          <w:tab w:val="left" w:pos="6480"/>
        </w:tabs>
        <w:spacing w:after="0" w:afterLines="-2147483648" w:line="360" w:lineRule="auto"/>
        <w:ind w:left="1405" w:hanging="1305" w:hangingChars="500"/>
        <w:rPr>
          <w:rFonts w:hint="default" w:ascii="Times New Roman" w:hAnsi="Times New Roman" w:eastAsia="宋体" w:cs="Times New Roman"/>
          <w:b/>
          <w:sz w:val="26"/>
          <w:szCs w:val="26"/>
          <w:u w:val="single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服务名称：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eastAsia="zh-CN"/>
        </w:rPr>
        <w:t>深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>汕特别合作区莲花山九龙湾自然保护地统一确权登记之地籍调查</w:t>
      </w:r>
    </w:p>
    <w:p>
      <w:pPr>
        <w:tabs>
          <w:tab w:val="left" w:leader="underscore" w:pos="180"/>
          <w:tab w:val="left" w:pos="2160"/>
          <w:tab w:val="left" w:pos="6480"/>
        </w:tabs>
        <w:spacing w:line="360" w:lineRule="auto"/>
        <w:rPr>
          <w:rFonts w:hint="eastAsia" w:ascii="Times New Roman" w:hAnsi="Times New Roman" w:eastAsia="宋体" w:cs="Times New Roman"/>
          <w:b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甲方（委托方）：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深圳市规划和自然资源局深汕管理局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     </w:t>
      </w:r>
    </w:p>
    <w:p>
      <w:pPr>
        <w:tabs>
          <w:tab w:val="left" w:leader="underscore" w:pos="180"/>
          <w:tab w:val="left" w:pos="2160"/>
          <w:tab w:val="left" w:pos="6480"/>
        </w:tabs>
        <w:spacing w:line="360" w:lineRule="auto"/>
        <w:rPr>
          <w:rFonts w:ascii="Times New Roman" w:hAnsi="Times New Roman" w:eastAsia="宋体" w:cs="Times New Roman"/>
          <w:b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统一社会信用代码：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11440300MB2D078222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6"/>
          <w:szCs w:val="26"/>
        </w:rPr>
        <w:t xml:space="preserve"> </w:t>
      </w:r>
    </w:p>
    <w:p>
      <w:pPr>
        <w:tabs>
          <w:tab w:val="left" w:leader="underscore" w:pos="180"/>
          <w:tab w:val="left" w:pos="2160"/>
          <w:tab w:val="left" w:pos="6480"/>
        </w:tabs>
        <w:spacing w:line="360" w:lineRule="auto"/>
        <w:ind w:left="2249" w:hanging="2088" w:hangingChars="800"/>
        <w:rPr>
          <w:rFonts w:ascii="Times New Roman" w:hAnsi="Times New Roman" w:eastAsia="宋体" w:cs="Times New Roman"/>
          <w:b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乙方（受托方）：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深圳市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规划和自然资源调查测绘中心          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</w:t>
      </w:r>
    </w:p>
    <w:p>
      <w:pPr>
        <w:tabs>
          <w:tab w:val="left" w:leader="underscore" w:pos="180"/>
          <w:tab w:val="left" w:pos="2160"/>
          <w:tab w:val="left" w:pos="6480"/>
        </w:tabs>
        <w:spacing w:line="360" w:lineRule="auto"/>
        <w:rPr>
          <w:rFonts w:ascii="Times New Roman" w:hAnsi="Times New Roman" w:eastAsia="宋体" w:cs="Times New Roman"/>
          <w:b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统一社会信用代码：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>124403004557514418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6"/>
          <w:szCs w:val="26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rPr>
          <w:rFonts w:hint="eastAsia" w:ascii="黑体" w:hAnsi="Times New Roman" w:eastAsia="黑体" w:cs="Times New Roman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Times New Roman" w:eastAsia="黑体" w:cs="Times New Roman"/>
          <w:b/>
          <w:bCs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tabs>
          <w:tab w:val="left" w:pos="180"/>
          <w:tab w:val="left" w:pos="3780"/>
        </w:tabs>
        <w:spacing w:after="156" w:afterLines="50" w:line="300" w:lineRule="auto"/>
        <w:jc w:val="center"/>
        <w:rPr>
          <w:rFonts w:hint="eastAsia" w:eastAsia="宋体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Cs w:val="21"/>
        </w:rPr>
        <w:t>本合同共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>4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页（含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20" w:firstLineChars="200"/>
        <w:textAlignment w:val="auto"/>
        <w:rPr>
          <w:rFonts w:hint="eastAsia" w:ascii="宋体" w:hAnsi="宋体"/>
          <w:sz w:val="26"/>
          <w:szCs w:val="26"/>
          <w:lang w:val="en-US" w:eastAsia="zh-CN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甲方和乙方于2025年6月23日就“深汕特别合作区莲花山九龙湾自然保护地统一确权登记之地籍调查”项目</w:t>
      </w:r>
      <w:r>
        <w:rPr>
          <w:rFonts w:hint="eastAsia" w:ascii="宋体" w:hAnsi="宋体"/>
          <w:sz w:val="26"/>
          <w:szCs w:val="26"/>
          <w:u w:val="none"/>
          <w:lang w:val="en-US" w:eastAsia="zh-CN"/>
        </w:rPr>
        <w:t>（以下简称本项目）签订了《深汕特别合作区莲花山九</w:t>
      </w:r>
      <w:r>
        <w:rPr>
          <w:rFonts w:hint="eastAsia" w:ascii="宋体" w:hAnsi="宋体"/>
          <w:sz w:val="26"/>
          <w:szCs w:val="26"/>
          <w:lang w:val="en-US" w:eastAsia="zh-CN"/>
        </w:rPr>
        <w:t>龙湾自然保护地统一确权登记之地籍调查服务合同》（合同编号SSGLJHT[2025]0030-8，以下简称“原合同”）</w:t>
      </w:r>
    </w:p>
    <w:p>
      <w:pPr>
        <w:adjustRightInd w:val="0"/>
        <w:snapToGrid w:val="0"/>
        <w:spacing w:before="156" w:beforeLines="50" w:after="156" w:afterLines="50" w:line="360" w:lineRule="auto"/>
        <w:ind w:firstLine="520" w:firstLineChars="200"/>
        <w:rPr>
          <w:rFonts w:hint="eastAsia" w:ascii="宋体" w:hAnsi="宋体"/>
          <w:sz w:val="26"/>
          <w:szCs w:val="26"/>
          <w:lang w:val="en-US" w:eastAsia="zh-CN"/>
        </w:rPr>
      </w:pPr>
      <w:r>
        <w:rPr>
          <w:rFonts w:hint="eastAsia" w:ascii="宋体" w:hAnsi="宋体"/>
          <w:sz w:val="26"/>
          <w:szCs w:val="26"/>
          <w:lang w:val="en-US" w:eastAsia="zh-CN"/>
        </w:rPr>
        <w:t>为确保项目持续推进，避免因资金短缺导致进度滞后，故甲乙双方协商一致，同意新增一期付款节点，调整原合同部分条款如下：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522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6"/>
          <w:szCs w:val="26"/>
          <w:lang w:eastAsia="zh-CN"/>
        </w:rPr>
        <w:t>原合同</w:t>
      </w:r>
      <w:r>
        <w:rPr>
          <w:rFonts w:hint="eastAsia" w:asciiTheme="minorEastAsia" w:hAnsiTheme="minorEastAsia" w:cstheme="minorEastAsia"/>
          <w:b/>
          <w:bCs/>
          <w:sz w:val="26"/>
          <w:szCs w:val="26"/>
          <w:lang w:eastAsia="zh-CN"/>
        </w:rPr>
        <w:t>条款为：</w:t>
      </w:r>
      <w:r>
        <w:rPr>
          <w:rFonts w:hint="eastAsia" w:asciiTheme="minorEastAsia" w:hAnsiTheme="minorEastAsia" w:eastAsiaTheme="minorEastAsia" w:cstheme="minorEastAsia"/>
          <w:b/>
          <w:bCs/>
          <w:sz w:val="26"/>
          <w:szCs w:val="26"/>
          <w:lang w:eastAsia="zh-CN"/>
        </w:rPr>
        <w:t>第八条合同价款支付中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  <w:t>“</w:t>
      </w:r>
      <w:bookmarkStart w:id="0" w:name="_Hlk131688975"/>
      <w:bookmarkStart w:id="1" w:name="_Hlk132295139"/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（2）第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期：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乙方完成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</w:rPr>
        <w:t>本合同规定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第二阶段工作任务，完成不低于合同约定工作内容的70%，提交任务完成情况表和付款申请后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支付乙方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人民币壹佰陆拾捌万柒仟元整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，小写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u w:val="single"/>
          <w:lang w:val="en-US" w:eastAsia="zh-CN"/>
        </w:rPr>
        <w:t>1,687,000.00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元（合同总价款的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</w:rPr>
        <w:t>%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63" w:afterLines="2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）末期：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乙方完成本合同规定的各项工作内容，按照本合同规定提交全部成果并通过最终成果验收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涉及资产交付的甲方需登记入库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后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个工作日内，甲方支付乙方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人民币肆拾捌万贰仟元整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，小写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482,000.00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元（合同总价款的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</w:rPr>
        <w:t>%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）。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360" w:lineRule="auto"/>
        <w:ind w:firstLine="522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6"/>
          <w:szCs w:val="26"/>
          <w:lang w:eastAsia="zh-CN"/>
        </w:rPr>
        <w:t>修改</w:t>
      </w:r>
      <w:r>
        <w:rPr>
          <w:rFonts w:hint="eastAsia" w:asciiTheme="minorEastAsia" w:hAnsiTheme="minorEastAsia" w:eastAsiaTheme="minorEastAsia" w:cstheme="minorEastAsia"/>
          <w:b/>
          <w:bCs/>
          <w:sz w:val="26"/>
          <w:szCs w:val="26"/>
          <w:lang w:eastAsia="zh-CN"/>
        </w:rPr>
        <w:t>为</w:t>
      </w:r>
      <w:r>
        <w:rPr>
          <w:rFonts w:hint="eastAsia" w:asciiTheme="minorEastAsia" w:hAnsiTheme="minorEastAsia" w:cstheme="minorEastAsia"/>
          <w:b/>
          <w:bCs/>
          <w:sz w:val="26"/>
          <w:szCs w:val="2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（2）第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期：乙方提交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 xml:space="preserve"> 调查工作底图、预划登记单元图及影像资料和付款申请后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支付乙方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人民币壹佰陆拾捌万柒仟元整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，小写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482,000.00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元（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占合同总价款的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%，此笔款项为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二期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期：乙方提交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 xml:space="preserve"> 乙方完成本合同规定的第二阶段工作任务，完成不低于合同约定工作内容的70%，提交任务完成情况表和付款申请后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支付乙方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壹佰贰拾万零伍仟元整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，小写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u w:val="single"/>
          <w:lang w:val="en-US" w:eastAsia="zh-CN"/>
        </w:rPr>
        <w:t>1,205,000.00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元（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占合同总价款的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%，此笔款项为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三期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）。</w:t>
      </w:r>
    </w:p>
    <w:p>
      <w:pPr>
        <w:spacing w:before="0" w:beforeLines="0" w:line="360" w:lineRule="auto"/>
        <w:ind w:firstLine="0" w:firstLineChars="0"/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）末期：乙方完成本合同规定的各项工作内容，按照本合同规定提交全部成果并通过最终成果验收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lang w:val="en-US" w:eastAsia="zh-CN"/>
        </w:rPr>
        <w:t>涉及资产交付的甲方需登记入库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后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个工作日内，甲方支付乙方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人民币壹佰陆拾捌万柒仟元整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，小写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  <w:u w:val="single"/>
          <w:lang w:val="en-US" w:eastAsia="zh-CN"/>
        </w:rPr>
        <w:t>482,000.00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元（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占合同总价款的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%，此笔款项为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末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highlight w:val="none"/>
        </w:rPr>
        <w:t>）。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20" w:firstLineChars="200"/>
        <w:textAlignment w:val="auto"/>
        <w:rPr>
          <w:rFonts w:hint="eastAsia" w:ascii="宋体" w:hAnsi="宋体" w:cs="宋体"/>
          <w:b w:val="0"/>
          <w:bCs/>
          <w:sz w:val="26"/>
          <w:szCs w:val="26"/>
          <w:lang w:val="en-US" w:eastAsia="zh-CN"/>
        </w:rPr>
      </w:pPr>
      <w:r>
        <w:rPr>
          <w:rFonts w:hint="eastAsia" w:ascii="宋体" w:hAnsi="宋体" w:cs="宋体"/>
          <w:b w:val="0"/>
          <w:bCs/>
          <w:sz w:val="26"/>
          <w:szCs w:val="26"/>
          <w:lang w:val="en-US" w:eastAsia="zh-CN"/>
        </w:rPr>
        <w:t>本协议生效后，即成为合同不可分割的组成部分，于原合同具有同等的法律效力。除本协议中所修改的条款之外，原合同的其余条款继续有效。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20" w:firstLineChars="200"/>
        <w:textAlignment w:val="auto"/>
        <w:rPr>
          <w:rFonts w:hint="default" w:ascii="宋体" w:hAnsi="宋体" w:cs="宋体"/>
          <w:b w:val="0"/>
          <w:bCs/>
          <w:sz w:val="26"/>
          <w:szCs w:val="26"/>
          <w:lang w:val="en-US" w:eastAsia="zh-CN"/>
        </w:rPr>
      </w:pPr>
      <w:r>
        <w:rPr>
          <w:rFonts w:hint="eastAsia" w:ascii="宋体" w:hAnsi="宋体" w:cs="宋体"/>
          <w:b w:val="0"/>
          <w:bCs/>
          <w:sz w:val="26"/>
          <w:szCs w:val="26"/>
          <w:lang w:val="en-US" w:eastAsia="zh-CN"/>
        </w:rPr>
        <w:t>本协议自双方法定代表人或其授权代表签字并加盖印章后生效。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20" w:firstLineChars="200"/>
        <w:textAlignment w:val="auto"/>
        <w:rPr>
          <w:rFonts w:hint="default" w:ascii="宋体" w:hAnsi="宋体" w:cs="宋体"/>
          <w:b w:val="0"/>
          <w:bCs/>
          <w:sz w:val="26"/>
          <w:szCs w:val="26"/>
          <w:lang w:val="en-US" w:eastAsia="zh-CN"/>
        </w:rPr>
      </w:pPr>
      <w:r>
        <w:rPr>
          <w:rFonts w:hint="eastAsia" w:ascii="宋体" w:hAnsi="宋体" w:cs="宋体"/>
          <w:b w:val="0"/>
          <w:bCs/>
          <w:sz w:val="26"/>
          <w:szCs w:val="26"/>
          <w:lang w:val="en-US" w:eastAsia="zh-CN"/>
        </w:rPr>
        <w:t>本协议一式捌份，甲方执肆份，乙方执肆份，具有同等法律效力。</w:t>
      </w: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before="156" w:beforeLines="50" w:after="156" w:afterLines="50" w:line="360" w:lineRule="auto"/>
        <w:ind w:firstLine="360" w:firstLineChars="15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以下无正文，为协议签署页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cs="宋体"/>
          <w:b/>
          <w:bCs w:val="0"/>
          <w:sz w:val="24"/>
          <w:lang w:eastAsia="zh-CN"/>
        </w:rPr>
      </w:pP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cs="宋体"/>
          <w:b/>
          <w:bCs w:val="0"/>
          <w:sz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</w:rPr>
        <w:t>甲方：</w:t>
      </w:r>
      <w:r>
        <w:rPr>
          <w:rFonts w:hint="eastAsia" w:ascii="宋体" w:hAnsi="宋体" w:cs="宋体"/>
          <w:b/>
          <w:bCs w:val="0"/>
          <w:sz w:val="24"/>
          <w:u w:val="single"/>
        </w:rPr>
        <w:t>深圳市规划和自然资源局深汕管理局</w:t>
      </w:r>
      <w:r>
        <w:rPr>
          <w:rFonts w:hint="eastAsia" w:ascii="宋体" w:hAnsi="宋体" w:cs="宋体"/>
          <w:b/>
          <w:bCs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盖章</w:t>
      </w:r>
      <w:r>
        <w:rPr>
          <w:rFonts w:hint="eastAsia" w:ascii="宋体" w:hAnsi="宋体" w:cs="宋体"/>
          <w:b/>
          <w:bCs w:val="0"/>
          <w:sz w:val="24"/>
          <w:lang w:eastAsia="zh-CN"/>
        </w:rPr>
        <w:t>）</w:t>
      </w: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法定代表人或授权代表（签字）：</w:t>
      </w: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 xml:space="preserve">     年     月     日</w:t>
      </w:r>
    </w:p>
    <w:p>
      <w:pPr>
        <w:tabs>
          <w:tab w:val="left" w:pos="180"/>
          <w:tab w:val="left" w:pos="7200"/>
        </w:tabs>
        <w:spacing w:line="360" w:lineRule="auto"/>
        <w:ind w:firstLine="562" w:firstLineChars="200"/>
        <w:rPr>
          <w:rFonts w:hint="eastAsia"/>
          <w:b/>
          <w:sz w:val="28"/>
          <w:szCs w:val="28"/>
          <w:u w:val="none"/>
          <w:lang w:val="en-US" w:eastAsia="zh-CN"/>
        </w:rPr>
      </w:pPr>
    </w:p>
    <w:p>
      <w:pPr>
        <w:tabs>
          <w:tab w:val="left" w:pos="180"/>
          <w:tab w:val="left" w:pos="7200"/>
        </w:tabs>
        <w:spacing w:line="360" w:lineRule="auto"/>
        <w:ind w:firstLine="562" w:firstLineChars="200"/>
        <w:rPr>
          <w:rFonts w:hint="eastAsia"/>
          <w:b/>
          <w:sz w:val="28"/>
          <w:szCs w:val="28"/>
          <w:u w:val="none"/>
          <w:lang w:val="en-US" w:eastAsia="zh-CN"/>
        </w:rPr>
      </w:pP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eastAsia="宋体" w:cs="宋体"/>
          <w:b/>
          <w:bCs w:val="0"/>
          <w:sz w:val="24"/>
          <w:u w:val="single"/>
          <w:lang w:eastAsia="zh-CN"/>
        </w:rPr>
      </w:pPr>
      <w:r>
        <w:rPr>
          <w:rFonts w:hint="eastAsia" w:ascii="宋体" w:hAnsi="宋体" w:cs="宋体"/>
          <w:b/>
          <w:bCs w:val="0"/>
          <w:sz w:val="24"/>
          <w:u w:val="none"/>
        </w:rPr>
        <w:t>乙方：</w:t>
      </w:r>
      <w:r>
        <w:rPr>
          <w:rFonts w:hint="eastAsia" w:ascii="宋体" w:hAnsi="宋体" w:cs="宋体"/>
          <w:b/>
          <w:bCs w:val="0"/>
          <w:sz w:val="24"/>
          <w:u w:val="single"/>
        </w:rPr>
        <w:t xml:space="preserve">深圳市规划和自然资源调查测绘中心 </w:t>
      </w:r>
      <w:r>
        <w:rPr>
          <w:rFonts w:hint="eastAsia" w:ascii="宋体" w:hAnsi="宋体" w:cs="宋体"/>
          <w:b/>
          <w:bCs w:val="0"/>
          <w:sz w:val="24"/>
          <w:u w:val="none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u w:val="none"/>
          <w:lang w:val="en-US" w:eastAsia="zh-CN"/>
        </w:rPr>
        <w:t>盖章</w:t>
      </w:r>
      <w:r>
        <w:rPr>
          <w:rFonts w:hint="eastAsia" w:ascii="宋体" w:hAnsi="宋体" w:cs="宋体"/>
          <w:b/>
          <w:bCs w:val="0"/>
          <w:sz w:val="24"/>
          <w:u w:val="none"/>
          <w:lang w:eastAsia="zh-CN"/>
        </w:rPr>
        <w:t>）</w:t>
      </w: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法定代表人或授权代表（签字）：</w:t>
      </w:r>
    </w:p>
    <w:p>
      <w:pPr>
        <w:tabs>
          <w:tab w:val="left" w:pos="1665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 xml:space="preserve">     年     月     日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/>
          <w:sz w:val="24"/>
          <w:lang w:eastAsia="zh-CN"/>
        </w:rPr>
      </w:pPr>
    </w:p>
    <w:p>
      <w:pPr>
        <w:spacing w:before="0" w:beforeLines="0" w:line="360" w:lineRule="auto"/>
        <w:ind w:firstLine="0" w:firstLineChars="0"/>
        <w:rPr>
          <w:rFonts w:hint="eastAsia" w:asciiTheme="minorEastAsia" w:hAnsiTheme="minorEastAsia" w:cstheme="minorEastAsia"/>
          <w:sz w:val="26"/>
          <w:szCs w:val="26"/>
        </w:rPr>
      </w:pPr>
    </w:p>
    <w:p>
      <w:pPr>
        <w:spacing w:line="240" w:lineRule="auto"/>
        <w:rPr>
          <w:rFonts w:hint="eastAsia" w:eastAsiaTheme="minorEastAsia"/>
          <w:sz w:val="28"/>
          <w:szCs w:val="28"/>
          <w:lang w:eastAsia="zh-CN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84852030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84852030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84852030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bP7xk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84852030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A87A1"/>
    <w:multiLevelType w:val="singleLevel"/>
    <w:tmpl w:val="DF1A87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093E9B"/>
    <w:multiLevelType w:val="singleLevel"/>
    <w:tmpl w:val="F8093E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NzdjNzc5NmIwMTEyN2ZkOGEzZWEyODBjOTNkYjYifQ=="/>
  </w:docVars>
  <w:rsids>
    <w:rsidRoot w:val="00F137FA"/>
    <w:rsid w:val="000037C0"/>
    <w:rsid w:val="000A1D91"/>
    <w:rsid w:val="00101CFF"/>
    <w:rsid w:val="00152DBE"/>
    <w:rsid w:val="001C6F3C"/>
    <w:rsid w:val="00237CB8"/>
    <w:rsid w:val="00283C18"/>
    <w:rsid w:val="002A4440"/>
    <w:rsid w:val="002B37F0"/>
    <w:rsid w:val="002C0C42"/>
    <w:rsid w:val="00345343"/>
    <w:rsid w:val="003530E9"/>
    <w:rsid w:val="00387A8D"/>
    <w:rsid w:val="004155C7"/>
    <w:rsid w:val="004511EA"/>
    <w:rsid w:val="00457953"/>
    <w:rsid w:val="005835CC"/>
    <w:rsid w:val="005B28D2"/>
    <w:rsid w:val="005D4AF9"/>
    <w:rsid w:val="00636A2F"/>
    <w:rsid w:val="00644AA1"/>
    <w:rsid w:val="006B7405"/>
    <w:rsid w:val="00780073"/>
    <w:rsid w:val="00782A15"/>
    <w:rsid w:val="00802144"/>
    <w:rsid w:val="00853B9A"/>
    <w:rsid w:val="0099135E"/>
    <w:rsid w:val="009F48C8"/>
    <w:rsid w:val="00A2018C"/>
    <w:rsid w:val="00B20DA7"/>
    <w:rsid w:val="00B97729"/>
    <w:rsid w:val="00C00EFE"/>
    <w:rsid w:val="00CA1D08"/>
    <w:rsid w:val="00CE661E"/>
    <w:rsid w:val="00E72FE3"/>
    <w:rsid w:val="00E9305E"/>
    <w:rsid w:val="00F137FA"/>
    <w:rsid w:val="00F37345"/>
    <w:rsid w:val="00F8079A"/>
    <w:rsid w:val="00FA6438"/>
    <w:rsid w:val="00FF1BF5"/>
    <w:rsid w:val="031032A2"/>
    <w:rsid w:val="0A4916B2"/>
    <w:rsid w:val="1DA66595"/>
    <w:rsid w:val="25752E14"/>
    <w:rsid w:val="29C475C1"/>
    <w:rsid w:val="2B1C36BC"/>
    <w:rsid w:val="3B4F7818"/>
    <w:rsid w:val="3BF3DCCA"/>
    <w:rsid w:val="3EBE73AB"/>
    <w:rsid w:val="441E1669"/>
    <w:rsid w:val="5D4C700B"/>
    <w:rsid w:val="6810240F"/>
    <w:rsid w:val="6CBB9647"/>
    <w:rsid w:val="6FF3793B"/>
    <w:rsid w:val="710A08AF"/>
    <w:rsid w:val="D86B4E05"/>
    <w:rsid w:val="E3FCB4E5"/>
    <w:rsid w:val="F7EE0E9F"/>
    <w:rsid w:val="FEBDE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911B2-1D79-4E83-84AE-F523AF17B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614</Words>
  <Characters>635</Characters>
  <Lines>3</Lines>
  <Paragraphs>1</Paragraphs>
  <TotalTime>2</TotalTime>
  <ScaleCrop>false</ScaleCrop>
  <LinksUpToDate>false</LinksUpToDate>
  <CharactersWithSpaces>662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2023-05-07T01:06:00Z</dcterms:created>
  <dc:creator>admin</dc:creator>
  <cp:lastModifiedBy>shenyq</cp:lastModifiedBy>
  <cp:lastPrinted>2025-08-16T11:58:00Z</cp:lastPrinted>
  <dcterms:modified xsi:type="dcterms:W3CDTF">2025-08-29T17:20:07Z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B1C5C833BF494E1C87E1C43A2105865F</vt:lpwstr>
  </property>
  <property fmtid="{D5CDD505-2E9C-101B-9397-08002B2CF9AE}" pid="4" name="KSOTemplateDocerSaveRecord">
    <vt:lpwstr>eyJoZGlkIjoiMDFiZWQ1MDhkOTgwZDYxNzQ0MTI4ZjUyMTVlYWMzMzciLCJ1c2VySWQiOiIxNTE3Mzg2NTYxIn0=</vt:lpwstr>
  </property>
</Properties>
</file>