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outlineLvl w:val="0"/>
        <w:rPr>
          <w:rStyle w:val="9"/>
          <w:rFonts w:hint="eastAsia" w:ascii="方正小标宋简体" w:hAnsi="方正小标宋简体" w:eastAsia="方正小标宋简体" w:cs="方正小标宋简体"/>
          <w:b w:val="0"/>
          <w:bCs w:val="0"/>
          <w:sz w:val="44"/>
          <w:szCs w:val="44"/>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outlineLvl w:val="0"/>
        <w:rPr>
          <w:rStyle w:val="9"/>
          <w:rFonts w:hint="eastAsia"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b w:val="0"/>
          <w:bCs w:val="0"/>
          <w:sz w:val="44"/>
          <w:szCs w:val="44"/>
        </w:rPr>
        <w:t>《深圳市地价测算规则》附表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outlineLvl w:val="0"/>
        <w:rPr>
          <w:rFonts w:hint="eastAsia" w:ascii="楷体_GB2312" w:hAnsi="楷体_GB2312" w:eastAsia="楷体_GB2312" w:cs="楷体_GB2312"/>
          <w:kern w:val="2"/>
          <w:sz w:val="32"/>
          <w:szCs w:val="32"/>
          <w:lang w:val="en" w:eastAsia="zh-CN" w:bidi="ar-SA"/>
        </w:rPr>
      </w:pPr>
      <w:r>
        <w:rPr>
          <w:rFonts w:hint="eastAsia" w:ascii="楷体_GB2312" w:hAnsi="楷体_GB2312" w:eastAsia="楷体_GB2312" w:cs="楷体_GB2312"/>
          <w:kern w:val="2"/>
          <w:sz w:val="32"/>
          <w:szCs w:val="32"/>
          <w:lang w:val="en" w:eastAsia="zh-CN" w:bidi="ar-SA"/>
        </w:rPr>
        <w:t>（2025年修订稿）</w:t>
      </w:r>
    </w:p>
    <w:p>
      <w:pPr>
        <w:keepNext w:val="0"/>
        <w:keepLines w:val="0"/>
        <w:pageBreakBefore w:val="0"/>
        <w:kinsoku/>
        <w:wordWrap/>
        <w:overflowPunct/>
        <w:topLinePunct w:val="0"/>
        <w:autoSpaceDE/>
        <w:autoSpaceDN/>
        <w:bidi w:val="0"/>
        <w:adjustRightInd/>
        <w:snapToGrid/>
        <w:spacing w:line="579" w:lineRule="exact"/>
        <w:jc w:val="center"/>
        <w:textAlignment w:val="auto"/>
        <w:outlineLvl w:val="0"/>
        <w:rPr>
          <w:rFonts w:hint="eastAsia" w:ascii="仿宋_GB2312" w:hAnsi="仿宋_GB2312" w:eastAsia="仿宋_GB2312" w:cs="仿宋_GB2312"/>
          <w:b/>
          <w:bCs/>
          <w:kern w:val="0"/>
          <w:sz w:val="32"/>
          <w:szCs w:val="32"/>
        </w:rPr>
      </w:pPr>
    </w:p>
    <w:p>
      <w:pPr>
        <w:keepNext w:val="0"/>
        <w:keepLines w:val="0"/>
        <w:pageBreakBefore w:val="0"/>
        <w:kinsoku/>
        <w:wordWrap/>
        <w:overflowPunct/>
        <w:topLinePunct w:val="0"/>
        <w:autoSpaceDE/>
        <w:autoSpaceDN/>
        <w:bidi w:val="0"/>
        <w:adjustRightInd/>
        <w:snapToGrid/>
        <w:spacing w:line="579" w:lineRule="exact"/>
        <w:jc w:val="center"/>
        <w:textAlignment w:val="auto"/>
        <w:outlineLvl w:val="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附表1  建筑类型适用地价标准及修正系数表</w:t>
      </w:r>
    </w:p>
    <w:tbl>
      <w:tblPr>
        <w:tblStyle w:val="7"/>
        <w:tblW w:w="5000" w:type="pct"/>
        <w:jc w:val="center"/>
        <w:tblLayout w:type="autofit"/>
        <w:tblCellMar>
          <w:top w:w="0" w:type="dxa"/>
          <w:left w:w="108" w:type="dxa"/>
          <w:bottom w:w="0" w:type="dxa"/>
          <w:right w:w="108" w:type="dxa"/>
        </w:tblCellMar>
      </w:tblPr>
      <w:tblGrid>
        <w:gridCol w:w="816"/>
        <w:gridCol w:w="5430"/>
        <w:gridCol w:w="1181"/>
        <w:gridCol w:w="1095"/>
      </w:tblGrid>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3186" w:type="pc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建筑类型</w:t>
            </w:r>
          </w:p>
        </w:tc>
        <w:tc>
          <w:tcPr>
            <w:tcW w:w="693" w:type="pc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适用地价</w:t>
            </w:r>
          </w:p>
          <w:p>
            <w:pPr>
              <w:spacing w:line="29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类型</w:t>
            </w:r>
          </w:p>
        </w:tc>
        <w:tc>
          <w:tcPr>
            <w:tcW w:w="642" w:type="pc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修正</w:t>
            </w:r>
          </w:p>
          <w:p>
            <w:pPr>
              <w:spacing w:line="29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系数</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186" w:type="pct"/>
            <w:tcBorders>
              <w:top w:val="single" w:color="auto" w:sz="4" w:space="0"/>
              <w:left w:val="nil"/>
              <w:bottom w:val="single" w:color="auto" w:sz="4" w:space="0"/>
              <w:right w:val="single" w:color="auto" w:sz="4" w:space="0"/>
            </w:tcBorders>
            <w:vAlign w:val="center"/>
          </w:tcPr>
          <w:p>
            <w:pPr>
              <w:spacing w:line="29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厂房（含新型产业用地中的厂房）、仓库（含物流用地中的仓库）</w:t>
            </w:r>
          </w:p>
        </w:tc>
        <w:tc>
          <w:tcPr>
            <w:tcW w:w="693" w:type="pc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工业</w:t>
            </w:r>
          </w:p>
        </w:tc>
        <w:tc>
          <w:tcPr>
            <w:tcW w:w="641" w:type="pc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186" w:type="pct"/>
            <w:tcBorders>
              <w:top w:val="single" w:color="auto" w:sz="4" w:space="0"/>
              <w:left w:val="nil"/>
              <w:bottom w:val="single" w:color="auto" w:sz="4" w:space="0"/>
              <w:right w:val="single" w:color="auto" w:sz="4" w:space="0"/>
            </w:tcBorders>
            <w:vAlign w:val="center"/>
          </w:tcPr>
          <w:p>
            <w:pPr>
              <w:spacing w:line="29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新型产业用地中的研发用房、物流建筑</w:t>
            </w:r>
          </w:p>
        </w:tc>
        <w:tc>
          <w:tcPr>
            <w:tcW w:w="693" w:type="pc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新型产业</w:t>
            </w:r>
          </w:p>
        </w:tc>
        <w:tc>
          <w:tcPr>
            <w:tcW w:w="641" w:type="pc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CellMar>
            <w:top w:w="0" w:type="dxa"/>
            <w:left w:w="108" w:type="dxa"/>
            <w:bottom w:w="0" w:type="dxa"/>
            <w:right w:w="108" w:type="dxa"/>
          </w:tblCellMar>
        </w:tblPrEx>
        <w:trPr>
          <w:trHeight w:val="284" w:hRule="atLeast"/>
          <w:jc w:val="center"/>
        </w:trPr>
        <w:tc>
          <w:tcPr>
            <w:tcW w:w="479" w:type="pct"/>
            <w:vMerge w:val="restart"/>
            <w:tcBorders>
              <w:top w:val="single" w:color="auto" w:sz="4" w:space="0"/>
              <w:left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3186" w:type="pct"/>
            <w:tcBorders>
              <w:top w:val="single" w:color="auto" w:sz="4" w:space="0"/>
              <w:left w:val="nil"/>
              <w:bottom w:val="single" w:color="auto" w:sz="4" w:space="0"/>
              <w:right w:val="single" w:color="auto" w:sz="4" w:space="0"/>
            </w:tcBorders>
            <w:vAlign w:val="center"/>
          </w:tcPr>
          <w:p>
            <w:pPr>
              <w:spacing w:line="29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住宅</w:t>
            </w:r>
          </w:p>
        </w:tc>
        <w:tc>
          <w:tcPr>
            <w:tcW w:w="693" w:type="pct"/>
            <w:vMerge w:val="restart"/>
            <w:tcBorders>
              <w:top w:val="single" w:color="auto" w:sz="4" w:space="0"/>
              <w:left w:val="nil"/>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住宅</w:t>
            </w:r>
          </w:p>
        </w:tc>
        <w:tc>
          <w:tcPr>
            <w:tcW w:w="641" w:type="pc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CellMar>
            <w:top w:w="0" w:type="dxa"/>
            <w:left w:w="108" w:type="dxa"/>
            <w:bottom w:w="0" w:type="dxa"/>
            <w:right w:w="108" w:type="dxa"/>
          </w:tblCellMar>
        </w:tblPrEx>
        <w:trPr>
          <w:trHeight w:val="284" w:hRule="atLeast"/>
          <w:jc w:val="center"/>
        </w:trPr>
        <w:tc>
          <w:tcPr>
            <w:tcW w:w="479" w:type="pct"/>
            <w:vMerge w:val="continue"/>
            <w:tcBorders>
              <w:left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p>
        </w:tc>
        <w:tc>
          <w:tcPr>
            <w:tcW w:w="3186" w:type="pct"/>
            <w:tcBorders>
              <w:top w:val="single" w:color="auto" w:sz="4" w:space="0"/>
              <w:left w:val="nil"/>
              <w:bottom w:val="single" w:color="auto" w:sz="4" w:space="0"/>
              <w:right w:val="single" w:color="auto" w:sz="4" w:space="0"/>
            </w:tcBorders>
            <w:vAlign w:val="center"/>
          </w:tcPr>
          <w:p>
            <w:pPr>
              <w:spacing w:line="29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宿舍</w:t>
            </w:r>
          </w:p>
        </w:tc>
        <w:tc>
          <w:tcPr>
            <w:tcW w:w="693" w:type="pct"/>
            <w:vMerge w:val="continue"/>
            <w:tcBorders>
              <w:left w:val="nil"/>
              <w:right w:val="single" w:color="auto" w:sz="4" w:space="0"/>
            </w:tcBorders>
            <w:vAlign w:val="center"/>
          </w:tcPr>
          <w:p>
            <w:pPr>
              <w:spacing w:line="290" w:lineRule="exact"/>
              <w:jc w:val="center"/>
              <w:rPr>
                <w:rFonts w:ascii="仿宋_GB2312" w:hAnsi="仿宋_GB2312" w:eastAsia="仿宋_GB2312" w:cs="仿宋_GB2312"/>
                <w:sz w:val="24"/>
                <w:szCs w:val="24"/>
              </w:rPr>
            </w:pPr>
          </w:p>
        </w:tc>
        <w:tc>
          <w:tcPr>
            <w:tcW w:w="641" w:type="pc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ascii="仿宋_GB2312" w:hAnsi="仿宋_GB2312" w:eastAsia="仿宋_GB2312" w:cs="仿宋_GB2312"/>
                <w:sz w:val="24"/>
                <w:szCs w:val="24"/>
              </w:rPr>
              <w:t>.6</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ascii="仿宋_GB2312" w:hAnsi="仿宋_GB2312" w:eastAsia="仿宋_GB2312" w:cs="仿宋_GB2312"/>
                <w:sz w:val="24"/>
              </w:rPr>
              <w:t>4</w:t>
            </w:r>
          </w:p>
        </w:tc>
        <w:tc>
          <w:tcPr>
            <w:tcW w:w="3186" w:type="pct"/>
            <w:tcBorders>
              <w:top w:val="single" w:color="auto" w:sz="4" w:space="0"/>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办公、商务公寓</w:t>
            </w:r>
          </w:p>
        </w:tc>
        <w:tc>
          <w:tcPr>
            <w:tcW w:w="693" w:type="pct"/>
            <w:vMerge w:val="restart"/>
            <w:tcBorders>
              <w:top w:val="single" w:color="auto" w:sz="4" w:space="0"/>
              <w:left w:val="single" w:color="auto" w:sz="4" w:space="0"/>
              <w:right w:val="nil"/>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办公</w:t>
            </w:r>
          </w:p>
        </w:tc>
        <w:tc>
          <w:tcPr>
            <w:tcW w:w="641" w:type="pct"/>
            <w:tcBorders>
              <w:top w:val="nil"/>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CellMar>
            <w:top w:w="0" w:type="dxa"/>
            <w:left w:w="108" w:type="dxa"/>
            <w:bottom w:w="0" w:type="dxa"/>
            <w:right w:w="108" w:type="dxa"/>
          </w:tblCellMar>
        </w:tblPrEx>
        <w:trPr>
          <w:trHeight w:val="284" w:hRule="atLeast"/>
          <w:jc w:val="center"/>
        </w:trPr>
        <w:tc>
          <w:tcPr>
            <w:tcW w:w="479" w:type="pct"/>
            <w:tcBorders>
              <w:top w:val="nil"/>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ascii="仿宋_GB2312" w:hAnsi="仿宋_GB2312" w:eastAsia="仿宋_GB2312" w:cs="仿宋_GB2312"/>
                <w:sz w:val="24"/>
              </w:rPr>
              <w:t>5</w:t>
            </w:r>
          </w:p>
        </w:tc>
        <w:tc>
          <w:tcPr>
            <w:tcW w:w="3186" w:type="pct"/>
            <w:tcBorders>
              <w:top w:val="single" w:color="auto" w:sz="4" w:space="0"/>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会议中心</w:t>
            </w:r>
          </w:p>
        </w:tc>
        <w:tc>
          <w:tcPr>
            <w:tcW w:w="693" w:type="pct"/>
            <w:vMerge w:val="continue"/>
            <w:tcBorders>
              <w:left w:val="single" w:color="auto" w:sz="4" w:space="0"/>
              <w:right w:val="nil"/>
            </w:tcBorders>
            <w:vAlign w:val="center"/>
          </w:tcPr>
          <w:p>
            <w:pPr>
              <w:widowControl/>
              <w:jc w:val="left"/>
              <w:rPr>
                <w:rFonts w:ascii="仿宋_GB2312" w:hAnsi="仿宋_GB2312" w:eastAsia="仿宋_GB2312" w:cs="仿宋_GB2312"/>
                <w:sz w:val="24"/>
                <w:szCs w:val="24"/>
              </w:rPr>
            </w:pPr>
          </w:p>
        </w:tc>
        <w:tc>
          <w:tcPr>
            <w:tcW w:w="642" w:type="pct"/>
            <w:tcBorders>
              <w:top w:val="nil"/>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0.5</w:t>
            </w:r>
          </w:p>
        </w:tc>
      </w:tr>
      <w:tr>
        <w:tblPrEx>
          <w:tblCellMar>
            <w:top w:w="0" w:type="dxa"/>
            <w:left w:w="108" w:type="dxa"/>
            <w:bottom w:w="0" w:type="dxa"/>
            <w:right w:w="108" w:type="dxa"/>
          </w:tblCellMar>
        </w:tblPrEx>
        <w:trPr>
          <w:trHeight w:val="284" w:hRule="atLeast"/>
          <w:jc w:val="center"/>
        </w:trPr>
        <w:tc>
          <w:tcPr>
            <w:tcW w:w="479" w:type="pct"/>
            <w:tcBorders>
              <w:top w:val="nil"/>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3186" w:type="pct"/>
            <w:tcBorders>
              <w:top w:val="single" w:color="auto" w:sz="4" w:space="0"/>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社会停车场（库）、邮政网点（所）</w:t>
            </w:r>
          </w:p>
        </w:tc>
        <w:tc>
          <w:tcPr>
            <w:tcW w:w="693" w:type="pct"/>
            <w:vMerge w:val="continue"/>
            <w:tcBorders>
              <w:left w:val="single" w:color="auto" w:sz="4" w:space="0"/>
              <w:bottom w:val="single" w:color="auto" w:sz="4" w:space="0"/>
              <w:right w:val="nil"/>
            </w:tcBorders>
            <w:vAlign w:val="center"/>
          </w:tcPr>
          <w:p>
            <w:pPr>
              <w:widowControl/>
              <w:jc w:val="left"/>
              <w:rPr>
                <w:rFonts w:ascii="仿宋_GB2312" w:hAnsi="仿宋_GB2312" w:eastAsia="仿宋_GB2312" w:cs="仿宋_GB2312"/>
                <w:sz w:val="24"/>
                <w:szCs w:val="24"/>
              </w:rPr>
            </w:pPr>
          </w:p>
        </w:tc>
        <w:tc>
          <w:tcPr>
            <w:tcW w:w="642" w:type="pct"/>
            <w:tcBorders>
              <w:top w:val="nil"/>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0.1</w:t>
            </w:r>
          </w:p>
        </w:tc>
      </w:tr>
      <w:tr>
        <w:tblPrEx>
          <w:tblCellMar>
            <w:top w:w="0" w:type="dxa"/>
            <w:left w:w="108" w:type="dxa"/>
            <w:bottom w:w="0" w:type="dxa"/>
            <w:right w:w="108" w:type="dxa"/>
          </w:tblCellMar>
        </w:tblPrEx>
        <w:trPr>
          <w:trHeight w:val="90"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ascii="仿宋_GB2312" w:hAnsi="仿宋_GB2312" w:eastAsia="仿宋_GB2312" w:cs="仿宋_GB2312"/>
                <w:sz w:val="24"/>
              </w:rPr>
              <w:t>7</w:t>
            </w:r>
          </w:p>
        </w:tc>
        <w:tc>
          <w:tcPr>
            <w:tcW w:w="3186" w:type="pct"/>
            <w:tcBorders>
              <w:top w:val="nil"/>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商业（不包括旅馆业建筑、肉菜市场、游乐设施、会议中心）、加油站</w:t>
            </w:r>
          </w:p>
        </w:tc>
        <w:tc>
          <w:tcPr>
            <w:tcW w:w="693" w:type="pct"/>
            <w:vMerge w:val="restart"/>
            <w:tcBorders>
              <w:top w:val="single" w:color="auto" w:sz="4" w:space="0"/>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w:t>
            </w:r>
          </w:p>
        </w:tc>
        <w:tc>
          <w:tcPr>
            <w:tcW w:w="642" w:type="pct"/>
            <w:tcBorders>
              <w:top w:val="nil"/>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ascii="仿宋_GB2312" w:hAnsi="仿宋_GB2312" w:eastAsia="仿宋_GB2312" w:cs="仿宋_GB2312"/>
                <w:sz w:val="24"/>
              </w:rPr>
              <w:t>8</w:t>
            </w:r>
          </w:p>
        </w:tc>
        <w:tc>
          <w:tcPr>
            <w:tcW w:w="3186" w:type="pct"/>
            <w:tcBorders>
              <w:top w:val="nil"/>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游乐设施</w:t>
            </w:r>
          </w:p>
        </w:tc>
        <w:tc>
          <w:tcPr>
            <w:tcW w:w="693" w:type="pct"/>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sz w:val="24"/>
                <w:szCs w:val="24"/>
              </w:rPr>
            </w:pPr>
          </w:p>
        </w:tc>
        <w:tc>
          <w:tcPr>
            <w:tcW w:w="642" w:type="pct"/>
            <w:tcBorders>
              <w:top w:val="nil"/>
              <w:left w:val="nil"/>
              <w:bottom w:val="single" w:color="auto" w:sz="4" w:space="0"/>
              <w:right w:val="single" w:color="auto" w:sz="4" w:space="0"/>
            </w:tcBorders>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0.4</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ascii="仿宋_GB2312" w:hAnsi="仿宋_GB2312" w:eastAsia="仿宋_GB2312" w:cs="仿宋_GB2312"/>
                <w:sz w:val="24"/>
              </w:rPr>
              <w:t>9</w:t>
            </w:r>
          </w:p>
        </w:tc>
        <w:tc>
          <w:tcPr>
            <w:tcW w:w="3186" w:type="pct"/>
            <w:tcBorders>
              <w:top w:val="nil"/>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加气站、肉菜市场</w:t>
            </w:r>
          </w:p>
        </w:tc>
        <w:tc>
          <w:tcPr>
            <w:tcW w:w="693" w:type="pct"/>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sz w:val="24"/>
                <w:szCs w:val="24"/>
              </w:rPr>
            </w:pPr>
          </w:p>
        </w:tc>
        <w:tc>
          <w:tcPr>
            <w:tcW w:w="642" w:type="pct"/>
            <w:tcBorders>
              <w:top w:val="nil"/>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0.3</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ascii="仿宋_GB2312" w:hAnsi="仿宋_GB2312" w:eastAsia="仿宋_GB2312" w:cs="仿宋_GB2312"/>
                <w:sz w:val="24"/>
              </w:rPr>
              <w:t>10</w:t>
            </w:r>
          </w:p>
        </w:tc>
        <w:tc>
          <w:tcPr>
            <w:tcW w:w="3186" w:type="pct"/>
            <w:tcBorders>
              <w:top w:val="nil"/>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旅馆业建筑</w:t>
            </w:r>
          </w:p>
        </w:tc>
        <w:tc>
          <w:tcPr>
            <w:tcW w:w="693" w:type="pct"/>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酒店</w:t>
            </w:r>
          </w:p>
        </w:tc>
        <w:tc>
          <w:tcPr>
            <w:tcW w:w="642" w:type="pct"/>
            <w:tcBorders>
              <w:top w:val="nil"/>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1</w:t>
            </w:r>
          </w:p>
        </w:tc>
        <w:tc>
          <w:tcPr>
            <w:tcW w:w="3186" w:type="pct"/>
            <w:tcBorders>
              <w:top w:val="nil"/>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文化设施、医疗卫生设施、教育设施、体育设施、幼儿园（托儿所）</w:t>
            </w:r>
          </w:p>
        </w:tc>
        <w:tc>
          <w:tcPr>
            <w:tcW w:w="693" w:type="pct"/>
            <w:vMerge w:val="restart"/>
            <w:tcBorders>
              <w:top w:val="single" w:color="auto" w:sz="4" w:space="0"/>
              <w:left w:val="single" w:color="auto" w:sz="4" w:space="0"/>
              <w:right w:val="single" w:color="auto" w:sz="4" w:space="0"/>
            </w:tcBorders>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公共管理与服务设施</w:t>
            </w:r>
          </w:p>
        </w:tc>
        <w:tc>
          <w:tcPr>
            <w:tcW w:w="642" w:type="pct"/>
            <w:tcBorders>
              <w:top w:val="nil"/>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2</w:t>
            </w:r>
          </w:p>
        </w:tc>
        <w:tc>
          <w:tcPr>
            <w:tcW w:w="3186" w:type="pct"/>
            <w:tcBorders>
              <w:top w:val="nil"/>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文化遗产、宗教建筑、社会福利设施、特殊建筑</w:t>
            </w:r>
          </w:p>
        </w:tc>
        <w:tc>
          <w:tcPr>
            <w:tcW w:w="693" w:type="pct"/>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sz w:val="24"/>
                <w:szCs w:val="24"/>
              </w:rPr>
            </w:pPr>
          </w:p>
        </w:tc>
        <w:tc>
          <w:tcPr>
            <w:tcW w:w="642" w:type="pct"/>
            <w:tcBorders>
              <w:top w:val="nil"/>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0.3</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3</w:t>
            </w:r>
          </w:p>
        </w:tc>
        <w:tc>
          <w:tcPr>
            <w:tcW w:w="3186" w:type="pct"/>
            <w:tcBorders>
              <w:top w:val="nil"/>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科研设施</w:t>
            </w:r>
          </w:p>
        </w:tc>
        <w:tc>
          <w:tcPr>
            <w:tcW w:w="693" w:type="pct"/>
            <w:vMerge w:val="continue"/>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 w:val="24"/>
                <w:szCs w:val="24"/>
              </w:rPr>
            </w:pPr>
          </w:p>
        </w:tc>
        <w:tc>
          <w:tcPr>
            <w:tcW w:w="642" w:type="pct"/>
            <w:tcBorders>
              <w:top w:val="nil"/>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ascii="仿宋_GB2312" w:hAnsi="仿宋_GB2312" w:eastAsia="仿宋_GB2312" w:cs="仿宋_GB2312"/>
                <w:sz w:val="24"/>
                <w:szCs w:val="24"/>
              </w:rPr>
              <w:t>.1</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4</w:t>
            </w:r>
          </w:p>
        </w:tc>
        <w:tc>
          <w:tcPr>
            <w:tcW w:w="3186" w:type="pct"/>
            <w:tcBorders>
              <w:top w:val="nil"/>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公用设施、市政设施及施工配套设施、训考场、殡葬设施</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公用设施</w:t>
            </w:r>
          </w:p>
        </w:tc>
        <w:tc>
          <w:tcPr>
            <w:tcW w:w="642" w:type="pct"/>
            <w:tcBorders>
              <w:top w:val="nil"/>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CellMar>
            <w:top w:w="0" w:type="dxa"/>
            <w:left w:w="108" w:type="dxa"/>
            <w:bottom w:w="0" w:type="dxa"/>
            <w:right w:w="108" w:type="dxa"/>
          </w:tblCellMar>
        </w:tblPrEx>
        <w:trPr>
          <w:trHeight w:val="28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5</w:t>
            </w:r>
          </w:p>
        </w:tc>
        <w:tc>
          <w:tcPr>
            <w:tcW w:w="3186" w:type="pct"/>
            <w:tcBorders>
              <w:top w:val="nil"/>
              <w:left w:val="nil"/>
              <w:bottom w:val="single" w:color="auto" w:sz="4" w:space="0"/>
              <w:right w:val="single" w:color="auto" w:sz="4" w:space="0"/>
            </w:tcBorders>
            <w:vAlign w:val="center"/>
          </w:tcPr>
          <w:p>
            <w:pPr>
              <w:spacing w:line="29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交通设施</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不含加油站、加气站、训考场、社会停车场（库）</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，综合管廊</w:t>
            </w:r>
          </w:p>
        </w:tc>
        <w:tc>
          <w:tcPr>
            <w:tcW w:w="69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 w:val="24"/>
                <w:szCs w:val="24"/>
              </w:rPr>
            </w:pPr>
          </w:p>
        </w:tc>
        <w:tc>
          <w:tcPr>
            <w:tcW w:w="642" w:type="pct"/>
            <w:tcBorders>
              <w:top w:val="nil"/>
              <w:left w:val="nil"/>
              <w:bottom w:val="single" w:color="auto" w:sz="4" w:space="0"/>
              <w:right w:val="single" w:color="auto" w:sz="4" w:space="0"/>
            </w:tcBorders>
            <w:vAlign w:val="center"/>
          </w:tcPr>
          <w:p>
            <w:pPr>
              <w:spacing w:line="29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0.3</w:t>
            </w:r>
          </w:p>
        </w:tc>
      </w:tr>
      <w:tr>
        <w:tblPrEx>
          <w:tblCellMar>
            <w:top w:w="0" w:type="dxa"/>
            <w:left w:w="108" w:type="dxa"/>
            <w:bottom w:w="0" w:type="dxa"/>
            <w:right w:w="108" w:type="dxa"/>
          </w:tblCellMar>
        </w:tblPrEx>
        <w:trPr>
          <w:trHeight w:val="295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spacing w:line="29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r>
              <w:rPr>
                <w:rFonts w:ascii="仿宋_GB2312" w:hAnsi="仿宋_GB2312" w:eastAsia="仿宋_GB2312" w:cs="仿宋_GB2312"/>
                <w:kern w:val="0"/>
                <w:sz w:val="24"/>
              </w:rPr>
              <w:t xml:space="preserve"> </w:t>
            </w:r>
          </w:p>
          <w:p>
            <w:pPr>
              <w:widowControl/>
              <w:spacing w:line="29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1．建筑类型对应《深圳市城市规划标准与准则》。</w:t>
            </w:r>
          </w:p>
          <w:p>
            <w:pPr>
              <w:widowControl/>
              <w:spacing w:line="290" w:lineRule="exact"/>
              <w:rPr>
                <w:rFonts w:ascii="仿宋_GB2312" w:hAnsi="仿宋_GB2312" w:eastAsia="仿宋_GB2312" w:cs="仿宋_GB2312"/>
                <w:color w:val="00B050"/>
                <w:kern w:val="0"/>
                <w:sz w:val="24"/>
              </w:rPr>
            </w:pPr>
            <w:r>
              <w:rPr>
                <w:rFonts w:hint="eastAsia" w:ascii="仿宋_GB2312" w:hAnsi="仿宋_GB2312" w:eastAsia="仿宋_GB2312" w:cs="仿宋_GB2312"/>
                <w:kern w:val="0"/>
                <w:sz w:val="24"/>
              </w:rPr>
              <w:t>2．上表中未涵盖的其他配建建筑类型按主体建筑类型地价标准测算地价。主体建筑类型是规划许可文件中面积占比最大的建筑类型；无法确定的按规划许可文件中的土地用途确定。</w:t>
            </w:r>
          </w:p>
          <w:p>
            <w:pPr>
              <w:widowControl/>
              <w:spacing w:line="29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除</w:t>
            </w:r>
            <w:r>
              <w:rPr>
                <w:rFonts w:hint="eastAsia" w:ascii="仿宋_GB2312" w:hAnsi="仿宋_GB2312" w:eastAsia="仿宋_GB2312" w:cs="仿宋_GB2312"/>
                <w:kern w:val="0"/>
                <w:sz w:val="24"/>
                <w:lang w:eastAsia="zh-CN"/>
              </w:rPr>
              <w:t>本规则</w:t>
            </w:r>
            <w:r>
              <w:rPr>
                <w:rFonts w:hint="eastAsia" w:ascii="仿宋_GB2312" w:hAnsi="仿宋_GB2312" w:eastAsia="仿宋_GB2312" w:cs="仿宋_GB2312"/>
                <w:kern w:val="0"/>
                <w:sz w:val="24"/>
                <w:lang w:val="en-US" w:eastAsia="zh-CN"/>
              </w:rPr>
              <w:t>4.1条</w:t>
            </w:r>
            <w:r>
              <w:rPr>
                <w:rFonts w:hint="eastAsia" w:ascii="仿宋_GB2312" w:hAnsi="仿宋_GB2312" w:eastAsia="仿宋_GB2312" w:cs="仿宋_GB2312"/>
                <w:kern w:val="0"/>
                <w:sz w:val="24"/>
              </w:rPr>
              <w:t>规定</w:t>
            </w:r>
            <w:r>
              <w:rPr>
                <w:rFonts w:hint="eastAsia" w:ascii="仿宋_GB2312" w:hAnsi="仿宋_GB2312" w:eastAsia="仿宋_GB2312" w:cs="仿宋_GB2312"/>
                <w:kern w:val="0"/>
                <w:sz w:val="24"/>
                <w:lang w:eastAsia="zh-CN"/>
              </w:rPr>
              <w:t>情形外，</w:t>
            </w:r>
            <w:r>
              <w:rPr>
                <w:rFonts w:hint="eastAsia" w:ascii="仿宋_GB2312" w:hAnsi="仿宋_GB2312" w:eastAsia="仿宋_GB2312" w:cs="仿宋_GB2312"/>
                <w:kern w:val="0"/>
                <w:sz w:val="24"/>
              </w:rPr>
              <w:t>经</w:t>
            </w:r>
            <w:r>
              <w:rPr>
                <w:rFonts w:hint="eastAsia" w:ascii="仿宋_GB2312" w:hAnsi="仿宋_GB2312" w:eastAsia="仿宋_GB2312" w:cs="仿宋_GB2312"/>
                <w:kern w:val="0"/>
                <w:sz w:val="24"/>
                <w:lang w:eastAsia="zh-CN"/>
              </w:rPr>
              <w:t>市、区</w:t>
            </w:r>
            <w:r>
              <w:rPr>
                <w:rFonts w:hint="eastAsia" w:ascii="仿宋_GB2312" w:hAnsi="仿宋_GB2312" w:eastAsia="仿宋_GB2312" w:cs="仿宋_GB2312"/>
                <w:kern w:val="0"/>
                <w:sz w:val="24"/>
              </w:rPr>
              <w:t>政府批准，招拍挂</w:t>
            </w:r>
            <w:r>
              <w:rPr>
                <w:rFonts w:hint="eastAsia" w:ascii="仿宋_GB2312" w:hAnsi="仿宋_GB2312" w:eastAsia="仿宋_GB2312" w:cs="仿宋_GB2312"/>
                <w:kern w:val="0"/>
                <w:sz w:val="24"/>
                <w:lang w:eastAsia="zh-CN"/>
              </w:rPr>
              <w:t>出让</w:t>
            </w:r>
            <w:r>
              <w:rPr>
                <w:rFonts w:hint="eastAsia" w:ascii="仿宋_GB2312" w:hAnsi="仿宋_GB2312" w:eastAsia="仿宋_GB2312" w:cs="仿宋_GB2312"/>
                <w:kern w:val="0"/>
                <w:sz w:val="24"/>
              </w:rPr>
              <w:t>用地地价可分期缴交，自签订合同之日起1年内交清</w:t>
            </w:r>
            <w:r>
              <w:rPr>
                <w:rFonts w:hint="eastAsia" w:ascii="仿宋_GB2312" w:hAnsi="仿宋_GB2312" w:eastAsia="仿宋_GB2312" w:cs="仿宋_GB2312"/>
                <w:kern w:val="0"/>
                <w:sz w:val="24"/>
                <w:lang w:eastAsia="zh-CN"/>
              </w:rPr>
              <w:t>并按</w:t>
            </w:r>
            <w:bookmarkStart w:id="2" w:name="_GoBack"/>
            <w:bookmarkEnd w:id="2"/>
            <w:r>
              <w:rPr>
                <w:rFonts w:hint="eastAsia" w:ascii="仿宋_GB2312" w:hAnsi="仿宋_GB2312" w:eastAsia="仿宋_GB2312" w:cs="仿宋_GB2312"/>
                <w:kern w:val="0"/>
                <w:sz w:val="24"/>
                <w:lang w:eastAsia="zh-CN"/>
              </w:rPr>
              <w:t>规定计收利息</w:t>
            </w:r>
            <w:r>
              <w:rPr>
                <w:rFonts w:hint="eastAsia" w:ascii="仿宋_GB2312" w:hAnsi="仿宋_GB2312" w:eastAsia="仿宋_GB2312" w:cs="仿宋_GB2312"/>
                <w:kern w:val="0"/>
                <w:sz w:val="24"/>
              </w:rPr>
              <w:t>。</w:t>
            </w:r>
          </w:p>
          <w:p>
            <w:pPr>
              <w:widowControl/>
              <w:spacing w:line="29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4．协议出让给市政府确定的投资主体建设只租不售的创新型产业用房部分，地价按照相应用途标准的50%测算。</w:t>
            </w:r>
          </w:p>
          <w:p>
            <w:pPr>
              <w:widowControl/>
              <w:spacing w:line="29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5．产业用地测算地价时，产业用地配套办公、宿舍、商业等建筑面积按照对应的建筑类型测算地价，配套的办公、宿舍等建筑面积经基础修正后的楼面单价不得低于同等条件下产业主体建筑类型的楼面单价。</w:t>
            </w:r>
          </w:p>
          <w:p>
            <w:pPr>
              <w:widowControl/>
              <w:spacing w:line="29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6．交通设施、市政设施用地配套建设的辅助设施、管理维修设施和必要配套的附属设施，按主体建筑类型测算地价。</w:t>
            </w:r>
          </w:p>
          <w:p>
            <w:pPr>
              <w:widowControl/>
              <w:spacing w:line="29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7．新供应加油、加气混合用地，已明确加油、加气功能占地面积的，按占地面积分别计算地价后合计；未明确加油、加气功能占地面积的，以宗地为单位，按照加油站和加气站土地的市场价格的均值确定地价。</w:t>
            </w:r>
          </w:p>
          <w:p>
            <w:pPr>
              <w:widowControl/>
              <w:spacing w:line="29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8．高尔夫球场、高尔夫练习场、地上规定建筑面积小于土地面积的住宅用地不适用本表。</w:t>
            </w:r>
          </w:p>
          <w:p>
            <w:pPr>
              <w:widowControl/>
              <w:spacing w:line="29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9．本表中第5、</w:t>
            </w:r>
            <w:r>
              <w:rPr>
                <w:rFonts w:ascii="仿宋_GB2312" w:hAnsi="仿宋_GB2312" w:eastAsia="仿宋_GB2312" w:cs="仿宋_GB2312"/>
                <w:kern w:val="0"/>
                <w:sz w:val="24"/>
              </w:rPr>
              <w:t>8</w:t>
            </w:r>
            <w:r>
              <w:rPr>
                <w:rFonts w:hint="eastAsia" w:ascii="仿宋_GB2312" w:hAnsi="仿宋_GB2312" w:eastAsia="仿宋_GB2312" w:cs="仿宋_GB2312"/>
                <w:kern w:val="0"/>
                <w:sz w:val="24"/>
              </w:rPr>
              <w:t>、9、</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类建筑类型及幼儿园、邮政网点（所）、社会停车场、加油站原则上应在出让方案或供应合同中明确该类建筑类型限整体转让。</w:t>
            </w:r>
          </w:p>
          <w:p>
            <w:pPr>
              <w:widowControl/>
              <w:spacing w:line="290" w:lineRule="exact"/>
              <w:rPr>
                <w:rFonts w:ascii="仿宋_GB2312" w:hAnsi="仿宋_GB2312" w:eastAsia="仿宋_GB2312" w:cs="仿宋_GB2312"/>
                <w:color w:val="C00000"/>
                <w:kern w:val="0"/>
                <w:sz w:val="24"/>
              </w:rPr>
            </w:pPr>
            <w:r>
              <w:rPr>
                <w:rFonts w:hint="eastAsia" w:ascii="仿宋_GB2312" w:hAnsi="仿宋_GB2312" w:eastAsia="仿宋_GB2312" w:cs="仿宋_GB2312"/>
                <w:kern w:val="0"/>
                <w:sz w:val="24"/>
              </w:rPr>
              <w:t>10．政府投资新建的安置用房和产权归属政府的房屋用做安置用房的，地价按照相应用途的10%测算。</w:t>
            </w:r>
          </w:p>
        </w:tc>
      </w:tr>
    </w:tbl>
    <w:p>
      <w:pPr>
        <w:spacing w:line="579" w:lineRule="exact"/>
        <w:jc w:val="center"/>
        <w:outlineLvl w:val="0"/>
        <w:rPr>
          <w:rFonts w:hint="eastAsia" w:ascii="仿宋_GB2312" w:hAnsi="仿宋_GB2312" w:eastAsia="仿宋_GB2312" w:cs="仿宋_GB2312"/>
          <w:b/>
          <w:bCs/>
          <w:kern w:val="0"/>
          <w:sz w:val="32"/>
          <w:szCs w:val="32"/>
        </w:rPr>
      </w:pPr>
    </w:p>
    <w:p>
      <w:pPr>
        <w:spacing w:line="579" w:lineRule="exact"/>
        <w:jc w:val="center"/>
        <w:outlineLvl w:val="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附表1-</w:t>
      </w: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 xml:space="preserve">  保障性住房类型修正系数表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6351"/>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1" w:type="pct"/>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3726" w:type="pct"/>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保障性住房类型</w:t>
            </w:r>
          </w:p>
        </w:tc>
        <w:tc>
          <w:tcPr>
            <w:tcW w:w="734" w:type="pct"/>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1" w:type="pct"/>
            <w:vAlign w:val="center"/>
          </w:tcPr>
          <w:p>
            <w:pPr>
              <w:widowControl/>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w:t>
            </w:r>
          </w:p>
        </w:tc>
        <w:tc>
          <w:tcPr>
            <w:tcW w:w="3726" w:type="pct"/>
            <w:vAlign w:val="center"/>
          </w:tcPr>
          <w:p>
            <w:pPr>
              <w:widowControl/>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公共租赁住房</w:t>
            </w:r>
          </w:p>
        </w:tc>
        <w:tc>
          <w:tcPr>
            <w:tcW w:w="734" w:type="pct"/>
            <w:vAlign w:val="center"/>
          </w:tcPr>
          <w:p>
            <w:pPr>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0</w:t>
            </w:r>
            <w:r>
              <w:rPr>
                <w:rFonts w:ascii="仿宋_GB2312" w:hAnsi="仿宋_GB2312" w:eastAsia="仿宋_GB2312" w:cs="仿宋_GB2312"/>
                <w:bCs/>
                <w:kern w:val="0"/>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1" w:type="pct"/>
            <w:vAlign w:val="center"/>
          </w:tcPr>
          <w:p>
            <w:pPr>
              <w:widowControl/>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w:t>
            </w:r>
          </w:p>
        </w:tc>
        <w:tc>
          <w:tcPr>
            <w:tcW w:w="3726" w:type="pct"/>
            <w:vAlign w:val="center"/>
          </w:tcPr>
          <w:p>
            <w:pPr>
              <w:widowControl/>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保障性租赁住房（政府组织配租）</w:t>
            </w:r>
          </w:p>
        </w:tc>
        <w:tc>
          <w:tcPr>
            <w:tcW w:w="734" w:type="pct"/>
            <w:vAlign w:val="center"/>
          </w:tcPr>
          <w:p>
            <w:pPr>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0</w:t>
            </w:r>
            <w:r>
              <w:rPr>
                <w:rFonts w:ascii="仿宋_GB2312" w:hAnsi="仿宋_GB2312" w:eastAsia="仿宋_GB2312" w:cs="仿宋_GB2312"/>
                <w:bCs/>
                <w:kern w:val="0"/>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1" w:type="pct"/>
            <w:vAlign w:val="center"/>
          </w:tcPr>
          <w:p>
            <w:pPr>
              <w:widowControl/>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w:t>
            </w:r>
          </w:p>
        </w:tc>
        <w:tc>
          <w:tcPr>
            <w:tcW w:w="3726" w:type="pct"/>
            <w:vAlign w:val="center"/>
          </w:tcPr>
          <w:p>
            <w:pPr>
              <w:widowControl/>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保障性租赁住房（社会主体出租）</w:t>
            </w:r>
          </w:p>
        </w:tc>
        <w:tc>
          <w:tcPr>
            <w:tcW w:w="734" w:type="pct"/>
            <w:vAlign w:val="center"/>
          </w:tcPr>
          <w:p>
            <w:pPr>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0</w:t>
            </w:r>
            <w:r>
              <w:rPr>
                <w:rFonts w:ascii="仿宋_GB2312" w:hAnsi="仿宋_GB2312" w:eastAsia="仿宋_GB2312" w:cs="仿宋_GB2312"/>
                <w:bCs/>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1" w:type="pct"/>
            <w:vAlign w:val="center"/>
          </w:tcPr>
          <w:p>
            <w:pPr>
              <w:widowControl/>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w:t>
            </w:r>
          </w:p>
        </w:tc>
        <w:tc>
          <w:tcPr>
            <w:tcW w:w="3726" w:type="pct"/>
            <w:vAlign w:val="center"/>
          </w:tcPr>
          <w:p>
            <w:pPr>
              <w:widowControl/>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配售型保障性住房</w:t>
            </w:r>
          </w:p>
        </w:tc>
        <w:tc>
          <w:tcPr>
            <w:tcW w:w="734" w:type="pct"/>
            <w:vAlign w:val="center"/>
          </w:tcPr>
          <w:p>
            <w:pPr>
              <w:widowControl/>
              <w:spacing w:line="36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见备注</w:t>
            </w:r>
            <w:r>
              <w:rPr>
                <w:rFonts w:ascii="仿宋_GB2312" w:hAnsi="仿宋_GB2312" w:eastAsia="仿宋_GB2312" w:cs="仿宋_GB2312"/>
                <w:bCs/>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5000" w:type="pct"/>
            <w:gridSpan w:val="3"/>
            <w:vAlign w:val="center"/>
          </w:tcPr>
          <w:p>
            <w:pPr>
              <w:widowControl/>
              <w:spacing w:line="360" w:lineRule="exact"/>
              <w:jc w:val="left"/>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备注：</w:t>
            </w:r>
          </w:p>
          <w:p>
            <w:pPr>
              <w:widowControl/>
              <w:spacing w:line="360" w:lineRule="exact"/>
              <w:jc w:val="left"/>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1．本表建筑类型不适用产权条件修正系数。</w:t>
            </w:r>
          </w:p>
          <w:p>
            <w:pPr>
              <w:widowControl/>
              <w:spacing w:line="360" w:lineRule="exact"/>
              <w:jc w:val="left"/>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w:t>
            </w:r>
            <w:r>
              <w:rPr>
                <w:rFonts w:ascii="仿宋_GB2312" w:hAnsi="仿宋_GB2312" w:eastAsia="仿宋_GB2312" w:cs="仿宋_GB2312"/>
                <w:bCs/>
                <w:kern w:val="0"/>
                <w:sz w:val="24"/>
                <w:szCs w:val="24"/>
              </w:rPr>
              <w:t xml:space="preserve">. </w:t>
            </w:r>
            <w:r>
              <w:rPr>
                <w:rFonts w:hint="eastAsia" w:ascii="仿宋_GB2312" w:hAnsi="仿宋_GB2312" w:eastAsia="仿宋_GB2312" w:cs="仿宋_GB2312"/>
                <w:bCs/>
                <w:kern w:val="0"/>
                <w:sz w:val="24"/>
                <w:szCs w:val="24"/>
              </w:rPr>
              <w:t>宿舍型保障性租赁住房同时适用附表1宿舍建筑类型修正系数及本表，不适用产业发展导向修正系数，不适用产业项目类型修正系数。</w:t>
            </w:r>
          </w:p>
          <w:p>
            <w:pPr>
              <w:widowControl/>
              <w:spacing w:line="360" w:lineRule="exact"/>
              <w:jc w:val="left"/>
              <w:rPr>
                <w:rFonts w:ascii="仿宋_GB2312" w:hAnsi="仿宋_GB2312" w:eastAsia="仿宋_GB2312" w:cs="仿宋_GB2312"/>
                <w:bCs/>
                <w:kern w:val="0"/>
                <w:sz w:val="24"/>
                <w:szCs w:val="24"/>
              </w:rPr>
            </w:pPr>
            <w:r>
              <w:rPr>
                <w:rFonts w:ascii="仿宋_GB2312" w:hAnsi="仿宋_GB2312" w:eastAsia="仿宋_GB2312" w:cs="仿宋_GB2312"/>
                <w:bCs/>
                <w:kern w:val="0"/>
                <w:sz w:val="24"/>
                <w:szCs w:val="24"/>
              </w:rPr>
              <w:t>3</w:t>
            </w:r>
            <w:r>
              <w:rPr>
                <w:rFonts w:hint="eastAsia" w:ascii="仿宋_GB2312" w:hAnsi="仿宋_GB2312" w:eastAsia="仿宋_GB2312" w:cs="仿宋_GB2312"/>
                <w:bCs/>
                <w:kern w:val="0"/>
                <w:sz w:val="24"/>
                <w:szCs w:val="24"/>
              </w:rPr>
              <w:t>．配售型保障性住房及配套设施的土地取得成本按国家及我市有关规定执行。</w:t>
            </w:r>
          </w:p>
        </w:tc>
      </w:tr>
    </w:tbl>
    <w:p>
      <w:pP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br w:type="page"/>
      </w:r>
    </w:p>
    <w:p>
      <w:pPr>
        <w:jc w:val="center"/>
        <w:outlineLvl w:val="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附表2  土地使用年期修正系数表</w:t>
      </w:r>
      <w:r>
        <w:rPr>
          <w:rFonts w:hint="eastAsia"/>
        </w:rPr>
        <w:tab/>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5"/>
        <w:gridCol w:w="946"/>
        <w:gridCol w:w="948"/>
        <w:gridCol w:w="946"/>
        <w:gridCol w:w="946"/>
        <w:gridCol w:w="948"/>
        <w:gridCol w:w="946"/>
        <w:gridCol w:w="946"/>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5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年期</w:t>
            </w:r>
          </w:p>
          <w:p>
            <w:pPr>
              <w:spacing w:line="360" w:lineRule="exact"/>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n</w:t>
            </w:r>
          </w:p>
        </w:tc>
        <w:tc>
          <w:tcPr>
            <w:tcW w:w="5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住宅</w:t>
            </w:r>
            <w:r>
              <w:rPr>
                <w:rFonts w:ascii="仿宋_GB2312" w:hAnsi="仿宋_GB2312" w:eastAsia="仿宋_GB2312" w:cs="仿宋_GB2312"/>
                <w:b/>
                <w:kern w:val="0"/>
                <w:sz w:val="24"/>
              </w:rPr>
              <w:t>类</w:t>
            </w:r>
            <w:r>
              <w:rPr>
                <w:rFonts w:hint="eastAsia" w:ascii="仿宋_GB2312" w:hAnsi="仿宋_GB2312" w:eastAsia="仿宋_GB2312" w:cs="仿宋_GB2312"/>
                <w:b/>
                <w:kern w:val="0"/>
                <w:sz w:val="24"/>
              </w:rPr>
              <w:t>（7</w:t>
            </w:r>
            <w:r>
              <w:rPr>
                <w:rFonts w:ascii="仿宋_GB2312" w:hAnsi="仿宋_GB2312" w:eastAsia="仿宋_GB2312" w:cs="仿宋_GB2312"/>
                <w:b/>
                <w:kern w:val="0"/>
                <w:sz w:val="24"/>
              </w:rPr>
              <w:t>0</w:t>
            </w:r>
            <w:r>
              <w:rPr>
                <w:rFonts w:hint="eastAsia" w:ascii="仿宋_GB2312" w:hAnsi="仿宋_GB2312" w:eastAsia="仿宋_GB2312" w:cs="仿宋_GB2312"/>
                <w:b/>
                <w:kern w:val="0"/>
                <w:sz w:val="24"/>
              </w:rPr>
              <w:t>年）</w:t>
            </w:r>
          </w:p>
        </w:tc>
        <w:tc>
          <w:tcPr>
            <w:tcW w:w="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kern w:val="0"/>
                <w:sz w:val="24"/>
              </w:rPr>
            </w:pPr>
            <w:r>
              <w:rPr>
                <w:rFonts w:ascii="仿宋_GB2312" w:hAnsi="仿宋_GB2312" w:eastAsia="仿宋_GB2312" w:cs="仿宋_GB2312"/>
                <w:b/>
                <w:kern w:val="0"/>
                <w:sz w:val="24"/>
              </w:rPr>
              <w:t>商业类</w:t>
            </w:r>
            <w:r>
              <w:rPr>
                <w:rFonts w:hint="eastAsia" w:ascii="仿宋_GB2312" w:hAnsi="仿宋_GB2312" w:eastAsia="仿宋_GB2312" w:cs="仿宋_GB2312"/>
                <w:b/>
                <w:kern w:val="0"/>
                <w:sz w:val="24"/>
              </w:rPr>
              <w:t>（4</w:t>
            </w:r>
            <w:r>
              <w:rPr>
                <w:rFonts w:ascii="仿宋_GB2312" w:hAnsi="仿宋_GB2312" w:eastAsia="仿宋_GB2312" w:cs="仿宋_GB2312"/>
                <w:b/>
                <w:kern w:val="0"/>
                <w:sz w:val="24"/>
              </w:rPr>
              <w:t>0</w:t>
            </w:r>
            <w:r>
              <w:rPr>
                <w:rFonts w:hint="eastAsia" w:ascii="仿宋_GB2312" w:hAnsi="仿宋_GB2312" w:eastAsia="仿宋_GB2312" w:cs="仿宋_GB2312"/>
                <w:b/>
                <w:kern w:val="0"/>
                <w:sz w:val="24"/>
              </w:rPr>
              <w:t>年）</w:t>
            </w:r>
          </w:p>
        </w:tc>
        <w:tc>
          <w:tcPr>
            <w:tcW w:w="5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kern w:val="0"/>
                <w:sz w:val="24"/>
              </w:rPr>
            </w:pPr>
            <w:r>
              <w:rPr>
                <w:rFonts w:ascii="仿宋_GB2312" w:hAnsi="仿宋_GB2312" w:eastAsia="仿宋_GB2312" w:cs="仿宋_GB2312"/>
                <w:b/>
                <w:kern w:val="0"/>
                <w:sz w:val="24"/>
              </w:rPr>
              <w:t>办公</w:t>
            </w:r>
            <w:r>
              <w:rPr>
                <w:rFonts w:hint="eastAsia" w:ascii="仿宋_GB2312" w:hAnsi="仿宋_GB2312" w:eastAsia="仿宋_GB2312" w:cs="仿宋_GB2312"/>
                <w:b/>
                <w:kern w:val="0"/>
                <w:sz w:val="24"/>
              </w:rPr>
              <w:t>类（</w:t>
            </w:r>
            <w:r>
              <w:rPr>
                <w:rFonts w:ascii="仿宋_GB2312" w:hAnsi="仿宋_GB2312" w:eastAsia="仿宋_GB2312" w:cs="仿宋_GB2312"/>
                <w:b/>
                <w:kern w:val="0"/>
                <w:sz w:val="24"/>
              </w:rPr>
              <w:t>40年</w:t>
            </w:r>
            <w:r>
              <w:rPr>
                <w:rFonts w:hint="eastAsia" w:ascii="仿宋_GB2312" w:hAnsi="仿宋_GB2312" w:eastAsia="仿宋_GB2312" w:cs="仿宋_GB2312"/>
                <w:b/>
                <w:kern w:val="0"/>
                <w:sz w:val="24"/>
              </w:rPr>
              <w:t>）</w:t>
            </w:r>
          </w:p>
        </w:tc>
        <w:tc>
          <w:tcPr>
            <w:tcW w:w="5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kern w:val="0"/>
                <w:sz w:val="24"/>
              </w:rPr>
            </w:pPr>
            <w:r>
              <w:rPr>
                <w:rFonts w:ascii="仿宋_GB2312" w:hAnsi="仿宋_GB2312" w:eastAsia="仿宋_GB2312" w:cs="仿宋_GB2312"/>
                <w:b/>
                <w:kern w:val="0"/>
                <w:sz w:val="24"/>
              </w:rPr>
              <w:t>工业类</w:t>
            </w:r>
            <w:r>
              <w:rPr>
                <w:rFonts w:hint="eastAsia" w:ascii="仿宋_GB2312" w:hAnsi="仿宋_GB2312" w:eastAsia="仿宋_GB2312" w:cs="仿宋_GB2312"/>
                <w:b/>
                <w:kern w:val="0"/>
                <w:sz w:val="24"/>
              </w:rPr>
              <w:t>（</w:t>
            </w:r>
            <w:r>
              <w:rPr>
                <w:rFonts w:ascii="仿宋_GB2312" w:hAnsi="仿宋_GB2312" w:eastAsia="仿宋_GB2312" w:cs="仿宋_GB2312"/>
                <w:b/>
                <w:kern w:val="0"/>
                <w:sz w:val="24"/>
              </w:rPr>
              <w:t>30年</w:t>
            </w:r>
            <w:r>
              <w:rPr>
                <w:rFonts w:hint="eastAsia" w:ascii="仿宋_GB2312" w:hAnsi="仿宋_GB2312" w:eastAsia="仿宋_GB2312" w:cs="仿宋_GB2312"/>
                <w:b/>
                <w:kern w:val="0"/>
                <w:sz w:val="24"/>
              </w:rPr>
              <w:t>）</w:t>
            </w:r>
          </w:p>
        </w:tc>
        <w:tc>
          <w:tcPr>
            <w:tcW w:w="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新型产业类（3</w:t>
            </w:r>
            <w:r>
              <w:rPr>
                <w:rFonts w:ascii="仿宋_GB2312" w:hAnsi="仿宋_GB2312" w:eastAsia="仿宋_GB2312" w:cs="仿宋_GB2312"/>
                <w:b/>
                <w:kern w:val="0"/>
                <w:sz w:val="24"/>
              </w:rPr>
              <w:t>0</w:t>
            </w:r>
            <w:r>
              <w:rPr>
                <w:rFonts w:hint="eastAsia" w:ascii="仿宋_GB2312" w:hAnsi="仿宋_GB2312" w:eastAsia="仿宋_GB2312" w:cs="仿宋_GB2312"/>
                <w:b/>
                <w:kern w:val="0"/>
                <w:sz w:val="24"/>
              </w:rPr>
              <w:t>年）</w:t>
            </w:r>
          </w:p>
        </w:tc>
        <w:tc>
          <w:tcPr>
            <w:tcW w:w="5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酒店</w:t>
            </w:r>
            <w:r>
              <w:rPr>
                <w:rFonts w:ascii="仿宋_GB2312" w:hAnsi="仿宋_GB2312" w:eastAsia="仿宋_GB2312" w:cs="仿宋_GB2312"/>
                <w:b/>
                <w:kern w:val="0"/>
                <w:sz w:val="24"/>
              </w:rPr>
              <w:t>类</w:t>
            </w:r>
            <w:r>
              <w:rPr>
                <w:rFonts w:hint="eastAsia" w:ascii="仿宋_GB2312" w:hAnsi="仿宋_GB2312" w:eastAsia="仿宋_GB2312" w:cs="仿宋_GB2312"/>
                <w:b/>
                <w:kern w:val="0"/>
                <w:sz w:val="24"/>
              </w:rPr>
              <w:t>（4</w:t>
            </w:r>
            <w:r>
              <w:rPr>
                <w:rFonts w:ascii="仿宋_GB2312" w:hAnsi="仿宋_GB2312" w:eastAsia="仿宋_GB2312" w:cs="仿宋_GB2312"/>
                <w:b/>
                <w:kern w:val="0"/>
                <w:sz w:val="24"/>
              </w:rPr>
              <w:t>0</w:t>
            </w:r>
            <w:r>
              <w:rPr>
                <w:rFonts w:hint="eastAsia" w:ascii="仿宋_GB2312" w:hAnsi="仿宋_GB2312" w:eastAsia="仿宋_GB2312" w:cs="仿宋_GB2312"/>
                <w:b/>
                <w:kern w:val="0"/>
                <w:sz w:val="24"/>
              </w:rPr>
              <w:t>年）</w:t>
            </w:r>
          </w:p>
        </w:tc>
        <w:tc>
          <w:tcPr>
            <w:tcW w:w="555"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公共管理与服务设施</w:t>
            </w:r>
            <w:r>
              <w:rPr>
                <w:rFonts w:ascii="仿宋_GB2312" w:hAnsi="仿宋_GB2312" w:eastAsia="仿宋_GB2312" w:cs="仿宋_GB2312"/>
                <w:b/>
                <w:kern w:val="0"/>
                <w:sz w:val="24"/>
              </w:rPr>
              <w:t>类</w:t>
            </w:r>
            <w:r>
              <w:rPr>
                <w:rFonts w:hint="eastAsia" w:ascii="仿宋_GB2312" w:hAnsi="仿宋_GB2312" w:eastAsia="仿宋_GB2312" w:cs="仿宋_GB2312"/>
                <w:b/>
                <w:kern w:val="0"/>
                <w:sz w:val="24"/>
              </w:rPr>
              <w:t>（5</w:t>
            </w:r>
            <w:r>
              <w:rPr>
                <w:rFonts w:ascii="仿宋_GB2312" w:hAnsi="仿宋_GB2312" w:eastAsia="仿宋_GB2312" w:cs="仿宋_GB2312"/>
                <w:b/>
                <w:kern w:val="0"/>
                <w:sz w:val="24"/>
              </w:rPr>
              <w:t>0</w:t>
            </w:r>
            <w:r>
              <w:rPr>
                <w:rFonts w:hint="eastAsia" w:ascii="仿宋_GB2312" w:hAnsi="仿宋_GB2312" w:eastAsia="仿宋_GB2312" w:cs="仿宋_GB2312"/>
                <w:b/>
                <w:kern w:val="0"/>
                <w:sz w:val="24"/>
              </w:rPr>
              <w:t>年）</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公用设施类（5</w:t>
            </w:r>
            <w:r>
              <w:rPr>
                <w:rFonts w:ascii="仿宋_GB2312" w:hAnsi="仿宋_GB2312" w:eastAsia="仿宋_GB2312" w:cs="仿宋_GB2312"/>
                <w:b/>
                <w:kern w:val="0"/>
                <w:sz w:val="24"/>
              </w:rPr>
              <w:t>0</w:t>
            </w:r>
            <w:r>
              <w:rPr>
                <w:rFonts w:hint="eastAsia" w:ascii="仿宋_GB2312" w:hAnsi="仿宋_GB2312" w:eastAsia="仿宋_GB2312" w:cs="仿宋_GB2312"/>
                <w:b/>
                <w:kern w:val="0"/>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auto"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w:t>
            </w:r>
          </w:p>
        </w:tc>
        <w:tc>
          <w:tcPr>
            <w:tcW w:w="555" w:type="pct"/>
            <w:tcBorders>
              <w:top w:val="single" w:color="auto"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0.0419 </w:t>
            </w:r>
          </w:p>
        </w:tc>
        <w:tc>
          <w:tcPr>
            <w:tcW w:w="556" w:type="pct"/>
            <w:tcBorders>
              <w:top w:val="single" w:color="auto"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0.0527 </w:t>
            </w:r>
          </w:p>
        </w:tc>
        <w:tc>
          <w:tcPr>
            <w:tcW w:w="555" w:type="pct"/>
            <w:tcBorders>
              <w:top w:val="single" w:color="auto"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0.0534 </w:t>
            </w:r>
          </w:p>
        </w:tc>
        <w:tc>
          <w:tcPr>
            <w:tcW w:w="555" w:type="pct"/>
            <w:tcBorders>
              <w:top w:val="single" w:color="auto"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0.0581 </w:t>
            </w:r>
          </w:p>
        </w:tc>
        <w:tc>
          <w:tcPr>
            <w:tcW w:w="556" w:type="pct"/>
            <w:tcBorders>
              <w:top w:val="single" w:color="auto"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0.0587 </w:t>
            </w:r>
          </w:p>
        </w:tc>
        <w:tc>
          <w:tcPr>
            <w:tcW w:w="555" w:type="pct"/>
            <w:tcBorders>
              <w:top w:val="single" w:color="auto"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0.0555 </w:t>
            </w:r>
          </w:p>
        </w:tc>
        <w:tc>
          <w:tcPr>
            <w:tcW w:w="555" w:type="pct"/>
            <w:tcBorders>
              <w:top w:val="single" w:color="auto"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0.0419 </w:t>
            </w:r>
          </w:p>
        </w:tc>
        <w:tc>
          <w:tcPr>
            <w:tcW w:w="558" w:type="pct"/>
            <w:tcBorders>
              <w:top w:val="single" w:color="auto"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0.0405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0.0822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0.1031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0.1044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0.1138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0.1150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0.1084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0.0823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0.0797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0.1208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0.1512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0.1531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0.1671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0.1688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0.1587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0.1214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0.1175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0.1580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0.1973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0.1996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0.2182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0.2202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0.2067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0.1591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0.1541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0.1936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0.2413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0.2441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0.2671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0.2695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0.2523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0.1954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0.1896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0.2279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0.2834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0.2865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0.3139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0.3166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0.2958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0.2305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0.2238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7</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0.2608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0.3236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0.3270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0.3588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0.3618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0.3372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0.2644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0.2570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8</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0.2925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0.3621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0.3657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0.4018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0.4049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0.3767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0.2971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0.2890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9</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0.3228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0.3989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0.4027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0.4430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0.4462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0.4142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0.3287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10</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0.3520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0.4340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0.4380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0.4824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0.4858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0.4500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0.3592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11</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0.3801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0.4676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0.4718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0.5202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0.5236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0.4841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0.3886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0.3789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12</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0.4070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0.4998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0.5040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0.5564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0.5598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0.5165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0.4170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0.4070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13</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0.4329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0.5305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0.5348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0.5911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0.5944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0.5474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0.4444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0.4341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14</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0.4577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0.5599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0.5641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0.6243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0.6276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0.5769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0.4708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0.4603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15</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0.4816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0.5879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0.5922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0.6561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0.6593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0.6049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0.4964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0.4857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16</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0.5045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0.6148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0.6190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0.6865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0.6897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0.6316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0.5210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0.5102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17</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0.5266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0.6404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0.6446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0.7157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0.7187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0.6570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0.5448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0.5339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18</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0.5477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0.6650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0.6691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0.7437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0.7465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0.6812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0.5678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0.5568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19</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0.5681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0.6884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0.6924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0.7704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0.7731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0.7043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0.5900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0.5790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20</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0.5876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0.7108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0.7148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0.7961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0.7986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0.7263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0.6114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0.6005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21</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0.6063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0.7323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0.7361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0.8207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0.8229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0.7472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0.6320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0.6212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22</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0.6244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0.7528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0.7564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0.8442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0.8462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0.7671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0.6519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0.6413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23</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0.6417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0.7724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0.7759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0.8667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0.8686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0.7861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0.6712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0.6607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24</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0.6583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0.7911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0.7944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0.8883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0.8899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0.8042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0.6898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0.6794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25</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0.6743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0.8090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0.8122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0.9090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0.9103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0.8214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0.7077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0.6976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26</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0.6896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0.8261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0.8291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0.9288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0.9299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0.8378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0.7250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0.7151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27</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0.7044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0.8425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0.8453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0.9478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0.9486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0.8534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0.7417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0.7321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28</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0.7185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0.8581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0.8607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0.9659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0.9665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0.8682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0.7578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0.7485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29</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0.7321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0.8731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0.8755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0.9833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0.9836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0.8824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0.7734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0.7644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30</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0.7452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0.8874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0.8896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1.0000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1.0000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0.8959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0.7884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0.7798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31</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0.7577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0.9011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0.9030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1.0160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1.0157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0.9087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0.8029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0.7946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32</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0.7698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0.9141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0.9159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1.0313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1.0307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0.9210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0.8169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0.8090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33</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0.7814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0.9266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0.9282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1.0459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1.0451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0.9326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0.8304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0.8229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34</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0.7925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0.9386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0.9399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1.0599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1.0588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0.9437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0.8435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0.8363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35</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0.8032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0.9500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0.9511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1.0734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1.0720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0.9543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0.8560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0.8493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36</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0.8135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0.9609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0.9618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1.0863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1.0845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0.9643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0.8682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0.8619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37</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0.8233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0.9714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0.9720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1.0986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1.0966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0.9739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0.8799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0.8740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38</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0.8328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0.9813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0.9818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1.1104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1.1081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0.9830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0.8912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0.8858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39</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0.8419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0.9909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0.9911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1.1217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1.1191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0.9917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0.9022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0.8971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40</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0.8506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1.0000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1.0000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1.1326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1.1297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1.0000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0.9127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0.9081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41</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0.8590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1.0087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1.0085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1.1429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1.1398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1.0079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0.9229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0.9188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42</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0.8671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1.0171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1.0166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1.1529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1.1495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1.0154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0.9327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0.9290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43</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0.8749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1.0250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1.0244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1.1624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1.1587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1.0225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0.9422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0.9390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44</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0.8823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1.0326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1.0318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1.1715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1.1676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1.0294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0.9514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0.9486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45</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0.8895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1.0399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1.0389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1.1803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1.1760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1.0358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0.9602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0.9579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46</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0.8963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1.0469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1.0456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1.1886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1.1841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1.0420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0.9687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0.9669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47</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0.9029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1.0536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1.0521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1.1967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1.1919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1.0479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0.9770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0.9756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48</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0.9093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1.0599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1.0583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1.2043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1.1993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1.0535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0.9849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49</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0.9153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1.0660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1.0641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1.2117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1.2064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1.0588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0.9926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0.9921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50</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0.9212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1.0718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1.0698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1.2187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1.2132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1.0639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1.0000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51</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0.9268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1.0774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1.0751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1.2255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1.2197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1.0688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1.0071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52</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0.9322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1.0827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1.0803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1.2320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1.2259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1.0734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1.0140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1.0150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53</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0.9374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1.0878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1.0852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1.2382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1.2319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1.0778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1.0207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54</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0.9424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1.0926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1.0899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1.2441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1.2376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1.0819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1.0271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1.0290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55</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0.9472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1.0973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1.0943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1.2498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1.2431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1.0859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1.0333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1.0356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56</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0.9518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1.1017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1.0986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1.2552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1.2483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1.0897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1.0393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1.0421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57</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0.9562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1.1060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1.1027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1.2604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1.2533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1.0933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1.0451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1.0483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58</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0.9604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1.1100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1.1066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1.2654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1.2580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1.0968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1.0507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59</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0.9645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1.1139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1.1103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1.2702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1.2626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1.1000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1.0561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1.0601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60</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0.9684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1.1176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1.1138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1.2748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1.2670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1.1032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1.0613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1.0658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61</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0.9722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1.1212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1.1172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1.2792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1.2712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1.1061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1.0663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62</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0.9758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1.1246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1.1205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1.2834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1.2752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1.1090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1.0711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63</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0.9793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1.1278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1.1236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1.2874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1.2790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1.1117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1.0758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64</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0.9826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1.1309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1.1265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1.2913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1.2827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1.1142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1.0803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65</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0.9858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1.1339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1.1294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1.2949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1.2862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1.1167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1.0847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66</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0.9889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1.1367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1.1320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1.2985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1.2896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1.1190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1.0889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1.0959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67</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0.9918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1.1394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1.1346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1.3019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1.2928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1.1212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1.0930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68</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0.9947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1.1420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1.1371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1.3051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1.2959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1.1233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1.0969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1.1046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69</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0.9974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1.1445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1.1394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1.3082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1.2988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1.1253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1.1007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kern w:val="0"/>
                <w:sz w:val="24"/>
                <w:szCs w:val="24"/>
              </w:rPr>
            </w:pPr>
            <w:r>
              <w:rPr>
                <w:rFonts w:ascii="仿宋_GB2312" w:hAnsi="宋体" w:eastAsia="仿宋_GB2312" w:cs="仿宋_GB2312"/>
                <w:kern w:val="0"/>
                <w:sz w:val="24"/>
                <w:szCs w:val="24"/>
                <w:lang w:bidi="ar"/>
              </w:rPr>
              <w:t>70</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1.0000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1.1468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1.1417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1.3112 </w:t>
            </w:r>
          </w:p>
        </w:tc>
        <w:tc>
          <w:tcPr>
            <w:tcW w:w="556"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1.3016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1.1273 </w:t>
            </w:r>
          </w:p>
        </w:tc>
        <w:tc>
          <w:tcPr>
            <w:tcW w:w="555"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1.1043 </w:t>
            </w:r>
          </w:p>
        </w:tc>
        <w:tc>
          <w:tcPr>
            <w:tcW w:w="558" w:type="pct"/>
            <w:tcBorders>
              <w:top w:val="single" w:color="000000" w:sz="4" w:space="0"/>
              <w:left w:val="single" w:color="000000" w:sz="4" w:space="0"/>
              <w:bottom w:val="single" w:color="000000" w:sz="4" w:space="0"/>
              <w:right w:val="single" w:color="000000" w:sz="4" w:space="0"/>
            </w:tcBorders>
            <w:vAlign w:val="top"/>
          </w:tcPr>
          <w:p>
            <w:pPr>
              <w:widowControl/>
              <w:spacing w:line="36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 xml:space="preserve">1.1128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8"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备注：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上述土地使用年期修正系数公式为：K=[1-1/(1+r)</w:t>
            </w:r>
            <w:r>
              <w:rPr>
                <w:rFonts w:hint="eastAsia" w:ascii="仿宋_GB2312" w:hAnsi="仿宋_GB2312" w:eastAsia="仿宋_GB2312" w:cs="仿宋_GB2312"/>
                <w:sz w:val="24"/>
                <w:vertAlign w:val="superscript"/>
              </w:rPr>
              <w:t>m</w:t>
            </w:r>
            <w:r>
              <w:rPr>
                <w:rFonts w:hint="eastAsia" w:ascii="仿宋_GB2312" w:hAnsi="仿宋_GB2312" w:eastAsia="仿宋_GB2312" w:cs="仿宋_GB2312"/>
                <w:sz w:val="24"/>
              </w:rPr>
              <w:t>]/[1-1/(1+r)</w:t>
            </w:r>
            <w:r>
              <w:rPr>
                <w:rFonts w:hint="eastAsia" w:ascii="仿宋_GB2312" w:hAnsi="仿宋_GB2312" w:eastAsia="仿宋_GB2312" w:cs="仿宋_GB2312"/>
                <w:sz w:val="24"/>
                <w:vertAlign w:val="superscript"/>
              </w:rPr>
              <w:t>n</w:t>
            </w:r>
            <w:r>
              <w:rPr>
                <w:rFonts w:hint="eastAsia" w:ascii="仿宋_GB2312" w:hAnsi="仿宋_GB2312" w:eastAsia="仿宋_GB2312" w:cs="仿宋_GB2312"/>
                <w:sz w:val="24"/>
              </w:rPr>
              <w:t>]，公式中：r表示土地还原率，住宅、商业、办公、工业、新型产业、酒店、公共管理与服务设施、公用设施分别取值4.1%、4.6%、4.7%、4.4%、4.5%、5.0%、3.6%、3.4%；m表示剩余年期；n表示土地使用年限，住宅、商业、办公、工业、新型产业、酒店、公共管理与服务设施、公用设施分别取值70年、40年、40年、30年、30年、40年、</w:t>
            </w:r>
            <w:r>
              <w:rPr>
                <w:rFonts w:ascii="仿宋_GB2312" w:hAnsi="仿宋_GB2312" w:eastAsia="仿宋_GB2312" w:cs="仿宋_GB2312"/>
                <w:sz w:val="24"/>
              </w:rPr>
              <w:t>5</w:t>
            </w:r>
            <w:r>
              <w:rPr>
                <w:rFonts w:hint="eastAsia" w:ascii="仿宋_GB2312" w:hAnsi="仿宋_GB2312" w:eastAsia="仿宋_GB2312" w:cs="仿宋_GB2312"/>
                <w:sz w:val="24"/>
              </w:rPr>
              <w:t>0年、</w:t>
            </w:r>
            <w:r>
              <w:rPr>
                <w:rFonts w:ascii="仿宋_GB2312" w:hAnsi="仿宋_GB2312" w:eastAsia="仿宋_GB2312" w:cs="仿宋_GB2312"/>
                <w:sz w:val="24"/>
              </w:rPr>
              <w:t>5</w:t>
            </w:r>
            <w:r>
              <w:rPr>
                <w:rFonts w:hint="eastAsia" w:ascii="仿宋_GB2312" w:hAnsi="仿宋_GB2312" w:eastAsia="仿宋_GB2312" w:cs="仿宋_GB2312"/>
                <w:sz w:val="24"/>
              </w:rPr>
              <w:t>0年。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宗地地价测算中土地使用年期的计算从地价测算时点起至土地使用期满时点为止，不足1年的按1年计。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．已出让用地需测算原合同剩余年期地价的，按照原已缴纳地价扣减已实际使用年期对应的地价进行测算，即土地剩余年期地价=原已缴纳地价</w:t>
            </w:r>
            <w:bookmarkStart w:id="0" w:name="OLE_LINK2"/>
            <w:bookmarkStart w:id="1" w:name="OLE_LINK1"/>
            <w:r>
              <w:rPr>
                <w:rFonts w:hint="eastAsia" w:ascii="仿宋_GB2312" w:hAnsi="仿宋_GB2312" w:eastAsia="仿宋_GB2312" w:cs="仿宋_GB2312"/>
                <w:sz w:val="24"/>
              </w:rPr>
              <w:t>×（1－</w:t>
            </w:r>
            <w:bookmarkEnd w:id="0"/>
            <w:bookmarkEnd w:id="1"/>
            <w:r>
              <w:rPr>
                <w:rFonts w:hint="eastAsia" w:ascii="仿宋_GB2312" w:hAnsi="仿宋_GB2312" w:eastAsia="仿宋_GB2312" w:cs="仿宋_GB2312"/>
                <w:sz w:val="24"/>
              </w:rPr>
              <w:t>已实际使用年期对应的土地使用年期修正系数）。其中，已实际使用年期对应的土地使用年期修正系数=土地已使用年期的年期修正系数÷土地出让总年期的年期修正系数，已使用年期和土地出让总年期对应的土地使用年期修正系数按照本表确定。</w:t>
            </w:r>
          </w:p>
        </w:tc>
      </w:tr>
    </w:tbl>
    <w:p>
      <w:pP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br w:type="page"/>
      </w:r>
    </w:p>
    <w:p>
      <w:pPr>
        <w:spacing w:line="579" w:lineRule="exact"/>
        <w:jc w:val="center"/>
        <w:outlineLvl w:val="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附表3  产权条件修正系数表</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4"/>
        <w:gridCol w:w="3344"/>
        <w:gridCol w:w="3047"/>
        <w:gridCol w:w="1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tcBorders>
              <w:top w:val="single" w:color="auto" w:sz="4" w:space="0"/>
              <w:left w:val="single" w:color="auto" w:sz="4" w:space="0"/>
              <w:bottom w:val="single" w:color="auto" w:sz="4" w:space="0"/>
              <w:right w:val="nil"/>
            </w:tcBorders>
            <w:vAlign w:val="center"/>
          </w:tcPr>
          <w:p>
            <w:pPr>
              <w:widowControl/>
              <w:spacing w:line="3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1962" w:type="pct"/>
            <w:tcBorders>
              <w:top w:val="single" w:color="auto" w:sz="4" w:space="0"/>
              <w:bottom w:val="single" w:color="auto" w:sz="4" w:space="0"/>
              <w:right w:val="nil"/>
            </w:tcBorders>
            <w:vAlign w:val="center"/>
          </w:tcPr>
          <w:p>
            <w:pPr>
              <w:widowControl/>
              <w:spacing w:line="3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建筑类型</w:t>
            </w:r>
          </w:p>
        </w:tc>
        <w:tc>
          <w:tcPr>
            <w:tcW w:w="1788" w:type="pct"/>
            <w:tcBorders>
              <w:top w:val="single" w:color="auto" w:sz="4" w:space="0"/>
              <w:bottom w:val="single" w:color="auto" w:sz="4" w:space="0"/>
              <w:right w:val="nil"/>
            </w:tcBorders>
            <w:vAlign w:val="center"/>
          </w:tcPr>
          <w:p>
            <w:pPr>
              <w:widowControl/>
              <w:spacing w:line="3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产权条件情形</w:t>
            </w:r>
          </w:p>
        </w:tc>
        <w:tc>
          <w:tcPr>
            <w:tcW w:w="737" w:type="pct"/>
            <w:tcBorders>
              <w:top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修正系数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restart"/>
            <w:tcBorders>
              <w:top w:val="single" w:color="auto"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96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表1中的建筑类型1</w:t>
            </w:r>
          </w:p>
        </w:tc>
        <w:tc>
          <w:tcPr>
            <w:tcW w:w="1788" w:type="pct"/>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不得转让</w:t>
            </w:r>
          </w:p>
        </w:tc>
        <w:tc>
          <w:tcPr>
            <w:tcW w:w="737" w:type="pct"/>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96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限整体转让</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96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允许分割转让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962" w:type="pct"/>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表1中的建筑类型</w:t>
            </w:r>
            <w:r>
              <w:rPr>
                <w:rFonts w:ascii="仿宋_GB2312" w:hAnsi="仿宋_GB2312" w:eastAsia="仿宋_GB2312" w:cs="仿宋_GB2312"/>
                <w:kern w:val="0"/>
                <w:sz w:val="24"/>
              </w:rPr>
              <w:t>2</w:t>
            </w: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不得转让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962" w:type="pct"/>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限整体转让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962" w:type="pct"/>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允许分割转让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restart"/>
            <w:tcBorders>
              <w:top w:val="single" w:color="000000" w:sz="4" w:space="0"/>
              <w:left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3</w:t>
            </w:r>
          </w:p>
        </w:tc>
        <w:tc>
          <w:tcPr>
            <w:tcW w:w="1962" w:type="pct"/>
            <w:vMerge w:val="restart"/>
            <w:tcBorders>
              <w:top w:val="single" w:color="000000" w:sz="4" w:space="0"/>
              <w:left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表1中的建筑类型</w:t>
            </w:r>
            <w:r>
              <w:rPr>
                <w:rFonts w:ascii="仿宋_GB2312" w:hAnsi="仿宋_GB2312" w:eastAsia="仿宋_GB2312" w:cs="仿宋_GB2312"/>
                <w:kern w:val="0"/>
                <w:sz w:val="24"/>
              </w:rPr>
              <w:t>3</w:t>
            </w:r>
          </w:p>
        </w:tc>
        <w:tc>
          <w:tcPr>
            <w:tcW w:w="1788" w:type="pct"/>
            <w:tcBorders>
              <w:top w:val="single" w:color="000000" w:sz="4" w:space="0"/>
              <w:left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不得转让</w:t>
            </w:r>
          </w:p>
        </w:tc>
        <w:tc>
          <w:tcPr>
            <w:tcW w:w="737" w:type="pct"/>
            <w:tcBorders>
              <w:top w:val="single" w:color="000000" w:sz="4" w:space="0"/>
              <w:left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w:t>
            </w:r>
            <w:r>
              <w:rPr>
                <w:rFonts w:ascii="仿宋_GB2312" w:hAnsi="仿宋_GB2312" w:eastAsia="仿宋_GB2312" w:cs="仿宋_GB2312"/>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96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限整体转让</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96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允许分割转让</w:t>
            </w:r>
          </w:p>
        </w:tc>
        <w:tc>
          <w:tcPr>
            <w:tcW w:w="737"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ascii="仿宋_GB2312" w:hAnsi="仿宋_GB2312" w:eastAsia="仿宋_GB2312" w:cs="仿宋_GB2312"/>
                <w:kern w:val="0"/>
                <w:sz w:val="24"/>
              </w:rPr>
              <w:t>4</w:t>
            </w:r>
          </w:p>
        </w:tc>
        <w:tc>
          <w:tcPr>
            <w:tcW w:w="1962"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表1中的建筑类型</w:t>
            </w:r>
            <w:r>
              <w:rPr>
                <w:rFonts w:ascii="仿宋_GB2312" w:hAnsi="仿宋_GB2312" w:eastAsia="仿宋_GB2312" w:cs="仿宋_GB2312"/>
                <w:kern w:val="0"/>
                <w:sz w:val="24"/>
              </w:rPr>
              <w:t>4</w:t>
            </w:r>
            <w:r>
              <w:rPr>
                <w:rFonts w:hint="eastAsia" w:ascii="仿宋_GB2312" w:hAnsi="仿宋_GB2312" w:eastAsia="仿宋_GB2312" w:cs="仿宋_GB2312"/>
                <w:kern w:val="0"/>
                <w:sz w:val="24"/>
              </w:rPr>
              <w:t>-</w:t>
            </w:r>
            <w:r>
              <w:rPr>
                <w:rFonts w:ascii="仿宋_GB2312" w:hAnsi="仿宋_GB2312" w:eastAsia="仿宋_GB2312" w:cs="仿宋_GB2312"/>
                <w:kern w:val="0"/>
                <w:sz w:val="24"/>
              </w:rPr>
              <w:t>9</w:t>
            </w: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不得转让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96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限整体转让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96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允许分割转让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5</w:t>
            </w:r>
          </w:p>
        </w:tc>
        <w:tc>
          <w:tcPr>
            <w:tcW w:w="1962" w:type="pct"/>
            <w:vMerge w:val="restart"/>
            <w:tcBorders>
              <w:top w:val="single" w:color="000000" w:sz="4" w:space="0"/>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表1中的建筑类型</w:t>
            </w:r>
            <w:r>
              <w:rPr>
                <w:rFonts w:ascii="仿宋_GB2312" w:hAnsi="仿宋_GB2312" w:eastAsia="仿宋_GB2312" w:cs="仿宋_GB2312"/>
                <w:kern w:val="0"/>
                <w:sz w:val="24"/>
              </w:rPr>
              <w:t>10</w:t>
            </w: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不得转让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0</w:t>
            </w:r>
            <w:r>
              <w:rPr>
                <w:rFonts w:ascii="仿宋_GB2312" w:hAnsi="仿宋_GB2312" w:eastAsia="仿宋_GB2312" w:cs="仿宋_GB2312"/>
                <w:kern w:val="0"/>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p>
        </w:tc>
        <w:tc>
          <w:tcPr>
            <w:tcW w:w="1962" w:type="pct"/>
            <w:vMerge w:val="continue"/>
            <w:tcBorders>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限整体转让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restart"/>
            <w:tcBorders>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6</w:t>
            </w:r>
          </w:p>
        </w:tc>
        <w:tc>
          <w:tcPr>
            <w:tcW w:w="1962" w:type="pct"/>
            <w:vMerge w:val="restart"/>
            <w:tcBorders>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表1中的建筑类型</w:t>
            </w:r>
            <w:r>
              <w:rPr>
                <w:rFonts w:ascii="仿宋_GB2312" w:hAnsi="仿宋_GB2312" w:eastAsia="仿宋_GB2312" w:cs="仿宋_GB2312"/>
                <w:kern w:val="0"/>
                <w:sz w:val="24"/>
              </w:rPr>
              <w:t>11</w:t>
            </w:r>
            <w:r>
              <w:rPr>
                <w:rFonts w:hint="eastAsia" w:ascii="仿宋_GB2312" w:hAnsi="仿宋_GB2312" w:eastAsia="仿宋_GB2312" w:cs="仿宋_GB2312"/>
                <w:kern w:val="0"/>
                <w:sz w:val="24"/>
              </w:rPr>
              <w:t>-</w:t>
            </w:r>
            <w:r>
              <w:rPr>
                <w:rFonts w:ascii="仿宋_GB2312" w:hAnsi="仿宋_GB2312" w:eastAsia="仿宋_GB2312" w:cs="仿宋_GB2312"/>
                <w:kern w:val="0"/>
                <w:sz w:val="24"/>
              </w:rPr>
              <w:t>15</w:t>
            </w: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不得转让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p>
        </w:tc>
        <w:tc>
          <w:tcPr>
            <w:tcW w:w="1962" w:type="pct"/>
            <w:vMerge w:val="continue"/>
            <w:tcBorders>
              <w:left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限整体转让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ascii="仿宋_GB2312" w:hAnsi="仿宋_GB2312" w:eastAsia="仿宋_GB2312" w:cs="仿宋_GB2312"/>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13" w:type="pct"/>
            <w:vMerge w:val="continue"/>
            <w:tcBorders>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p>
        </w:tc>
        <w:tc>
          <w:tcPr>
            <w:tcW w:w="1962" w:type="pct"/>
            <w:vMerge w:val="continue"/>
            <w:tcBorders>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kern w:val="0"/>
                <w:sz w:val="24"/>
              </w:rPr>
            </w:pPr>
          </w:p>
        </w:tc>
        <w:tc>
          <w:tcPr>
            <w:tcW w:w="1788"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允许分割转让</w:t>
            </w:r>
          </w:p>
        </w:tc>
        <w:tc>
          <w:tcPr>
            <w:tcW w:w="737" w:type="pct"/>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ascii="仿宋_GB2312" w:hAnsi="仿宋_GB2312" w:eastAsia="仿宋_GB2312" w:cs="仿宋_GB2312"/>
                <w:kern w:val="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7" w:hRule="atLeast"/>
          <w:jc w:val="center"/>
        </w:trPr>
        <w:tc>
          <w:tcPr>
            <w:tcW w:w="5000" w:type="pct"/>
            <w:gridSpan w:val="4"/>
            <w:tcBorders>
              <w:left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p>
            <w:pPr>
              <w:widowControl/>
              <w:spacing w:line="30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1</w:t>
            </w:r>
            <w:r>
              <w:rPr>
                <w:rFonts w:hint="eastAsia" w:ascii="仿宋_GB2312" w:hAnsi="仿宋_GB2312" w:eastAsia="仿宋_GB2312" w:cs="仿宋_GB2312"/>
                <w:kern w:val="0"/>
                <w:sz w:val="24"/>
              </w:rPr>
              <w:t>．产权条件情形依据土地使用权出让方案或供应合同确定。</w:t>
            </w:r>
          </w:p>
          <w:p>
            <w:pPr>
              <w:widowControl/>
              <w:spacing w:line="30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2</w:t>
            </w:r>
            <w:r>
              <w:rPr>
                <w:rFonts w:hint="eastAsia" w:ascii="仿宋_GB2312" w:hAnsi="仿宋_GB2312" w:eastAsia="仿宋_GB2312" w:cs="仿宋_GB2312"/>
                <w:kern w:val="0"/>
                <w:sz w:val="24"/>
              </w:rPr>
              <w:t>．已签订的供应合同中约定或不动产登记记载为“不得转让”“自用”或“非商品性质”房地产，属于“不得转让”情形；已签订的供应合同中约定或不动产登记记载为“商品性质房地产限整体转让”的，属于“限整体转让”情形；</w:t>
            </w:r>
          </w:p>
          <w:p>
            <w:pPr>
              <w:spacing w:line="300" w:lineRule="exact"/>
              <w:rPr>
                <w:rFonts w:hint="eastAsia" w:ascii="仿宋_GB2312" w:hAnsi="仿宋_GB2312" w:eastAsia="仿宋_GB2312" w:cs="仿宋_GB2312"/>
                <w:kern w:val="0"/>
                <w:sz w:val="24"/>
              </w:rPr>
            </w:pPr>
            <w:r>
              <w:rPr>
                <w:rFonts w:ascii="仿宋_GB2312" w:hAnsi="仿宋_GB2312" w:eastAsia="仿宋_GB2312" w:cs="仿宋_GB2312"/>
                <w:kern w:val="0"/>
                <w:sz w:val="24"/>
              </w:rPr>
              <w:t>3</w:t>
            </w:r>
            <w:r>
              <w:rPr>
                <w:rFonts w:hint="eastAsia" w:ascii="仿宋_GB2312" w:hAnsi="仿宋_GB2312" w:eastAsia="仿宋_GB2312" w:cs="仿宋_GB2312"/>
                <w:kern w:val="0"/>
                <w:sz w:val="24"/>
              </w:rPr>
              <w:t>.物业管理用房等共有部分建筑类型，产权条件按不得转让情形测算地价。</w:t>
            </w:r>
          </w:p>
        </w:tc>
      </w:tr>
    </w:tbl>
    <w:p>
      <w:pPr>
        <w:spacing w:line="579" w:lineRule="exact"/>
        <w:jc w:val="center"/>
        <w:outlineLvl w:val="0"/>
        <w:rPr>
          <w:rFonts w:hint="eastAsia" w:ascii="仿宋_GB2312" w:hAnsi="仿宋_GB2312" w:eastAsia="仿宋_GB2312" w:cs="仿宋_GB2312"/>
          <w:b/>
          <w:bCs/>
          <w:kern w:val="0"/>
          <w:sz w:val="32"/>
          <w:szCs w:val="32"/>
        </w:rPr>
      </w:pPr>
    </w:p>
    <w:p>
      <w:pPr>
        <w:spacing w:line="579" w:lineRule="exact"/>
        <w:jc w:val="center"/>
        <w:outlineLvl w:val="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附表4  产业发展导向修正系数表</w:t>
      </w:r>
    </w:p>
    <w:tbl>
      <w:tblPr>
        <w:tblStyle w:val="7"/>
        <w:tblW w:w="5000" w:type="pct"/>
        <w:jc w:val="center"/>
        <w:tblLayout w:type="autofit"/>
        <w:tblCellMar>
          <w:top w:w="0" w:type="dxa"/>
          <w:left w:w="108" w:type="dxa"/>
          <w:bottom w:w="0" w:type="dxa"/>
          <w:right w:w="108" w:type="dxa"/>
        </w:tblCellMar>
      </w:tblPr>
      <w:tblGrid>
        <w:gridCol w:w="859"/>
        <w:gridCol w:w="6388"/>
        <w:gridCol w:w="1275"/>
      </w:tblGrid>
      <w:tr>
        <w:tblPrEx>
          <w:tblCellMar>
            <w:top w:w="0" w:type="dxa"/>
            <w:left w:w="108" w:type="dxa"/>
            <w:bottom w:w="0" w:type="dxa"/>
            <w:right w:w="108" w:type="dxa"/>
          </w:tblCellMar>
        </w:tblPrEx>
        <w:trPr>
          <w:trHeight w:val="422" w:hRule="atLeast"/>
          <w:jc w:val="center"/>
        </w:trPr>
        <w:tc>
          <w:tcPr>
            <w:tcW w:w="504" w:type="pct"/>
            <w:tcBorders>
              <w:top w:val="single" w:color="auto" w:sz="4" w:space="0"/>
              <w:left w:val="single" w:color="auto" w:sz="4" w:space="0"/>
              <w:bottom w:val="nil"/>
              <w:right w:val="single" w:color="auto" w:sz="4" w:space="0"/>
            </w:tcBorders>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374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产业分类</w:t>
            </w:r>
          </w:p>
        </w:tc>
        <w:tc>
          <w:tcPr>
            <w:tcW w:w="748" w:type="pct"/>
            <w:tcBorders>
              <w:top w:val="single" w:color="auto" w:sz="4" w:space="0"/>
              <w:left w:val="nil"/>
              <w:bottom w:val="nil"/>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修正系数</w:t>
            </w:r>
          </w:p>
        </w:tc>
      </w:tr>
      <w:tr>
        <w:tblPrEx>
          <w:tblCellMar>
            <w:top w:w="0" w:type="dxa"/>
            <w:left w:w="108" w:type="dxa"/>
            <w:bottom w:w="0" w:type="dxa"/>
            <w:right w:w="108" w:type="dxa"/>
          </w:tblCellMar>
        </w:tblPrEx>
        <w:trPr>
          <w:trHeight w:val="688" w:hRule="atLeast"/>
          <w:jc w:val="center"/>
        </w:trPr>
        <w:tc>
          <w:tcPr>
            <w:tcW w:w="504" w:type="pct"/>
            <w:tcBorders>
              <w:top w:val="single" w:color="auto" w:sz="4" w:space="0"/>
              <w:left w:val="single" w:color="auto" w:sz="4" w:space="0"/>
              <w:bottom w:val="nil"/>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1</w:t>
            </w:r>
          </w:p>
        </w:tc>
        <w:tc>
          <w:tcPr>
            <w:tcW w:w="3748" w:type="pct"/>
            <w:tcBorders>
              <w:top w:val="single" w:color="auto" w:sz="4" w:space="0"/>
              <w:left w:val="single" w:color="auto" w:sz="4" w:space="0"/>
              <w:bottom w:val="nil"/>
              <w:right w:val="single" w:color="auto" w:sz="4" w:space="0"/>
            </w:tcBorders>
            <w:vAlign w:val="center"/>
          </w:tcPr>
          <w:p>
            <w:pPr>
              <w:widowControl/>
              <w:spacing w:line="360" w:lineRule="exact"/>
              <w:rPr>
                <w:rFonts w:ascii="仿宋_GB2312" w:hAnsi="仿宋_GB2312" w:eastAsia="仿宋_GB2312" w:cs="仿宋_GB2312"/>
                <w:b/>
                <w:bCs/>
                <w:kern w:val="0"/>
                <w:sz w:val="24"/>
                <w:szCs w:val="24"/>
              </w:rPr>
            </w:pPr>
            <w:r>
              <w:rPr>
                <w:rFonts w:hint="eastAsia" w:ascii="仿宋_GB2312" w:hAnsi="仿宋_GB2312" w:eastAsia="仿宋_GB2312" w:cs="仿宋_GB2312"/>
                <w:bCs/>
                <w:kern w:val="0"/>
                <w:sz w:val="24"/>
                <w:szCs w:val="24"/>
              </w:rPr>
              <w:t>战略性新兴产业（新一代信息技术、高端装备制造、绿色低碳、生物医药、数字经济、新材料、海洋经济等）、</w:t>
            </w:r>
            <w:r>
              <w:rPr>
                <w:rFonts w:hint="eastAsia" w:ascii="仿宋_GB2312" w:hAnsi="仿宋_GB2312" w:eastAsia="仿宋_GB2312" w:cs="仿宋_GB2312"/>
                <w:kern w:val="0"/>
                <w:sz w:val="24"/>
                <w:szCs w:val="24"/>
              </w:rPr>
              <w:t>优势传统产业、生产性现代服务业</w:t>
            </w:r>
          </w:p>
        </w:tc>
        <w:tc>
          <w:tcPr>
            <w:tcW w:w="748" w:type="pct"/>
            <w:tcBorders>
              <w:top w:val="single" w:color="auto" w:sz="4" w:space="0"/>
              <w:left w:val="nil"/>
              <w:bottom w:val="nil"/>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0.5</w:t>
            </w:r>
          </w:p>
        </w:tc>
      </w:tr>
      <w:tr>
        <w:tblPrEx>
          <w:tblCellMar>
            <w:top w:w="0" w:type="dxa"/>
            <w:left w:w="108" w:type="dxa"/>
            <w:bottom w:w="0" w:type="dxa"/>
            <w:right w:w="108" w:type="dxa"/>
          </w:tblCellMar>
        </w:tblPrEx>
        <w:trPr>
          <w:trHeight w:val="270"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748"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除上述类别以外的其他产业</w:t>
            </w:r>
          </w:p>
        </w:tc>
        <w:tc>
          <w:tcPr>
            <w:tcW w:w="748"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CellMar>
            <w:top w:w="0" w:type="dxa"/>
            <w:left w:w="108" w:type="dxa"/>
            <w:bottom w:w="0" w:type="dxa"/>
            <w:right w:w="108" w:type="dxa"/>
          </w:tblCellMar>
        </w:tblPrEx>
        <w:trPr>
          <w:trHeight w:val="2800" w:hRule="atLeast"/>
          <w:jc w:val="center"/>
        </w:trPr>
        <w:tc>
          <w:tcPr>
            <w:tcW w:w="5000" w:type="pct"/>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1．修正对象为除配套商业以外的建筑类型。产业分类及认定以相关部门出具的产业分类证明文件为准。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2．产业用地出让时的地价有适用产业发展导向修正系数的</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在竣工超面积测算应补缴的地价时，适用产业发展导向修正系数。</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3．协议出让给市政府确定的投资主体建设只租不售的创新型产业用房，产业监管协议或供应合同中约定的出租对象符合本表序号1情形的，适用产业发展导向修正系数。</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 本表不适用于城市更新项目、留用土地项目、棚户区改造项目。</w:t>
            </w:r>
          </w:p>
        </w:tc>
      </w:tr>
    </w:tbl>
    <w:p>
      <w:pP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br w:type="page"/>
      </w:r>
    </w:p>
    <w:p>
      <w:pPr>
        <w:spacing w:line="579" w:lineRule="exact"/>
        <w:jc w:val="center"/>
        <w:outlineLvl w:val="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附表5  产业项目类型修正系数表</w:t>
      </w:r>
    </w:p>
    <w:tbl>
      <w:tblPr>
        <w:tblStyle w:val="7"/>
        <w:tblW w:w="5000" w:type="pct"/>
        <w:jc w:val="center"/>
        <w:tblLayout w:type="autofit"/>
        <w:tblCellMar>
          <w:top w:w="0" w:type="dxa"/>
          <w:left w:w="108" w:type="dxa"/>
          <w:bottom w:w="0" w:type="dxa"/>
          <w:right w:w="108" w:type="dxa"/>
        </w:tblCellMar>
      </w:tblPr>
      <w:tblGrid>
        <w:gridCol w:w="922"/>
        <w:gridCol w:w="1512"/>
        <w:gridCol w:w="4839"/>
        <w:gridCol w:w="1249"/>
      </w:tblGrid>
      <w:tr>
        <w:tblPrEx>
          <w:tblCellMar>
            <w:top w:w="0" w:type="dxa"/>
            <w:left w:w="108" w:type="dxa"/>
            <w:bottom w:w="0" w:type="dxa"/>
            <w:right w:w="108" w:type="dxa"/>
          </w:tblCellMar>
        </w:tblPrEx>
        <w:trPr>
          <w:trHeight w:val="422" w:hRule="atLeast"/>
          <w:jc w:val="center"/>
        </w:trPr>
        <w:tc>
          <w:tcPr>
            <w:tcW w:w="541" w:type="pct"/>
            <w:tcBorders>
              <w:top w:val="single" w:color="auto" w:sz="4" w:space="0"/>
              <w:left w:val="single" w:color="auto" w:sz="4" w:space="0"/>
              <w:bottom w:val="nil"/>
              <w:right w:val="single" w:color="auto" w:sz="4" w:space="0"/>
            </w:tcBorders>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3726" w:type="pct"/>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产业项目类型</w:t>
            </w:r>
          </w:p>
        </w:tc>
        <w:tc>
          <w:tcPr>
            <w:tcW w:w="733" w:type="pct"/>
            <w:tcBorders>
              <w:top w:val="single" w:color="auto" w:sz="4" w:space="0"/>
              <w:left w:val="nil"/>
              <w:bottom w:val="nil"/>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修正系数</w:t>
            </w:r>
          </w:p>
        </w:tc>
      </w:tr>
      <w:tr>
        <w:tblPrEx>
          <w:tblCellMar>
            <w:top w:w="0" w:type="dxa"/>
            <w:left w:w="108" w:type="dxa"/>
            <w:bottom w:w="0" w:type="dxa"/>
            <w:right w:w="108" w:type="dxa"/>
          </w:tblCellMar>
        </w:tblPrEx>
        <w:trPr>
          <w:trHeight w:val="75" w:hRule="atLeast"/>
          <w:jc w:val="center"/>
        </w:trPr>
        <w:tc>
          <w:tcPr>
            <w:tcW w:w="541" w:type="pct"/>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kern w:val="0"/>
                <w:sz w:val="24"/>
                <w:szCs w:val="24"/>
              </w:rPr>
              <w:t>1</w:t>
            </w:r>
          </w:p>
        </w:tc>
        <w:tc>
          <w:tcPr>
            <w:tcW w:w="887" w:type="pct"/>
            <w:vMerge w:val="restart"/>
            <w:tcBorders>
              <w:top w:val="single" w:color="auto" w:sz="4" w:space="0"/>
              <w:left w:val="single" w:color="auto" w:sz="4" w:space="0"/>
              <w:bottom w:val="nil"/>
              <w:right w:val="single" w:color="auto" w:sz="4" w:space="0"/>
            </w:tcBorders>
            <w:vAlign w:val="center"/>
          </w:tcPr>
          <w:p>
            <w:pPr>
              <w:widowControl/>
              <w:spacing w:line="360" w:lineRule="exact"/>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重点产业项目</w:t>
            </w:r>
          </w:p>
        </w:tc>
        <w:tc>
          <w:tcPr>
            <w:tcW w:w="2839" w:type="pct"/>
            <w:tcBorders>
              <w:top w:val="single" w:color="auto" w:sz="4" w:space="0"/>
              <w:left w:val="single" w:color="auto" w:sz="4" w:space="0"/>
              <w:bottom w:val="nil"/>
              <w:right w:val="single" w:color="auto" w:sz="4" w:space="0"/>
            </w:tcBorders>
            <w:vAlign w:val="center"/>
          </w:tcPr>
          <w:p>
            <w:pPr>
              <w:widowControl/>
              <w:spacing w:line="360" w:lineRule="exact"/>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遴选方案确定有两个及两个以上意向用地单位联合申请的</w:t>
            </w:r>
          </w:p>
        </w:tc>
        <w:tc>
          <w:tcPr>
            <w:tcW w:w="733" w:type="pct"/>
            <w:tcBorders>
              <w:top w:val="single" w:color="auto" w:sz="4" w:space="0"/>
              <w:left w:val="nil"/>
              <w:bottom w:val="nil"/>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0.6</w:t>
            </w:r>
          </w:p>
        </w:tc>
      </w:tr>
      <w:tr>
        <w:tblPrEx>
          <w:tblCellMar>
            <w:top w:w="0" w:type="dxa"/>
            <w:left w:w="108" w:type="dxa"/>
            <w:bottom w:w="0" w:type="dxa"/>
            <w:right w:w="108" w:type="dxa"/>
          </w:tblCellMar>
        </w:tblPrEx>
        <w:trPr>
          <w:trHeight w:val="65" w:hRule="atLeast"/>
          <w:jc w:val="center"/>
        </w:trPr>
        <w:tc>
          <w:tcPr>
            <w:tcW w:w="541" w:type="pct"/>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b/>
                <w:bCs/>
                <w:kern w:val="0"/>
                <w:sz w:val="24"/>
                <w:szCs w:val="24"/>
              </w:rPr>
            </w:pPr>
          </w:p>
        </w:tc>
        <w:tc>
          <w:tcPr>
            <w:tcW w:w="887" w:type="pct"/>
            <w:vMerge w:val="continue"/>
            <w:tcBorders>
              <w:top w:val="single" w:color="auto" w:sz="4" w:space="0"/>
              <w:left w:val="single" w:color="auto" w:sz="4" w:space="0"/>
              <w:bottom w:val="nil"/>
              <w:right w:val="single" w:color="auto" w:sz="4" w:space="0"/>
            </w:tcBorders>
            <w:vAlign w:val="center"/>
          </w:tcPr>
          <w:p>
            <w:pPr>
              <w:widowControl/>
              <w:jc w:val="left"/>
              <w:rPr>
                <w:rFonts w:ascii="仿宋_GB2312" w:hAnsi="仿宋_GB2312" w:eastAsia="仿宋_GB2312" w:cs="仿宋_GB2312"/>
                <w:b/>
                <w:bCs/>
                <w:kern w:val="0"/>
                <w:sz w:val="24"/>
                <w:szCs w:val="24"/>
              </w:rPr>
            </w:pPr>
          </w:p>
        </w:tc>
        <w:tc>
          <w:tcPr>
            <w:tcW w:w="2839" w:type="pct"/>
            <w:tcBorders>
              <w:top w:val="single" w:color="auto" w:sz="4" w:space="0"/>
              <w:left w:val="single" w:color="auto" w:sz="4" w:space="0"/>
              <w:bottom w:val="nil"/>
              <w:right w:val="single" w:color="auto" w:sz="4" w:space="0"/>
            </w:tcBorders>
            <w:vAlign w:val="center"/>
          </w:tcPr>
          <w:p>
            <w:pPr>
              <w:widowControl/>
              <w:spacing w:line="360" w:lineRule="exact"/>
              <w:rPr>
                <w:rFonts w:ascii="仿宋_GB2312" w:hAnsi="仿宋_GB2312" w:eastAsia="仿宋_GB2312" w:cs="仿宋_GB2312"/>
                <w:bCs/>
                <w:kern w:val="0"/>
                <w:sz w:val="24"/>
                <w:szCs w:val="24"/>
              </w:rPr>
            </w:pPr>
            <w:r>
              <w:rPr>
                <w:rFonts w:hint="eastAsia" w:ascii="仿宋_GB2312" w:hAnsi="仿宋_GB2312" w:eastAsia="仿宋_GB2312" w:cs="仿宋_GB2312"/>
                <w:kern w:val="0"/>
                <w:sz w:val="24"/>
                <w:szCs w:val="24"/>
              </w:rPr>
              <w:t>遴选方案确定为单一意向用地单位的</w:t>
            </w:r>
          </w:p>
        </w:tc>
        <w:tc>
          <w:tcPr>
            <w:tcW w:w="733" w:type="pct"/>
            <w:tcBorders>
              <w:top w:val="single" w:color="auto" w:sz="4" w:space="0"/>
              <w:left w:val="nil"/>
              <w:bottom w:val="nil"/>
              <w:right w:val="single" w:color="auto" w:sz="4" w:space="0"/>
            </w:tcBorders>
            <w:vAlign w:val="center"/>
          </w:tcPr>
          <w:p>
            <w:pPr>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0.7</w:t>
            </w:r>
          </w:p>
        </w:tc>
      </w:tr>
      <w:tr>
        <w:tblPrEx>
          <w:tblCellMar>
            <w:top w:w="0" w:type="dxa"/>
            <w:left w:w="108" w:type="dxa"/>
            <w:bottom w:w="0" w:type="dxa"/>
            <w:right w:w="108" w:type="dxa"/>
          </w:tblCellMar>
        </w:tblPrEx>
        <w:trPr>
          <w:trHeight w:val="270" w:hRule="atLeast"/>
          <w:jc w:val="center"/>
        </w:trPr>
        <w:tc>
          <w:tcPr>
            <w:tcW w:w="541" w:type="pct"/>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kern w:val="0"/>
                <w:sz w:val="24"/>
                <w:szCs w:val="24"/>
              </w:rPr>
            </w:pPr>
          </w:p>
        </w:tc>
        <w:tc>
          <w:tcPr>
            <w:tcW w:w="3726" w:type="pct"/>
            <w:gridSpan w:val="2"/>
            <w:tcBorders>
              <w:top w:val="single" w:color="auto" w:sz="4" w:space="0"/>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一般产业项目</w:t>
            </w:r>
          </w:p>
        </w:tc>
        <w:tc>
          <w:tcPr>
            <w:tcW w:w="733"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CellMar>
            <w:top w:w="0" w:type="dxa"/>
            <w:left w:w="108" w:type="dxa"/>
            <w:bottom w:w="0" w:type="dxa"/>
            <w:right w:w="108" w:type="dxa"/>
          </w:tblCellMar>
        </w:tblPrEx>
        <w:trPr>
          <w:trHeight w:val="270"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726" w:type="pct"/>
            <w:gridSpan w:val="2"/>
            <w:tcBorders>
              <w:top w:val="single" w:color="auto" w:sz="4" w:space="0"/>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总部项目</w:t>
            </w:r>
          </w:p>
        </w:tc>
        <w:tc>
          <w:tcPr>
            <w:tcW w:w="733"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0.7</w:t>
            </w:r>
          </w:p>
        </w:tc>
      </w:tr>
      <w:tr>
        <w:tblPrEx>
          <w:tblCellMar>
            <w:top w:w="0" w:type="dxa"/>
            <w:left w:w="108" w:type="dxa"/>
            <w:bottom w:w="0" w:type="dxa"/>
            <w:right w:w="108" w:type="dxa"/>
          </w:tblCellMar>
        </w:tblPrEx>
        <w:trPr>
          <w:trHeight w:val="2310"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修正对象为除配套商业以外的建筑类型。产业项目类型以《深圳市工业及其他产业用地供应管理办法》（深府规〔2019〕4号）、《深圳市总部项目遴选及用地供应管理办法》（深府规〔2018〕1号）规定为准。总部项目地价缴纳方式参照本规则中重点产业项目执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2．本表不适用于城市更新项目、留用土地项目、棚户区改造项目。</w:t>
            </w:r>
          </w:p>
        </w:tc>
      </w:tr>
    </w:tbl>
    <w:p>
      <w:pPr>
        <w:spacing w:line="579" w:lineRule="exact"/>
        <w:jc w:val="center"/>
        <w:outlineLvl w:val="0"/>
        <w:rPr>
          <w:rFonts w:hint="eastAsia" w:ascii="仿宋_GB2312" w:hAnsi="仿宋_GB2312" w:eastAsia="仿宋_GB2312" w:cs="仿宋_GB2312"/>
          <w:b/>
          <w:bCs/>
          <w:kern w:val="0"/>
          <w:sz w:val="32"/>
          <w:szCs w:val="32"/>
        </w:rPr>
      </w:pPr>
    </w:p>
    <w:p>
      <w:pPr>
        <w:spacing w:line="579" w:lineRule="exact"/>
        <w:jc w:val="center"/>
        <w:outlineLvl w:val="0"/>
        <w:rPr>
          <w:rFonts w:ascii="Times New Roman" w:hAnsi="Times New Roman"/>
          <w:b/>
          <w:bCs/>
          <w:kern w:val="0"/>
          <w:sz w:val="32"/>
          <w:szCs w:val="32"/>
        </w:rPr>
      </w:pPr>
      <w:r>
        <w:rPr>
          <w:rFonts w:hint="eastAsia" w:ascii="仿宋_GB2312" w:hAnsi="仿宋_GB2312" w:eastAsia="仿宋_GB2312" w:cs="仿宋_GB2312"/>
          <w:b/>
          <w:bCs/>
          <w:kern w:val="0"/>
          <w:sz w:val="32"/>
          <w:szCs w:val="32"/>
        </w:rPr>
        <w:t>附表6  地上商业楼层修正系数表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4"/>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1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商业楼层</w:t>
            </w:r>
          </w:p>
        </w:tc>
        <w:tc>
          <w:tcPr>
            <w:tcW w:w="198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1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首层商业</w:t>
            </w:r>
          </w:p>
        </w:tc>
        <w:tc>
          <w:tcPr>
            <w:tcW w:w="198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1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第二层商业</w:t>
            </w:r>
          </w:p>
        </w:tc>
        <w:tc>
          <w:tcPr>
            <w:tcW w:w="198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1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第三层商业</w:t>
            </w:r>
          </w:p>
        </w:tc>
        <w:tc>
          <w:tcPr>
            <w:tcW w:w="198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1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第四层及以上商业</w:t>
            </w:r>
          </w:p>
        </w:tc>
        <w:tc>
          <w:tcPr>
            <w:tcW w:w="198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对于附表1序号10中的商业（不包括旅馆业建筑、肉菜市场、游乐设施、会议中心）建筑类型，测算地价时地上部分适用商业楼层修正系数。经楼层修正后各楼层楼面单价低于同宗地上办公用途价格的，取办公用途价格测算地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在完成竣工验收后，或竣工验收前（含竣工超面积测算补缴地价情形）但规划许可文件或供应合同中已明确约定商业楼层和相应建筑面积的，按照相关文件中明确的商业楼层和相应建筑面积测算地价；其余情形的商业楼层和相应建筑面积按照宗地面积和建筑覆盖率等条件计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Style w:val="10"/>
                <w:rFonts w:eastAsia="仿宋_GB2312" w:asciiTheme="minorHAnsi" w:hAnsiTheme="minorHAnsi" w:cstheme="minorBidi"/>
                <w:i/>
              </w:rPr>
            </w:pPr>
            <w:r>
              <w:rPr>
                <w:rFonts w:hint="eastAsia" w:ascii="仿宋_GB2312" w:hAnsi="仿宋_GB2312" w:eastAsia="仿宋_GB2312" w:cs="仿宋_GB2312"/>
                <w:kern w:val="0"/>
                <w:sz w:val="24"/>
                <w:szCs w:val="24"/>
              </w:rPr>
              <w:t>3.按照宗地面积和建筑覆盖率等条件计算各楼层商业面积时，宗地面积应扣除规划许可文件或供应合同中明确需要独立占地建设的学校等配套设施；规划许可文件或供应合同中明确需要设置在首层或其他具体楼层的配套设施，可在对应的商业楼层面积中扣除。满足上述规定后，各楼层商业面积按照逐层依次向上填充的规则确定。</w:t>
            </w:r>
          </w:p>
        </w:tc>
      </w:tr>
    </w:tbl>
    <w:p>
      <w:pP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br w:type="page"/>
      </w:r>
    </w:p>
    <w:p>
      <w:pPr>
        <w:spacing w:line="579" w:lineRule="exact"/>
        <w:jc w:val="center"/>
        <w:outlineLvl w:val="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附表7  地下空间修正系数表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6286"/>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kern w:val="0"/>
                <w:sz w:val="24"/>
                <w:szCs w:val="24"/>
              </w:rPr>
              <w:t>序号</w:t>
            </w:r>
          </w:p>
        </w:tc>
        <w:tc>
          <w:tcPr>
            <w:tcW w:w="368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kern w:val="0"/>
                <w:sz w:val="24"/>
                <w:szCs w:val="24"/>
              </w:rPr>
              <w:t>分类</w:t>
            </w:r>
          </w:p>
        </w:tc>
        <w:tc>
          <w:tcPr>
            <w:tcW w:w="66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kern w:val="0"/>
                <w:sz w:val="24"/>
                <w:szCs w:val="24"/>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1</w:t>
            </w:r>
          </w:p>
        </w:tc>
        <w:tc>
          <w:tcPr>
            <w:tcW w:w="3688"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交通设施</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不含加油站、加气站、训考场、社会停车场（库）</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，综合管廊</w:t>
            </w:r>
          </w:p>
        </w:tc>
        <w:tc>
          <w:tcPr>
            <w:tcW w:w="66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2</w:t>
            </w:r>
          </w:p>
        </w:tc>
        <w:tc>
          <w:tcPr>
            <w:tcW w:w="3688" w:type="pct"/>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除上述类别以外的其他地下空间</w:t>
            </w:r>
          </w:p>
        </w:tc>
        <w:tc>
          <w:tcPr>
            <w:tcW w:w="66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1．地下商业空间按照地上首层商业对应的土地市场价格标准以本表修正系数予以修正。</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供应合同对建设在地下的建筑面积未约定或约定不明的，但实际建设在地下的建筑面积部分，在地价测算时原则上不适用地下空间修正系数。但竣工验收超面积且超建在地下的建筑面积部分，经处理且规划确认保留的，测算应补缴的地价时可适用地下空间修正系数。</w:t>
            </w:r>
          </w:p>
        </w:tc>
      </w:tr>
    </w:tbl>
    <w:p>
      <w:pPr>
        <w:spacing w:line="579" w:lineRule="exact"/>
        <w:ind w:firstLine="1445" w:firstLineChars="450"/>
        <w:jc w:val="center"/>
        <w:outlineLvl w:val="0"/>
        <w:rPr>
          <w:rFonts w:hint="eastAsia" w:ascii="仿宋_GB2312" w:hAnsi="仿宋_GB2312" w:eastAsia="仿宋_GB2312" w:cs="仿宋_GB2312"/>
          <w:b/>
          <w:bCs/>
          <w:kern w:val="0"/>
          <w:sz w:val="32"/>
          <w:szCs w:val="32"/>
        </w:rPr>
      </w:pPr>
    </w:p>
    <w:p>
      <w:pPr>
        <w:spacing w:line="579" w:lineRule="exact"/>
        <w:ind w:firstLine="1445" w:firstLineChars="450"/>
        <w:jc w:val="center"/>
        <w:outlineLvl w:val="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附表8  棚户区改造项目修正系数表</w:t>
      </w:r>
    </w:p>
    <w:tbl>
      <w:tblPr>
        <w:tblStyle w:val="7"/>
        <w:tblW w:w="5000" w:type="pct"/>
        <w:tblInd w:w="0" w:type="dxa"/>
        <w:tblLayout w:type="autofit"/>
        <w:tblCellMar>
          <w:top w:w="0" w:type="dxa"/>
          <w:left w:w="108" w:type="dxa"/>
          <w:bottom w:w="0" w:type="dxa"/>
          <w:right w:w="108" w:type="dxa"/>
        </w:tblCellMar>
      </w:tblPr>
      <w:tblGrid>
        <w:gridCol w:w="1863"/>
        <w:gridCol w:w="1665"/>
        <w:gridCol w:w="1410"/>
        <w:gridCol w:w="1793"/>
        <w:gridCol w:w="1791"/>
      </w:tblGrid>
      <w:tr>
        <w:tblPrEx>
          <w:tblCellMar>
            <w:top w:w="0" w:type="dxa"/>
            <w:left w:w="108" w:type="dxa"/>
            <w:bottom w:w="0" w:type="dxa"/>
            <w:right w:w="108" w:type="dxa"/>
          </w:tblCellMar>
        </w:tblPrEx>
        <w:trPr>
          <w:trHeight w:val="450" w:hRule="atLeast"/>
        </w:trPr>
        <w:tc>
          <w:tcPr>
            <w:tcW w:w="109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类型</w:t>
            </w:r>
          </w:p>
        </w:tc>
        <w:tc>
          <w:tcPr>
            <w:tcW w:w="977" w:type="pct"/>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适用住宅地价修正系数</w:t>
            </w:r>
          </w:p>
        </w:tc>
        <w:tc>
          <w:tcPr>
            <w:tcW w:w="827" w:type="pct"/>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适用商业地价修正系数</w:t>
            </w:r>
          </w:p>
        </w:tc>
        <w:tc>
          <w:tcPr>
            <w:tcW w:w="105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适用办公地价修正系数</w:t>
            </w:r>
          </w:p>
        </w:tc>
        <w:tc>
          <w:tcPr>
            <w:tcW w:w="1052" w:type="pct"/>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适用工业地价修正系数</w:t>
            </w:r>
          </w:p>
        </w:tc>
      </w:tr>
      <w:tr>
        <w:tblPrEx>
          <w:tblCellMar>
            <w:top w:w="0" w:type="dxa"/>
            <w:left w:w="108" w:type="dxa"/>
            <w:bottom w:w="0" w:type="dxa"/>
            <w:right w:w="108" w:type="dxa"/>
          </w:tblCellMar>
        </w:tblPrEx>
        <w:trPr>
          <w:trHeight w:val="513" w:hRule="atLeast"/>
        </w:trPr>
        <w:tc>
          <w:tcPr>
            <w:tcW w:w="1093"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棚户区改造</w:t>
            </w:r>
          </w:p>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w:t>
            </w:r>
          </w:p>
        </w:tc>
        <w:tc>
          <w:tcPr>
            <w:tcW w:w="977" w:type="pct"/>
            <w:tcBorders>
              <w:top w:val="single" w:color="auto" w:sz="4" w:space="0"/>
              <w:left w:val="nil"/>
              <w:bottom w:val="single" w:color="auto" w:sz="4" w:space="0"/>
              <w:right w:val="single" w:color="auto" w:sz="4" w:space="0"/>
            </w:tcBorders>
            <w:vAlign w:val="center"/>
          </w:tcPr>
          <w:p>
            <w:pPr>
              <w:widowControl/>
              <w:spacing w:line="36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w:t>
            </w:r>
          </w:p>
        </w:tc>
        <w:tc>
          <w:tcPr>
            <w:tcW w:w="827" w:type="pct"/>
            <w:tcBorders>
              <w:top w:val="single" w:color="auto" w:sz="4" w:space="0"/>
              <w:left w:val="nil"/>
              <w:bottom w:val="single" w:color="auto" w:sz="4" w:space="0"/>
              <w:right w:val="single" w:color="auto" w:sz="4" w:space="0"/>
            </w:tcBorders>
            <w:vAlign w:val="center"/>
          </w:tcPr>
          <w:p>
            <w:pPr>
              <w:widowControl/>
              <w:spacing w:line="36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0.18</w:t>
            </w:r>
          </w:p>
        </w:tc>
        <w:tc>
          <w:tcPr>
            <w:tcW w:w="105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w:t>
            </w:r>
          </w:p>
        </w:tc>
        <w:tc>
          <w:tcPr>
            <w:tcW w:w="1052" w:type="pct"/>
            <w:tcBorders>
              <w:top w:val="single" w:color="auto" w:sz="4" w:space="0"/>
              <w:left w:val="nil"/>
              <w:bottom w:val="single" w:color="auto" w:sz="4" w:space="0"/>
              <w:right w:val="single" w:color="auto" w:sz="4" w:space="0"/>
            </w:tcBorders>
            <w:vAlign w:val="center"/>
          </w:tcPr>
          <w:p>
            <w:pPr>
              <w:widowControl/>
              <w:spacing w:line="36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w:t>
            </w:r>
          </w:p>
        </w:tc>
      </w:tr>
      <w:tr>
        <w:tblPrEx>
          <w:tblCellMar>
            <w:top w:w="0" w:type="dxa"/>
            <w:left w:w="108" w:type="dxa"/>
            <w:bottom w:w="0" w:type="dxa"/>
            <w:right w:w="108" w:type="dxa"/>
          </w:tblCellMar>
        </w:tblPrEx>
        <w:trPr>
          <w:trHeight w:val="1279" w:hRule="atLeast"/>
        </w:trPr>
        <w:tc>
          <w:tcPr>
            <w:tcW w:w="5000" w:type="pct"/>
            <w:gridSpan w:val="5"/>
            <w:tcBorders>
              <w:top w:val="single" w:color="auto" w:sz="4" w:space="0"/>
              <w:left w:val="single" w:color="auto" w:sz="4" w:space="0"/>
              <w:bottom w:val="single" w:color="auto" w:sz="4" w:space="0"/>
              <w:right w:val="single" w:color="auto" w:sz="4" w:space="0"/>
            </w:tcBorders>
          </w:tcPr>
          <w:p>
            <w:pPr>
              <w:widowControl/>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备</w:t>
            </w:r>
            <w:r>
              <w:rPr>
                <w:rFonts w:hint="eastAsia" w:ascii="仿宋_GB2312" w:hAnsi="仿宋_GB2312" w:eastAsia="仿宋_GB2312" w:cs="仿宋_GB2312"/>
                <w:kern w:val="0"/>
                <w:sz w:val="24"/>
                <w:szCs w:val="24"/>
              </w:rPr>
              <w:t>注：</w:t>
            </w:r>
          </w:p>
          <w:p>
            <w:pPr>
              <w:widowControl/>
              <w:spacing w:line="360" w:lineRule="exact"/>
              <w:ind w:firstLine="480" w:firstLineChars="200"/>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棚户区改造项目修正系数按照拆除重建类城市更新项目修正系数表中“国有已批居住、商业服务业用地改造为居住、商业服务业用地”项目修正系数执行。</w:t>
            </w:r>
          </w:p>
        </w:tc>
      </w:tr>
    </w:tbl>
    <w:p>
      <w:pP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widowControl/>
        <w:spacing w:line="579" w:lineRule="exact"/>
        <w:ind w:right="42" w:rightChars="20"/>
        <w:jc w:val="center"/>
        <w:outlineLvl w:val="0"/>
        <w:rPr>
          <w:rFonts w:ascii="宋体" w:hAnsi="宋体" w:cs="宋体"/>
          <w:b/>
          <w:kern w:val="0"/>
          <w:sz w:val="32"/>
          <w:szCs w:val="32"/>
        </w:rPr>
      </w:pPr>
      <w:r>
        <w:rPr>
          <w:rFonts w:hint="eastAsia" w:ascii="仿宋_GB2312" w:hAnsi="仿宋_GB2312" w:eastAsia="仿宋_GB2312" w:cs="仿宋_GB2312"/>
          <w:b/>
          <w:kern w:val="0"/>
          <w:sz w:val="32"/>
          <w:szCs w:val="32"/>
        </w:rPr>
        <w:t>附表</w:t>
      </w:r>
      <w:r>
        <w:rPr>
          <w:rFonts w:hint="eastAsia" w:ascii="仿宋_GB2312" w:hAnsi="仿宋_GB2312" w:eastAsia="仿宋_GB2312" w:cs="仿宋_GB2312"/>
          <w:b/>
          <w:bCs/>
          <w:kern w:val="0"/>
          <w:sz w:val="32"/>
          <w:szCs w:val="32"/>
        </w:rPr>
        <w:t>9</w:t>
      </w:r>
      <w:r>
        <w:rPr>
          <w:rFonts w:hint="eastAsia" w:ascii="仿宋_GB2312" w:hAnsi="仿宋_GB2312" w:eastAsia="仿宋_GB2312" w:cs="仿宋_GB2312"/>
          <w:b/>
          <w:kern w:val="0"/>
          <w:sz w:val="32"/>
          <w:szCs w:val="32"/>
        </w:rPr>
        <w:t xml:space="preserve">  留用土地项目修正系数表</w:t>
      </w:r>
    </w:p>
    <w:tbl>
      <w:tblPr>
        <w:tblStyle w:val="7"/>
        <w:tblW w:w="9348"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3"/>
        <w:gridCol w:w="2005"/>
        <w:gridCol w:w="2011"/>
        <w:gridCol w:w="145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blHead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30" w:lineRule="exact"/>
              <w:ind w:right="42" w:rightChars="2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5549" w:type="dxa"/>
            <w:gridSpan w:val="3"/>
            <w:tcBorders>
              <w:top w:val="single" w:color="auto" w:sz="4" w:space="0"/>
              <w:left w:val="single" w:color="auto" w:sz="4" w:space="0"/>
              <w:bottom w:val="single" w:color="auto" w:sz="4" w:space="0"/>
              <w:right w:val="single" w:color="auto" w:sz="4" w:space="0"/>
            </w:tcBorders>
            <w:vAlign w:val="center"/>
          </w:tcPr>
          <w:p>
            <w:pPr>
              <w:widowControl/>
              <w:spacing w:line="330" w:lineRule="exact"/>
              <w:ind w:right="42" w:rightChars="2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用地类型</w:t>
            </w:r>
          </w:p>
        </w:tc>
        <w:tc>
          <w:tcPr>
            <w:tcW w:w="1452" w:type="dxa"/>
            <w:tcBorders>
              <w:top w:val="single" w:color="auto" w:sz="4" w:space="0"/>
              <w:left w:val="single" w:color="auto" w:sz="4" w:space="0"/>
              <w:bottom w:val="single" w:color="auto" w:sz="4" w:space="0"/>
              <w:right w:val="single" w:color="auto" w:sz="4" w:space="0"/>
            </w:tcBorders>
            <w:vAlign w:val="center"/>
          </w:tcPr>
          <w:p>
            <w:pPr>
              <w:spacing w:line="330" w:lineRule="exact"/>
              <w:ind w:right="42" w:rightChars="2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适用住宅、商业、办公地价</w:t>
            </w:r>
          </w:p>
          <w:p>
            <w:pPr>
              <w:spacing w:line="330" w:lineRule="exact"/>
              <w:ind w:right="42" w:rightChars="2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修正系数</w:t>
            </w:r>
          </w:p>
        </w:tc>
        <w:tc>
          <w:tcPr>
            <w:tcW w:w="1643" w:type="dxa"/>
            <w:tcBorders>
              <w:top w:val="single" w:color="auto" w:sz="4" w:space="0"/>
              <w:left w:val="single" w:color="auto" w:sz="4" w:space="0"/>
              <w:bottom w:val="single" w:color="auto" w:sz="4" w:space="0"/>
              <w:right w:val="single" w:color="auto" w:sz="4" w:space="0"/>
            </w:tcBorders>
            <w:vAlign w:val="center"/>
          </w:tcPr>
          <w:p>
            <w:pPr>
              <w:widowControl/>
              <w:spacing w:line="330" w:lineRule="exact"/>
              <w:ind w:right="42" w:rightChars="2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适用工业地价修正系数（除附表1</w:t>
            </w:r>
          </w:p>
          <w:p>
            <w:pPr>
              <w:widowControl/>
              <w:spacing w:line="330" w:lineRule="exact"/>
              <w:ind w:right="42" w:rightChars="20"/>
              <w:jc w:val="center"/>
              <w:rPr>
                <w:rFonts w:ascii="仿宋_GB2312" w:hAnsi="仿宋_GB2312" w:eastAsia="仿宋_GB2312" w:cs="仿宋_GB2312"/>
                <w:b/>
                <w:bCs/>
                <w:kern w:val="0"/>
                <w:sz w:val="24"/>
                <w:szCs w:val="24"/>
              </w:rPr>
            </w:pPr>
            <w:r>
              <w:rPr>
                <w:rFonts w:hint="eastAsia" w:ascii="仿宋_GB2312" w:hAnsi="仿宋_GB2312" w:eastAsia="仿宋_GB2312" w:cs="仿宋_GB2312"/>
                <w:b/>
                <w:sz w:val="24"/>
                <w:szCs w:val="24"/>
              </w:rPr>
              <w:t>建筑类型4）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30" w:lineRule="exact"/>
              <w:ind w:right="42" w:rightChars="2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5549" w:type="dxa"/>
            <w:gridSpan w:val="3"/>
            <w:tcBorders>
              <w:top w:val="single" w:color="auto" w:sz="4" w:space="0"/>
              <w:left w:val="single" w:color="auto" w:sz="4" w:space="0"/>
              <w:bottom w:val="single" w:color="auto" w:sz="4" w:space="0"/>
              <w:right w:val="single" w:color="auto" w:sz="4" w:space="0"/>
            </w:tcBorders>
            <w:vAlign w:val="center"/>
          </w:tcPr>
          <w:p>
            <w:pPr>
              <w:widowControl/>
              <w:spacing w:line="33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非农建设用地、征地返还用地、留用土地不得转让情形及属于政府部分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33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ind w:right="42" w:rightChars="2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5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1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非农建设用地、征地返还用地进入市场</w:t>
            </w:r>
          </w:p>
        </w:tc>
        <w:tc>
          <w:tcPr>
            <w:tcW w:w="20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非农建设用地、在本社区安置的征地返还用地</w:t>
            </w: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r≤3.2部分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kern w:val="0"/>
                <w:sz w:val="24"/>
                <w:szCs w:val="24"/>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sz w:val="24"/>
                <w:szCs w:val="24"/>
              </w:rPr>
            </w:pPr>
          </w:p>
        </w:tc>
        <w:tc>
          <w:tcPr>
            <w:tcW w:w="2005"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sz w:val="24"/>
                <w:szCs w:val="24"/>
              </w:rPr>
            </w:pP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r&gt;3.2部分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kern w:val="0"/>
                <w:sz w:val="24"/>
                <w:szCs w:val="24"/>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sz w:val="24"/>
                <w:szCs w:val="24"/>
              </w:rPr>
            </w:pPr>
          </w:p>
        </w:tc>
        <w:tc>
          <w:tcPr>
            <w:tcW w:w="20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1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在本社区或社区外经评估后安置的征地返还用地</w:t>
            </w: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等价值部分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kern w:val="0"/>
                <w:sz w:val="24"/>
                <w:szCs w:val="24"/>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sz w:val="24"/>
                <w:szCs w:val="24"/>
              </w:rPr>
            </w:pPr>
          </w:p>
        </w:tc>
        <w:tc>
          <w:tcPr>
            <w:tcW w:w="2005"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sz w:val="24"/>
                <w:szCs w:val="24"/>
              </w:rPr>
            </w:pP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超出等价值部分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10" w:lineRule="exact"/>
              <w:ind w:right="42" w:rightChars="2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53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1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农村集体经济组织利益统筹土地整备项目留用土地进入市场</w:t>
            </w: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基础建筑面积</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0.02</w:t>
            </w:r>
          </w:p>
        </w:tc>
        <w:tc>
          <w:tcPr>
            <w:tcW w:w="1643"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kern w:val="0"/>
                <w:sz w:val="24"/>
                <w:szCs w:val="24"/>
              </w:rPr>
            </w:pPr>
          </w:p>
        </w:tc>
        <w:tc>
          <w:tcPr>
            <w:tcW w:w="35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sz w:val="24"/>
                <w:szCs w:val="24"/>
              </w:rPr>
            </w:pP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共享建筑面积</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right="42" w:rightChars="20"/>
              <w:jc w:val="center"/>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0.2</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widowControl/>
              <w:ind w:right="42" w:rightChars="2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2" w:hRule="atLeast"/>
        </w:trPr>
        <w:tc>
          <w:tcPr>
            <w:tcW w:w="9348" w:type="dxa"/>
            <w:gridSpan w:val="6"/>
            <w:tcBorders>
              <w:top w:val="single" w:color="auto" w:sz="4" w:space="0"/>
              <w:left w:val="single" w:color="auto" w:sz="4" w:space="0"/>
              <w:bottom w:val="single" w:color="auto" w:sz="4" w:space="0"/>
              <w:right w:val="single" w:color="auto" w:sz="4" w:space="0"/>
            </w:tcBorders>
            <w:vAlign w:val="center"/>
          </w:tcPr>
          <w:p>
            <w:pPr>
              <w:widowControl/>
              <w:spacing w:line="310" w:lineRule="exact"/>
              <w:ind w:right="42" w:rightChars="2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widowControl/>
              <w:spacing w:line="310" w:lineRule="exact"/>
              <w:ind w:right="42" w:rightChars="20"/>
              <w:jc w:val="left"/>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kern w:val="0"/>
                <w:sz w:val="24"/>
                <w:szCs w:val="24"/>
              </w:rPr>
              <w:t>基础建筑面积、共享建筑面积、等价值部分、超出等价值部分按土地整备有关文件执行。</w:t>
            </w:r>
          </w:p>
          <w:p>
            <w:pPr>
              <w:widowControl/>
              <w:spacing w:line="310" w:lineRule="exact"/>
              <w:ind w:right="42" w:rightChars="2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2．本表序号2、3仅适用于建筑面积首次由“不得转让”变为“允许分割转让”情形的地价测算；使用上述系数测算并缴纳地价的，对应建筑面积部分为允许分割转让情形。</w:t>
            </w:r>
          </w:p>
          <w:p>
            <w:pPr>
              <w:widowControl/>
              <w:spacing w:line="310" w:lineRule="exact"/>
              <w:ind w:right="42" w:rightChars="2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3．约定为“不得转让”“自用”或“非商品性质”的，属于“不得转让”情形。</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4．附表1的建筑类型4的留用土地项目修正系数按照厂房及办公修正系数分别修正。</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r为非农建设用地、在本社区安置的征地返还用地的地上规定建筑面积（不包括产权归政府部分）+地下规定建筑面积（不包括产权归政府部分）之和与用地面积的比值。其中，计算中涉及多种建筑类型的，应将各建筑类型按照建筑面积比例分摊到不同的计算区间进行地价计算。无法按照已确定的征地返还用地土地面积进行安置，通过调整容积率保障安置建筑面积不减少而导致r有变化的，仍然按原定的用地面积计算r后进行取值分段测算。</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6．土地整备利益统筹项目留用土地配套部分归属原农村集体经济组织的部分，按照比例分摊到基础建筑面积和共享建筑面积的计算区间。</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按照《土地整备利益统筹试点项目管理办法（试行）》（深规土〔2015〕721号）完成实施方案审批的土地整备利益统筹试点项目，项目中留用土地执行2013年公告基准地价标准，并按照《土地整备利益统筹试点项目管理办法（试行）》地价计收规则测算地价。</w:t>
            </w:r>
          </w:p>
          <w:p>
            <w:pPr>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8.成片开发区（指蛇口工业区、赤湾港等已签订大协议的用地及原深圳市蛇口区管理局批出的协议出让用地）的历史用地补办用地手续、土地使用年期续期、补地价进入市场等事项，地价按测算规则测算结果的20%计收。</w:t>
            </w:r>
          </w:p>
        </w:tc>
      </w:tr>
    </w:tbl>
    <w:p>
      <w:pPr>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r>
        <w:rPr>
          <w:rFonts w:hint="eastAsia" w:ascii="仿宋_GB2312" w:hAnsi="仿宋_GB2312" w:eastAsia="仿宋_GB2312" w:cs="仿宋_GB2312"/>
          <w:b/>
          <w:kern w:val="0"/>
          <w:sz w:val="32"/>
          <w:szCs w:val="32"/>
        </w:rPr>
        <w:t>附表</w:t>
      </w:r>
      <w:r>
        <w:rPr>
          <w:rFonts w:hint="eastAsia" w:ascii="仿宋_GB2312" w:hAnsi="仿宋_GB2312" w:eastAsia="仿宋_GB2312" w:cs="仿宋_GB2312"/>
          <w:b/>
          <w:bCs/>
          <w:kern w:val="0"/>
          <w:sz w:val="32"/>
          <w:szCs w:val="32"/>
        </w:rPr>
        <w:t>10</w:t>
      </w:r>
      <w:r>
        <w:rPr>
          <w:rFonts w:hint="eastAsia" w:ascii="仿宋_GB2312" w:hAnsi="仿宋_GB2312" w:eastAsia="仿宋_GB2312" w:cs="仿宋_GB2312"/>
          <w:b/>
          <w:kern w:val="0"/>
          <w:sz w:val="32"/>
          <w:szCs w:val="32"/>
        </w:rPr>
        <w:t xml:space="preserve">  拆除重建类城市更新项目修正系数计算表</w:t>
      </w:r>
    </w:p>
    <w:tbl>
      <w:tblPr>
        <w:tblStyle w:val="7"/>
        <w:tblW w:w="9693"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684"/>
        <w:gridCol w:w="1247"/>
        <w:gridCol w:w="1234"/>
        <w:gridCol w:w="1223"/>
        <w:gridCol w:w="1341"/>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89" w:type="dxa"/>
            <w:vAlign w:val="center"/>
          </w:tcPr>
          <w:p>
            <w:pPr>
              <w:spacing w:line="360" w:lineRule="exact"/>
              <w:ind w:left="-199" w:leftChars="-95" w:right="-59" w:rightChars="-28"/>
              <w:jc w:val="righ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测算次序</w:t>
            </w:r>
          </w:p>
        </w:tc>
        <w:tc>
          <w:tcPr>
            <w:tcW w:w="1684" w:type="dxa"/>
            <w:vAlign w:val="center"/>
          </w:tcPr>
          <w:p>
            <w:pPr>
              <w:spacing w:line="36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用地类别或改造类型</w:t>
            </w:r>
          </w:p>
        </w:tc>
        <w:tc>
          <w:tcPr>
            <w:tcW w:w="1247" w:type="dxa"/>
            <w:vAlign w:val="center"/>
          </w:tcPr>
          <w:p>
            <w:pPr>
              <w:spacing w:line="36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适用住宅地价修正因子</w:t>
            </w:r>
          </w:p>
        </w:tc>
        <w:tc>
          <w:tcPr>
            <w:tcW w:w="1234" w:type="dxa"/>
            <w:vAlign w:val="center"/>
          </w:tcPr>
          <w:p>
            <w:pPr>
              <w:spacing w:line="36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适用商业地价修正因子</w:t>
            </w:r>
          </w:p>
        </w:tc>
        <w:tc>
          <w:tcPr>
            <w:tcW w:w="1223" w:type="dxa"/>
            <w:vAlign w:val="center"/>
          </w:tcPr>
          <w:p>
            <w:pPr>
              <w:spacing w:line="36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适用办公地价修正因子</w:t>
            </w:r>
          </w:p>
        </w:tc>
        <w:tc>
          <w:tcPr>
            <w:tcW w:w="1341" w:type="dxa"/>
            <w:vAlign w:val="center"/>
          </w:tcPr>
          <w:p>
            <w:pPr>
              <w:spacing w:line="36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适用工业地价修正因子</w:t>
            </w:r>
          </w:p>
        </w:tc>
        <w:tc>
          <w:tcPr>
            <w:tcW w:w="2375" w:type="dxa"/>
            <w:vAlign w:val="center"/>
          </w:tcPr>
          <w:p>
            <w:pPr>
              <w:spacing w:line="36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89"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84" w:type="dxa"/>
            <w:vAlign w:val="center"/>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小地块城市更新项目应移交未移交用地</w:t>
            </w:r>
          </w:p>
        </w:tc>
        <w:tc>
          <w:tcPr>
            <w:tcW w:w="1247"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234"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223"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341"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375" w:type="dxa"/>
          </w:tcPr>
          <w:p>
            <w:pPr>
              <w:spacing w:line="360" w:lineRule="exact"/>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89" w:type="dxa"/>
            <w:vMerge w:val="restart"/>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84" w:type="dxa"/>
            <w:vAlign w:val="center"/>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已办理征转地补偿的零星国有未出让用地</w:t>
            </w:r>
          </w:p>
        </w:tc>
        <w:tc>
          <w:tcPr>
            <w:tcW w:w="1247"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234"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223"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341"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375" w:type="dxa"/>
          </w:tcPr>
          <w:p>
            <w:pPr>
              <w:spacing w:line="360" w:lineRule="exact"/>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Merge w:val="continue"/>
            <w:vAlign w:val="center"/>
          </w:tcPr>
          <w:p>
            <w:pPr>
              <w:spacing w:line="360" w:lineRule="exact"/>
              <w:jc w:val="center"/>
              <w:rPr>
                <w:rFonts w:hint="eastAsia" w:ascii="仿宋_GB2312" w:hAnsi="仿宋_GB2312" w:eastAsia="仿宋_GB2312" w:cs="仿宋_GB2312"/>
                <w:kern w:val="0"/>
                <w:sz w:val="24"/>
                <w:szCs w:val="24"/>
              </w:rPr>
            </w:pPr>
          </w:p>
        </w:tc>
        <w:tc>
          <w:tcPr>
            <w:tcW w:w="1684" w:type="dxa"/>
            <w:vAlign w:val="center"/>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未办理征转地补偿的零星国有未出让用地</w:t>
            </w:r>
          </w:p>
        </w:tc>
        <w:tc>
          <w:tcPr>
            <w:tcW w:w="1247"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w:t>
            </w:r>
          </w:p>
        </w:tc>
        <w:tc>
          <w:tcPr>
            <w:tcW w:w="1234"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0.18</w:t>
            </w:r>
          </w:p>
        </w:tc>
        <w:tc>
          <w:tcPr>
            <w:tcW w:w="1223"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w:t>
            </w:r>
          </w:p>
        </w:tc>
        <w:tc>
          <w:tcPr>
            <w:tcW w:w="1341"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w:t>
            </w:r>
          </w:p>
        </w:tc>
        <w:tc>
          <w:tcPr>
            <w:tcW w:w="2375" w:type="dxa"/>
          </w:tcPr>
          <w:p>
            <w:pPr>
              <w:spacing w:line="360" w:lineRule="exact"/>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89"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684" w:type="dxa"/>
            <w:vAlign w:val="center"/>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城中村用地</w:t>
            </w:r>
          </w:p>
        </w:tc>
        <w:tc>
          <w:tcPr>
            <w:tcW w:w="1247"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0.1×(1-4.5/r)</w:t>
            </w:r>
          </w:p>
        </w:tc>
        <w:tc>
          <w:tcPr>
            <w:tcW w:w="1234"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0.18×(1-4.5/r)</w:t>
            </w:r>
          </w:p>
        </w:tc>
        <w:tc>
          <w:tcPr>
            <w:tcW w:w="1223"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0.15×(1-4.5/r)</w:t>
            </w:r>
          </w:p>
        </w:tc>
        <w:tc>
          <w:tcPr>
            <w:tcW w:w="1341"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0.15×(1-4.5/r)</w:t>
            </w:r>
          </w:p>
        </w:tc>
        <w:tc>
          <w:tcPr>
            <w:tcW w:w="2375" w:type="dxa"/>
            <w:vMerge w:val="restart"/>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修正因子计算结果为负数时取零；按《关于加强和改进城市更新实施工作的暂行措施》（深府办〔2016〕38号）文件要求配建人才住房、保障性住房或人才公寓的城市更新项目，按相应修正因子的0.8倍计算。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589"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684" w:type="dxa"/>
            <w:vAlign w:val="center"/>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旧屋村用地</w:t>
            </w:r>
          </w:p>
        </w:tc>
        <w:tc>
          <w:tcPr>
            <w:tcW w:w="1247"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0.1×(1-1.5/r)</w:t>
            </w:r>
          </w:p>
        </w:tc>
        <w:tc>
          <w:tcPr>
            <w:tcW w:w="1234"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0.18×(1-1.5/r)</w:t>
            </w:r>
          </w:p>
        </w:tc>
        <w:tc>
          <w:tcPr>
            <w:tcW w:w="1223"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0.15×(1-1.5/r)</w:t>
            </w:r>
          </w:p>
        </w:tc>
        <w:tc>
          <w:tcPr>
            <w:tcW w:w="1341"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0.15×(1-1.5/r)</w:t>
            </w:r>
          </w:p>
        </w:tc>
        <w:tc>
          <w:tcPr>
            <w:tcW w:w="2375" w:type="dxa"/>
            <w:vMerge w:val="continue"/>
          </w:tcPr>
          <w:p>
            <w:pPr>
              <w:spacing w:line="360" w:lineRule="exact"/>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589"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684" w:type="dxa"/>
            <w:vAlign w:val="center"/>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70个旧城旧村改造项目除城中村用地、旧屋村用地外的其余用地</w:t>
            </w:r>
          </w:p>
        </w:tc>
        <w:tc>
          <w:tcPr>
            <w:tcW w:w="1247"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w:t>
            </w:r>
          </w:p>
        </w:tc>
        <w:tc>
          <w:tcPr>
            <w:tcW w:w="1234"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0.18</w:t>
            </w:r>
          </w:p>
        </w:tc>
        <w:tc>
          <w:tcPr>
            <w:tcW w:w="1223"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w:t>
            </w:r>
          </w:p>
        </w:tc>
        <w:tc>
          <w:tcPr>
            <w:tcW w:w="1341"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w:t>
            </w:r>
          </w:p>
        </w:tc>
        <w:tc>
          <w:tcPr>
            <w:tcW w:w="2375" w:type="dxa"/>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70个旧城旧村改造项目按照《关于宝安龙岗两区自行开展的新安翻身工业区等70个旧城旧村改造项目的处理意见》（深府〔2006〕258号）确定。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589" w:type="dxa"/>
            <w:vMerge w:val="restart"/>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684" w:type="dxa"/>
            <w:vAlign w:val="center"/>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国有已批用地改造为工业用地、物流仓储用地</w:t>
            </w:r>
          </w:p>
        </w:tc>
        <w:tc>
          <w:tcPr>
            <w:tcW w:w="1247"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0.4</w:t>
            </w:r>
          </w:p>
        </w:tc>
        <w:tc>
          <w:tcPr>
            <w:tcW w:w="1234"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0.75</w:t>
            </w:r>
          </w:p>
        </w:tc>
        <w:tc>
          <w:tcPr>
            <w:tcW w:w="1223"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0.6</w:t>
            </w:r>
          </w:p>
        </w:tc>
        <w:tc>
          <w:tcPr>
            <w:tcW w:w="1341"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w:t>
            </w:r>
          </w:p>
        </w:tc>
        <w:tc>
          <w:tcPr>
            <w:tcW w:w="2375" w:type="dxa"/>
          </w:tcPr>
          <w:p>
            <w:pPr>
              <w:spacing w:line="3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改造为三类居住用地（R3）的，适用本改造类型。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589" w:type="dxa"/>
            <w:vMerge w:val="continue"/>
            <w:vAlign w:val="center"/>
          </w:tcPr>
          <w:p>
            <w:pPr>
              <w:spacing w:line="360" w:lineRule="exact"/>
              <w:jc w:val="center"/>
              <w:rPr>
                <w:rFonts w:hint="eastAsia" w:ascii="仿宋_GB2312" w:hAnsi="仿宋_GB2312" w:eastAsia="仿宋_GB2312" w:cs="仿宋_GB2312"/>
                <w:kern w:val="0"/>
                <w:sz w:val="24"/>
                <w:szCs w:val="24"/>
              </w:rPr>
            </w:pPr>
          </w:p>
        </w:tc>
        <w:tc>
          <w:tcPr>
            <w:tcW w:w="1684" w:type="dxa"/>
            <w:vAlign w:val="center"/>
          </w:tcPr>
          <w:p>
            <w:pPr>
              <w:spacing w:line="360" w:lineRule="exact"/>
              <w:rPr>
                <w:rFonts w:ascii="仿宋_GB2312" w:hAnsi="仿宋_GB2312" w:eastAsia="仿宋_GB2312" w:cs="仿宋_GB2312"/>
                <w:bCs/>
                <w:kern w:val="0"/>
                <w:sz w:val="22"/>
              </w:rPr>
            </w:pPr>
            <w:r>
              <w:rPr>
                <w:rFonts w:hint="eastAsia" w:ascii="仿宋_GB2312" w:hAnsi="仿宋_GB2312" w:eastAsia="仿宋_GB2312" w:cs="仿宋_GB2312"/>
                <w:bCs/>
                <w:kern w:val="0"/>
                <w:sz w:val="22"/>
              </w:rPr>
              <w:t>国有已批居住、商业服务业用地改造为居住、商业服务业用地</w:t>
            </w:r>
          </w:p>
        </w:tc>
        <w:tc>
          <w:tcPr>
            <w:tcW w:w="1247"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w:t>
            </w:r>
          </w:p>
        </w:tc>
        <w:tc>
          <w:tcPr>
            <w:tcW w:w="1234"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0.18</w:t>
            </w:r>
          </w:p>
        </w:tc>
        <w:tc>
          <w:tcPr>
            <w:tcW w:w="1223"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0.15</w:t>
            </w:r>
          </w:p>
        </w:tc>
        <w:tc>
          <w:tcPr>
            <w:tcW w:w="1341"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0.15</w:t>
            </w:r>
          </w:p>
        </w:tc>
        <w:tc>
          <w:tcPr>
            <w:tcW w:w="2375" w:type="dxa"/>
          </w:tcPr>
          <w:p>
            <w:pPr>
              <w:spacing w:line="360" w:lineRule="exact"/>
              <w:rPr>
                <w:rFonts w:ascii="仿宋_GB2312" w:hAnsi="仿宋_GB2312" w:eastAsia="仿宋_GB2312" w:cs="仿宋_GB2312"/>
                <w:bCs/>
                <w:kern w:val="0"/>
                <w:sz w:val="22"/>
              </w:rPr>
            </w:pPr>
            <w:r>
              <w:rPr>
                <w:rFonts w:hint="eastAsia" w:ascii="仿宋_GB2312" w:hAnsi="仿宋_GB2312" w:eastAsia="仿宋_GB2312" w:cs="仿宋_GB2312"/>
                <w:bCs/>
                <w:kern w:val="0"/>
                <w:sz w:val="22"/>
              </w:rPr>
              <w:t>其中，国有已批游乐设施用地经市政府同意改造为居住、商业服务业用地的，按相应修正因子的3.5倍计算。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Merge w:val="restart"/>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bCs/>
                <w:kern w:val="0"/>
                <w:sz w:val="22"/>
              </w:rPr>
            </w:pPr>
            <w:r>
              <w:rPr>
                <w:rFonts w:hint="eastAsia" w:ascii="仿宋_GB2312" w:hAnsi="仿宋_GB2312" w:eastAsia="仿宋_GB2312" w:cs="仿宋_GB2312"/>
                <w:bCs/>
                <w:kern w:val="0"/>
                <w:sz w:val="22"/>
              </w:rPr>
              <w:t>国有已批用地（除居住、商业服务业用地）改造为居住、商业服务业用地</w:t>
            </w:r>
          </w:p>
        </w:tc>
        <w:tc>
          <w:tcPr>
            <w:tcW w:w="1247" w:type="dxa"/>
            <w:vAlign w:val="center"/>
          </w:tcPr>
          <w:p>
            <w:pPr>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0.4</w:t>
            </w:r>
          </w:p>
        </w:tc>
        <w:tc>
          <w:tcPr>
            <w:tcW w:w="1234" w:type="dxa"/>
            <w:vAlign w:val="center"/>
          </w:tcPr>
          <w:p>
            <w:pPr>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0.9</w:t>
            </w:r>
          </w:p>
        </w:tc>
        <w:tc>
          <w:tcPr>
            <w:tcW w:w="1223" w:type="dxa"/>
            <w:vAlign w:val="center"/>
          </w:tcPr>
          <w:p>
            <w:pPr>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0.6</w:t>
            </w:r>
          </w:p>
        </w:tc>
        <w:tc>
          <w:tcPr>
            <w:tcW w:w="1341" w:type="dxa"/>
            <w:vAlign w:val="center"/>
          </w:tcPr>
          <w:p>
            <w:pPr>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0.15</w:t>
            </w:r>
          </w:p>
        </w:tc>
        <w:tc>
          <w:tcPr>
            <w:tcW w:w="2375" w:type="dxa"/>
          </w:tcPr>
          <w:p>
            <w:pPr>
              <w:rPr>
                <w:rFonts w:ascii="仿宋_GB2312" w:hAnsi="仿宋_GB2312" w:eastAsia="仿宋_GB2312" w:cs="仿宋_GB2312"/>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589" w:type="dxa"/>
            <w:vMerge w:val="continue"/>
            <w:vAlign w:val="center"/>
          </w:tcPr>
          <w:p>
            <w:pPr>
              <w:spacing w:line="360" w:lineRule="exact"/>
              <w:jc w:val="center"/>
              <w:rPr>
                <w:rFonts w:hint="eastAsia" w:ascii="仿宋_GB2312" w:hAnsi="仿宋_GB2312" w:eastAsia="仿宋_GB2312" w:cs="仿宋_GB2312"/>
                <w:kern w:val="0"/>
                <w:sz w:val="24"/>
                <w:szCs w:val="24"/>
              </w:rPr>
            </w:pPr>
          </w:p>
        </w:tc>
        <w:tc>
          <w:tcPr>
            <w:tcW w:w="1684" w:type="dxa"/>
            <w:vAlign w:val="center"/>
          </w:tcPr>
          <w:p>
            <w:pPr>
              <w:spacing w:line="360" w:lineRule="exact"/>
              <w:rPr>
                <w:rFonts w:ascii="仿宋_GB2312" w:hAnsi="仿宋_GB2312" w:eastAsia="仿宋_GB2312" w:cs="仿宋_GB2312"/>
                <w:bCs/>
                <w:kern w:val="0"/>
                <w:sz w:val="22"/>
              </w:rPr>
            </w:pPr>
            <w:r>
              <w:rPr>
                <w:rFonts w:hint="eastAsia" w:ascii="仿宋_GB2312" w:hAnsi="仿宋_GB2312" w:eastAsia="仿宋_GB2312" w:cs="仿宋_GB2312"/>
                <w:bCs/>
                <w:kern w:val="0"/>
                <w:sz w:val="22"/>
              </w:rPr>
              <w:t>国有已批用地改造为公共管理与服务设施用地（包括文体设施、医疗卫生、教育设施、社会福利用地）</w:t>
            </w:r>
          </w:p>
        </w:tc>
        <w:tc>
          <w:tcPr>
            <w:tcW w:w="1247"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w:t>
            </w:r>
          </w:p>
        </w:tc>
        <w:tc>
          <w:tcPr>
            <w:tcW w:w="1234"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0.18</w:t>
            </w:r>
          </w:p>
        </w:tc>
        <w:tc>
          <w:tcPr>
            <w:tcW w:w="1223"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0.15</w:t>
            </w:r>
          </w:p>
        </w:tc>
        <w:tc>
          <w:tcPr>
            <w:tcW w:w="1341"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0.15</w:t>
            </w:r>
          </w:p>
        </w:tc>
        <w:tc>
          <w:tcPr>
            <w:tcW w:w="2375" w:type="dxa"/>
            <w:vAlign w:val="center"/>
          </w:tcPr>
          <w:p>
            <w:pPr>
              <w:spacing w:line="360" w:lineRule="exact"/>
              <w:rPr>
                <w:rFonts w:ascii="仿宋_GB2312" w:hAnsi="仿宋_GB2312" w:eastAsia="仿宋_GB2312" w:cs="仿宋_GB2312"/>
                <w:bCs/>
                <w:kern w:val="0"/>
                <w:sz w:val="22"/>
              </w:rPr>
            </w:pPr>
            <w:r>
              <w:rPr>
                <w:rFonts w:hint="eastAsia" w:ascii="仿宋_GB2312" w:hAnsi="仿宋_GB2312" w:eastAsia="仿宋_GB2312" w:cs="仿宋_GB2312"/>
                <w:bCs/>
                <w:kern w:val="0"/>
                <w:sz w:val="22"/>
              </w:rPr>
              <w:t>公共管理与服务设施用地限整体转让。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bCs/>
                <w:kern w:val="0"/>
                <w:sz w:val="22"/>
              </w:rPr>
            </w:pPr>
            <w:r>
              <w:rPr>
                <w:rFonts w:hint="eastAsia" w:ascii="仿宋_GB2312" w:hAnsi="仿宋_GB2312" w:eastAsia="仿宋_GB2312" w:cs="仿宋_GB2312"/>
                <w:bCs/>
                <w:kern w:val="0"/>
                <w:sz w:val="22"/>
              </w:rPr>
              <w:t>国有已批用地属于按农村城市化历史遗留违法建筑处理规定处理给原农村集体经济组织及其继受单位且权属未转移的用地</w:t>
            </w:r>
          </w:p>
        </w:tc>
        <w:tc>
          <w:tcPr>
            <w:tcW w:w="1247" w:type="dxa"/>
            <w:vAlign w:val="center"/>
          </w:tcPr>
          <w:p>
            <w:pPr>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w:t>
            </w:r>
          </w:p>
        </w:tc>
        <w:tc>
          <w:tcPr>
            <w:tcW w:w="1234" w:type="dxa"/>
            <w:vAlign w:val="center"/>
          </w:tcPr>
          <w:p>
            <w:pPr>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0.18</w:t>
            </w:r>
          </w:p>
        </w:tc>
        <w:tc>
          <w:tcPr>
            <w:tcW w:w="1223" w:type="dxa"/>
            <w:vAlign w:val="center"/>
          </w:tcPr>
          <w:p>
            <w:pPr>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0.15</w:t>
            </w:r>
          </w:p>
        </w:tc>
        <w:tc>
          <w:tcPr>
            <w:tcW w:w="1341" w:type="dxa"/>
            <w:vAlign w:val="center"/>
          </w:tcPr>
          <w:p>
            <w:pPr>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0.15</w:t>
            </w:r>
          </w:p>
        </w:tc>
        <w:tc>
          <w:tcPr>
            <w:tcW w:w="2375" w:type="dxa"/>
          </w:tcPr>
          <w:p>
            <w:pPr>
              <w:rPr>
                <w:rFonts w:ascii="仿宋_GB2312" w:hAnsi="仿宋_GB2312" w:eastAsia="仿宋_GB2312" w:cs="仿宋_GB2312"/>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9" w:type="dxa"/>
            <w:vAlign w:val="center"/>
          </w:tcPr>
          <w:p>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684" w:type="dxa"/>
            <w:vAlign w:val="center"/>
          </w:tcPr>
          <w:p>
            <w:pPr>
              <w:spacing w:line="360" w:lineRule="exact"/>
              <w:rPr>
                <w:rFonts w:ascii="仿宋_GB2312" w:hAnsi="仿宋_GB2312" w:eastAsia="仿宋_GB2312" w:cs="仿宋_GB2312"/>
                <w:bCs/>
                <w:kern w:val="0"/>
                <w:sz w:val="22"/>
              </w:rPr>
            </w:pPr>
            <w:r>
              <w:rPr>
                <w:rFonts w:hint="eastAsia" w:ascii="仿宋_GB2312" w:hAnsi="仿宋_GB2312" w:eastAsia="仿宋_GB2312" w:cs="仿宋_GB2312"/>
                <w:bCs/>
                <w:kern w:val="0"/>
                <w:sz w:val="22"/>
              </w:rPr>
              <w:t>历史用地处置</w:t>
            </w:r>
          </w:p>
        </w:tc>
        <w:tc>
          <w:tcPr>
            <w:tcW w:w="1247"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0.11</w:t>
            </w:r>
          </w:p>
        </w:tc>
        <w:tc>
          <w:tcPr>
            <w:tcW w:w="1234"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0.2</w:t>
            </w:r>
          </w:p>
        </w:tc>
        <w:tc>
          <w:tcPr>
            <w:tcW w:w="1223"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0.16</w:t>
            </w:r>
          </w:p>
        </w:tc>
        <w:tc>
          <w:tcPr>
            <w:tcW w:w="1341" w:type="dxa"/>
            <w:vAlign w:val="center"/>
          </w:tcPr>
          <w:p>
            <w:pPr>
              <w:spacing w:line="360" w:lineRule="exact"/>
              <w:jc w:val="center"/>
              <w:rPr>
                <w:rFonts w:ascii="仿宋_GB2312" w:hAnsi="仿宋_GB2312" w:eastAsia="仿宋_GB2312" w:cs="仿宋_GB2312"/>
                <w:bCs/>
                <w:kern w:val="0"/>
                <w:sz w:val="22"/>
              </w:rPr>
            </w:pPr>
            <w:r>
              <w:rPr>
                <w:rFonts w:hint="eastAsia" w:ascii="仿宋_GB2312" w:hAnsi="仿宋_GB2312" w:eastAsia="仿宋_GB2312" w:cs="仿宋_GB2312"/>
                <w:bCs/>
                <w:kern w:val="0"/>
                <w:sz w:val="22"/>
              </w:rPr>
              <w:t>0.16</w:t>
            </w:r>
          </w:p>
        </w:tc>
        <w:tc>
          <w:tcPr>
            <w:tcW w:w="2375" w:type="dxa"/>
          </w:tcPr>
          <w:p>
            <w:pPr>
              <w:spacing w:line="360" w:lineRule="exact"/>
              <w:rPr>
                <w:rFonts w:ascii="仿宋_GB2312" w:hAnsi="仿宋_GB2312" w:eastAsia="仿宋_GB2312" w:cs="仿宋_GB2312"/>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693" w:type="dxa"/>
            <w:gridSpan w:val="7"/>
          </w:tcPr>
          <w:p>
            <w:pPr>
              <w:spacing w:line="360" w:lineRule="exact"/>
              <w:jc w:val="left"/>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备注：</w:t>
            </w:r>
          </w:p>
          <w:p>
            <w:pPr>
              <w:spacing w:line="360" w:lineRule="exact"/>
              <w:jc w:val="lef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一、城市更新项目</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城市更新项目以用地审批中确定的一个整体为地价测算单位，按住宅、商业、办公、工业确定项目修正系数，各修正系数按照各“用地类别或改造类型”的面积占比及相应地价修正因子加权平均确定，公式为：各修正系数 = ∑（各“用地类别或改造类型”面积占比×相应修正因子）。</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3.r为一个整体范围内全部开发建设用地的地上规定建筑面积+地下规定建筑面积之和与总用地面积的比值。</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 “用地类别或改造类型”面积占比为相应用地面积与开发建设用地面积的比值，并按照本表中“测算次序”依次计算，累计面积占比超出100%的部分不再参与计算。其中测算次序6存在多种“用地类别或改造类型”的，测算次序6应计入的面积占比按照相应用地面积占国有已批用地面积的比例分摊至各“用地类别或改造类型”。</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按深府办〔2016〕38号文要求配建人才住房、保障性住房的城市更新项目，适用“国有已批用地（除居住、商业服务业用地外）改造为居住、商业服务业用地”类型的，除人才住房及保障性住房外的住宅建筑面积按住宅修正因子的0.8倍计算。按深府办〔2016〕38号文要求配建人才公寓的城市更新项目，适用“国有已批用地（除居住、商业服务业用地外）改造为居住、商业服务业用地”类型的，除人才公寓外的商务公寓建筑面积按办公修正因子的0.8倍计算。 </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关于加强城市更新单元规划审批管理工作的通知》（深规土规〔2018〕4号）和《深圳市拆除重建类城市更新单元规划容积率审查规定》（深规划资源〔2019〕1号）中规定按评估地价标准计收地价的建筑面积，按本规则1.7条公式测算地价，项目修正系数为1.1。</w:t>
            </w:r>
          </w:p>
          <w:p>
            <w:pPr>
              <w:spacing w:line="36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按照《关于加强城市更新单元规划审批管理工作的通知》规定增加的建筑面积中，安居型商品房、可售人才住房按相应建筑功能及建筑面积测算地价，产权归政府的建筑面积不计收地价。其余建筑面积，辖区政府已在更新单元规划中明确其所属地块及建筑功能的，按照已明确的建筑功能及建筑面积测算地价；未明确的，按照其与更新单元规划总建筑面积（不含安居型商品房、可售人才住房及产权归政府的建筑面积）的比值计算出分摊的建筑功能及建筑面积后测算地价。</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6．本表测算次序第3至7项“用地类别或改造类型”中的厂房、研发用房为不得转让情形的，其适用工业地价修正因子按0计算（即厂房、研发用房不得转让部分不计收地价）。</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签订供应合同时按本规则测算地价的城市更新项目用地，供应合同受让方（不包括转让后的权利主体）申请将工业楼宇及配套用房产权条件变更为整体或分割转让的，应补缴地价＝∑(土地的市场价格×变更后对应建筑面积×变更后基础修正系数×变更后拆除重建类城市更新项目修正系数)-∑(土地的市场价格×变更前对应建筑面积×变更前基础修正系数×变更前拆除重建类城市更新项目修正系数)。如差额为负，不再计收地价。</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签订供应合同时未按本规则测算地价的城市更新项目用地，供应合同受让方（不包括转让后的权利主体）申请将工业楼宇及配套用房产权条件变更为整体或分割转让的，应补缴地价按照前款公式计算，变更后拆除重建类城市更新项目修正系数按照本表中“国有已批用地改造为工业用地、物流仓储用地”改造类型的适用住宅、商业、办公、工业地价修正因子取值；变更前产权条件为不得转让的，变更前拆除重建类城市更新项目修正系数均按0.05取值，变更前产权条件为整体转让的，变更前拆除重建类城市更新项目修正系数均按0.15取值。如差额为负，不再计收地价。</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8．城市更新单元规划确定的开发建设用地范围外的地下停车场（库）部分，按本规则1.7条公式测算地价，其中产权条件修正系数为不得转让情形的系数、项目修正系数为1。</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城市更新拆除范围内的以下用地适用“城中村用地”用地类别：（1）福田、罗湖、南山、盐田区原农村集体已划定红线范围内的用地；（2）宝安、龙岗、龙华、坪山、光明区、大鹏新区根据市政府1993年发布的《深圳市宝安、龙岗两区规划、国土管理暂行办法》、2004年发布的《深圳市宝安龙岗两区城市化土地管理办法》划定给原农村集体的非农建设用地；（3）1993年以后，以土地主管部门核发的用地批复或者土地使用权供应合同形式批准给原农村集体经济组织或者其继受单位的征地返还用地。已批准合作建房并签订土地使用权供应合同、已办理产权转移或者享受过城中村地价政策的用地不再适用“城中村用地”用地类别。</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旧工业区综合整治类城市更新项目中，进行历史用地处置的用地上原有建筑面积参照本表“历史用地处置”类别的修正因子及备注6规定测算地价；新建建筑面积参照“国有已批用地改造为工业用地、物流仓储用地”类型的修正因子及备注6规定测算地价；在原有建筑上加建城市基础设施、公共服务设施及电梯、连廊、楼梯等辅助性公用设施的，不计收地价。</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11．城市更新项目配建的创新型产业用房，建成后政府不回购的，适用附表1序号4的“新型产业用地中的研发用房”建筑类型进行地价测算。</w:t>
            </w:r>
          </w:p>
          <w:p>
            <w:pPr>
              <w:spacing w:line="3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土地整备留用土地指标与城市更新项目统筹处理的，留用土地中来源于合法用地的指标根据指标批复确定的用地来源按城市更新政策进行地价测算，留用土地中利益共享用地的地价按照城市更新历史用地处置部分的地价标准计收。</w:t>
            </w:r>
          </w:p>
          <w:p>
            <w:pPr>
              <w:spacing w:line="360" w:lineRule="exact"/>
              <w:jc w:val="left"/>
              <w:rPr>
                <w:rFonts w:ascii="仿宋_GB2312" w:hAnsi="仿宋_GB2312" w:eastAsia="仿宋_GB2312" w:cs="仿宋_GB2312"/>
                <w:kern w:val="0"/>
                <w:sz w:val="24"/>
                <w:szCs w:val="24"/>
              </w:rPr>
            </w:pPr>
          </w:p>
          <w:p>
            <w:pPr>
              <w:spacing w:line="360" w:lineRule="exact"/>
              <w:jc w:val="left"/>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二、原旧城旧村改造项目</w:t>
            </w:r>
          </w:p>
          <w:p>
            <w:pPr>
              <w:spacing w:line="360" w:lineRule="exact"/>
              <w:jc w:val="left"/>
              <w:rPr>
                <w:rFonts w:ascii="仿宋_GB2312" w:eastAsia="仿宋_GB2312" w:hAnsiTheme="majorEastAsia"/>
                <w:sz w:val="24"/>
                <w:szCs w:val="24"/>
              </w:rPr>
            </w:pPr>
            <w:r>
              <w:rPr>
                <w:rFonts w:hint="eastAsia" w:ascii="仿宋_GB2312" w:hAnsi="仿宋_GB2312" w:eastAsia="仿宋_GB2312" w:cs="仿宋_GB2312"/>
                <w:kern w:val="0"/>
                <w:sz w:val="24"/>
                <w:szCs w:val="24"/>
              </w:rPr>
              <w:t>13．原市政府划定的旧城旧村改造项目用地，按本规则1.7条公式测算地价，其中项目修正系数取值如下：安置已取得房地产证的建筑面积参照“国有已批居住、商业服务业用地改造为居住、商业服务业用地”类型的修正因子确定；安置未取得房地产证的建筑面积参照“历史用地处置”类别的修正因子确定，其余建筑面积为1。旧城旧村改造项目用地的地价缴纳方式参照城市更新项目执行。</w:t>
            </w:r>
          </w:p>
        </w:tc>
      </w:tr>
    </w:tbl>
    <w:p>
      <w:pPr>
        <w:rPr>
          <w:rFonts w:hint="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6E4EF5"/>
    <w:rsid w:val="0007700C"/>
    <w:rsid w:val="0015738F"/>
    <w:rsid w:val="001B6F86"/>
    <w:rsid w:val="001C2D08"/>
    <w:rsid w:val="0020143C"/>
    <w:rsid w:val="00236D23"/>
    <w:rsid w:val="003910BD"/>
    <w:rsid w:val="003C39D0"/>
    <w:rsid w:val="0040770D"/>
    <w:rsid w:val="00476A8F"/>
    <w:rsid w:val="004D2B37"/>
    <w:rsid w:val="004E615D"/>
    <w:rsid w:val="005D351E"/>
    <w:rsid w:val="006374E1"/>
    <w:rsid w:val="006376A1"/>
    <w:rsid w:val="00671B5E"/>
    <w:rsid w:val="006A1EE1"/>
    <w:rsid w:val="006C14E2"/>
    <w:rsid w:val="006C53CB"/>
    <w:rsid w:val="00726508"/>
    <w:rsid w:val="007554EB"/>
    <w:rsid w:val="00930BC6"/>
    <w:rsid w:val="00950275"/>
    <w:rsid w:val="009E6FA9"/>
    <w:rsid w:val="00A113A3"/>
    <w:rsid w:val="00AC2C93"/>
    <w:rsid w:val="00AC3A5A"/>
    <w:rsid w:val="00AE33A7"/>
    <w:rsid w:val="00B23690"/>
    <w:rsid w:val="00C9714C"/>
    <w:rsid w:val="00E1050F"/>
    <w:rsid w:val="00E8039F"/>
    <w:rsid w:val="00E879AA"/>
    <w:rsid w:val="00F574F1"/>
    <w:rsid w:val="00F649FB"/>
    <w:rsid w:val="00F66108"/>
    <w:rsid w:val="00FA1378"/>
    <w:rsid w:val="00FD504F"/>
    <w:rsid w:val="1A3C7BC7"/>
    <w:rsid w:val="1B77730C"/>
    <w:rsid w:val="21521F58"/>
    <w:rsid w:val="2579170A"/>
    <w:rsid w:val="32BD7FE4"/>
    <w:rsid w:val="36F558B9"/>
    <w:rsid w:val="3FBF8F72"/>
    <w:rsid w:val="40654838"/>
    <w:rsid w:val="52B103A5"/>
    <w:rsid w:val="57A1631C"/>
    <w:rsid w:val="5F7E52E7"/>
    <w:rsid w:val="64E40894"/>
    <w:rsid w:val="66123504"/>
    <w:rsid w:val="66130F86"/>
    <w:rsid w:val="6BFF4AFA"/>
    <w:rsid w:val="6FD7C3D2"/>
    <w:rsid w:val="73ABE243"/>
    <w:rsid w:val="75232716"/>
    <w:rsid w:val="767936C1"/>
    <w:rsid w:val="793E632B"/>
    <w:rsid w:val="79DE0C10"/>
    <w:rsid w:val="7AF92F7D"/>
    <w:rsid w:val="7D7D1A99"/>
    <w:rsid w:val="7E6E4EF5"/>
    <w:rsid w:val="7F52E265"/>
    <w:rsid w:val="7FCFA93F"/>
    <w:rsid w:val="7FFDCCCD"/>
    <w:rsid w:val="B3EF86F8"/>
    <w:rsid w:val="BF7D662C"/>
    <w:rsid w:val="C7B6C979"/>
    <w:rsid w:val="DEDE895F"/>
    <w:rsid w:val="E3D3E8C7"/>
    <w:rsid w:val="EEFFD86F"/>
    <w:rsid w:val="EFEFA017"/>
    <w:rsid w:val="F3EE6906"/>
    <w:rsid w:val="F7E7F3F1"/>
    <w:rsid w:val="F7ED67BF"/>
    <w:rsid w:val="FB3DCBB6"/>
    <w:rsid w:val="FCBE8261"/>
    <w:rsid w:val="FFE5F0FB"/>
    <w:rsid w:val="FFFF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annotation reference"/>
    <w:basedOn w:val="8"/>
    <w:qFormat/>
    <w:uiPriority w:val="0"/>
    <w:rPr>
      <w:sz w:val="21"/>
      <w:szCs w:val="21"/>
    </w:rPr>
  </w:style>
  <w:style w:type="paragraph" w:styleId="11">
    <w:name w:val="List Paragraph"/>
    <w:basedOn w:val="1"/>
    <w:qFormat/>
    <w:uiPriority w:val="34"/>
    <w:pPr>
      <w:ind w:firstLine="420" w:firstLineChars="200"/>
    </w:pPr>
    <w:rPr>
      <w:rFonts w:ascii="Calibri" w:hAnsi="Calibri" w:eastAsia="宋体" w:cs="Times New Roman"/>
    </w:rPr>
  </w:style>
  <w:style w:type="character" w:customStyle="1" w:styleId="12">
    <w:name w:val="页眉 字符"/>
    <w:basedOn w:val="8"/>
    <w:link w:val="5"/>
    <w:qFormat/>
    <w:uiPriority w:val="0"/>
    <w:rPr>
      <w:kern w:val="2"/>
      <w:sz w:val="18"/>
      <w:szCs w:val="18"/>
    </w:rPr>
  </w:style>
  <w:style w:type="character" w:customStyle="1" w:styleId="13">
    <w:name w:val="页脚 字符"/>
    <w:basedOn w:val="8"/>
    <w:link w:val="4"/>
    <w:qFormat/>
    <w:uiPriority w:val="99"/>
    <w:rPr>
      <w:kern w:val="2"/>
      <w:sz w:val="18"/>
      <w:szCs w:val="18"/>
    </w:rPr>
  </w:style>
  <w:style w:type="character" w:customStyle="1" w:styleId="14">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1944</Words>
  <Characters>11081</Characters>
  <Lines>92</Lines>
  <Paragraphs>25</Paragraphs>
  <TotalTime>1</TotalTime>
  <ScaleCrop>false</ScaleCrop>
  <LinksUpToDate>false</LinksUpToDate>
  <CharactersWithSpaces>13000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2025-08-23T17:17:00Z</dcterms:created>
  <dc:creator>Hi You</dc:creator>
  <cp:lastModifiedBy>caizi</cp:lastModifiedBy>
  <cp:lastPrinted>2025-08-26T12:51:00Z</cp:lastPrinted>
  <dcterms:modified xsi:type="dcterms:W3CDTF">2025-08-27T15:30:26Z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881E15B88357E1B6C1EBAB68D00F6C34</vt:lpwstr>
  </property>
  <property fmtid="{D5CDD505-2E9C-101B-9397-08002B2CF9AE}" pid="4" name="KSOTemplateDocerSaveRecord">
    <vt:lpwstr>eyJoZGlkIjoiMWU5NDMyM2M4NTg4OTg0ZmUzMTBiMzFmY2YwMzRhNGUiLCJ1c2VySWQiOiI2MDkyNTUxNTcifQ==</vt:lpwstr>
  </property>
</Properties>
</file>