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685BE">
      <w:pPr>
        <w:pStyle w:val="8"/>
        <w:ind w:firstLine="0" w:firstLineChars="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秘境之眼福田红树林网络专线服务</w:t>
      </w:r>
    </w:p>
    <w:p w14:paraId="634477A5">
      <w:pPr>
        <w:pStyle w:val="8"/>
        <w:ind w:firstLine="0" w:firstLineChars="0"/>
        <w:jc w:val="center"/>
        <w:rPr>
          <w:rFonts w:ascii="黑体" w:hAnsi="黑体" w:eastAsia="黑体" w:cs="黑体"/>
          <w:b/>
          <w:bCs/>
          <w:sz w:val="44"/>
          <w:szCs w:val="44"/>
        </w:rPr>
      </w:pPr>
      <w:r>
        <w:rPr>
          <w:rFonts w:hint="eastAsia" w:ascii="黑体" w:hAnsi="黑体" w:eastAsia="黑体" w:cs="黑体"/>
          <w:b/>
          <w:bCs/>
          <w:sz w:val="44"/>
          <w:szCs w:val="44"/>
          <w:lang w:val="en-US" w:eastAsia="zh-CN"/>
        </w:rPr>
        <w:t>项目</w:t>
      </w:r>
      <w:r>
        <w:rPr>
          <w:rFonts w:hint="eastAsia" w:ascii="黑体" w:hAnsi="黑体" w:eastAsia="黑体" w:cs="黑体"/>
          <w:b/>
          <w:bCs/>
          <w:sz w:val="44"/>
          <w:szCs w:val="44"/>
        </w:rPr>
        <w:t>采购需求</w:t>
      </w:r>
    </w:p>
    <w:p w14:paraId="6B3165B1">
      <w:pPr>
        <w:pStyle w:val="8"/>
        <w:numPr>
          <w:ilvl w:val="0"/>
          <w:numId w:val="1"/>
        </w:numPr>
        <w:adjustRightInd w:val="0"/>
        <w:spacing w:line="480" w:lineRule="exact"/>
        <w:ind w:firstLine="0" w:firstLineChars="0"/>
        <w:rPr>
          <w:rFonts w:ascii="仿宋" w:hAnsi="仿宋" w:eastAsia="仿宋"/>
          <w:b/>
          <w:bCs/>
          <w:sz w:val="30"/>
          <w:szCs w:val="30"/>
        </w:rPr>
      </w:pPr>
      <w:r>
        <w:rPr>
          <w:rFonts w:hint="eastAsia" w:ascii="仿宋" w:hAnsi="仿宋" w:eastAsia="仿宋"/>
          <w:b/>
          <w:bCs/>
          <w:sz w:val="30"/>
          <w:szCs w:val="30"/>
        </w:rPr>
        <w:t>采购项目概况</w:t>
      </w:r>
    </w:p>
    <w:p w14:paraId="72543A5E">
      <w:pPr>
        <w:pStyle w:val="8"/>
        <w:adjustRightInd w:val="0"/>
        <w:spacing w:line="480" w:lineRule="exact"/>
        <w:ind w:firstLine="600" w:firstLineChars="0"/>
        <w:rPr>
          <w:rFonts w:ascii="仿宋" w:hAnsi="仿宋" w:eastAsia="仿宋"/>
          <w:sz w:val="30"/>
          <w:szCs w:val="30"/>
        </w:rPr>
      </w:pPr>
      <w:r>
        <w:rPr>
          <w:rFonts w:hint="eastAsia" w:ascii="仿宋" w:hAnsi="仿宋" w:eastAsia="仿宋"/>
          <w:sz w:val="30"/>
          <w:szCs w:val="30"/>
        </w:rPr>
        <w:t>项目名称：</w:t>
      </w:r>
      <w:r>
        <w:rPr>
          <w:rFonts w:hint="eastAsia" w:ascii="仿宋" w:hAnsi="仿宋" w:eastAsia="仿宋"/>
          <w:sz w:val="30"/>
          <w:szCs w:val="30"/>
          <w:lang w:val="en-US" w:eastAsia="zh-CN"/>
        </w:rPr>
        <w:t>秘境之眼福田红树林网络专线服务项目</w:t>
      </w:r>
      <w:r>
        <w:rPr>
          <w:rFonts w:hint="eastAsia" w:ascii="仿宋" w:hAnsi="仿宋" w:eastAsia="仿宋"/>
          <w:sz w:val="30"/>
          <w:szCs w:val="30"/>
        </w:rPr>
        <w:t>。</w:t>
      </w:r>
    </w:p>
    <w:p w14:paraId="2D297620">
      <w:pPr>
        <w:pStyle w:val="8"/>
        <w:adjustRightInd w:val="0"/>
        <w:spacing w:line="480" w:lineRule="exact"/>
        <w:ind w:firstLine="600"/>
        <w:jc w:val="left"/>
        <w:rPr>
          <w:rFonts w:hint="eastAsia" w:ascii="仿宋_GB2312" w:eastAsia="仿宋_GB2312"/>
          <w:color w:val="auto"/>
          <w:sz w:val="28"/>
          <w:szCs w:val="28"/>
          <w:lang w:eastAsia="zh-CN"/>
        </w:rPr>
      </w:pPr>
      <w:r>
        <w:rPr>
          <w:rFonts w:hint="eastAsia" w:ascii="仿宋" w:hAnsi="仿宋" w:eastAsia="仿宋"/>
          <w:sz w:val="30"/>
          <w:szCs w:val="30"/>
          <w:lang w:val="en-US" w:eastAsia="zh-CN"/>
        </w:rPr>
        <w:t>福田红树林建设了高清全景视频直播系统，通过秘境之眼网络专线传输到央视频及深圳市规划和自然资源管理局科普教育智慧导览系统，实现野生动植物资源高清实时视频直播。该网络专线由中国电信提供，</w:t>
      </w:r>
      <w:r>
        <w:rPr>
          <w:rFonts w:hint="eastAsia" w:ascii="仿宋_GB2312" w:eastAsia="仿宋_GB2312"/>
          <w:color w:val="auto"/>
          <w:sz w:val="28"/>
          <w:szCs w:val="28"/>
        </w:rPr>
        <w:t>已支付</w:t>
      </w:r>
      <w:r>
        <w:rPr>
          <w:rFonts w:ascii="仿宋_GB2312" w:eastAsia="仿宋_GB2312"/>
          <w:color w:val="auto"/>
          <w:sz w:val="28"/>
          <w:szCs w:val="28"/>
        </w:rPr>
        <w:t>的</w:t>
      </w:r>
      <w:r>
        <w:rPr>
          <w:rFonts w:hint="eastAsia" w:ascii="仿宋_GB2312" w:eastAsia="仿宋_GB2312"/>
          <w:color w:val="auto"/>
          <w:sz w:val="28"/>
          <w:szCs w:val="28"/>
        </w:rPr>
        <w:t>网络服务</w:t>
      </w:r>
      <w:r>
        <w:rPr>
          <w:rFonts w:ascii="仿宋_GB2312" w:eastAsia="仿宋_GB2312"/>
          <w:color w:val="auto"/>
          <w:sz w:val="28"/>
          <w:szCs w:val="28"/>
        </w:rPr>
        <w:t>费用</w:t>
      </w:r>
      <w:r>
        <w:rPr>
          <w:rFonts w:hint="eastAsia" w:ascii="仿宋_GB2312" w:eastAsia="仿宋_GB2312"/>
          <w:color w:val="auto"/>
          <w:sz w:val="28"/>
          <w:szCs w:val="28"/>
        </w:rPr>
        <w:t>可</w:t>
      </w:r>
      <w:r>
        <w:rPr>
          <w:rFonts w:ascii="仿宋_GB2312" w:eastAsia="仿宋_GB2312"/>
          <w:color w:val="auto"/>
          <w:sz w:val="28"/>
          <w:szCs w:val="28"/>
        </w:rPr>
        <w:t>使用至</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lang w:eastAsia="zh-CN"/>
        </w:rPr>
        <w:t>（</w:t>
      </w:r>
      <w:r>
        <w:rPr>
          <w:rFonts w:hint="eastAsia" w:ascii="仿宋_GB2312" w:eastAsia="仿宋_GB2312"/>
          <w:color w:val="auto"/>
          <w:sz w:val="28"/>
          <w:szCs w:val="28"/>
        </w:rPr>
        <w:t>该专线由我单位与深圳市规划和</w:t>
      </w:r>
      <w:r>
        <w:rPr>
          <w:rFonts w:hint="eastAsia" w:ascii="仿宋_GB2312" w:eastAsia="仿宋_GB2312"/>
          <w:color w:val="auto"/>
          <w:sz w:val="28"/>
          <w:szCs w:val="28"/>
          <w:lang w:val="en-US" w:eastAsia="zh-CN"/>
        </w:rPr>
        <w:t>自然</w:t>
      </w:r>
      <w:r>
        <w:rPr>
          <w:rFonts w:hint="eastAsia" w:ascii="仿宋_GB2312" w:eastAsia="仿宋_GB2312"/>
          <w:color w:val="auto"/>
          <w:sz w:val="28"/>
          <w:szCs w:val="28"/>
        </w:rPr>
        <w:t>资源局共同使用</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我单位支付合同总额50%款项，</w:t>
      </w:r>
      <w:r>
        <w:rPr>
          <w:rFonts w:hint="eastAsia" w:ascii="仿宋" w:hAnsi="仿宋" w:eastAsia="仿宋"/>
          <w:color w:val="auto"/>
          <w:sz w:val="30"/>
          <w:szCs w:val="30"/>
          <w:lang w:val="en-US" w:eastAsia="zh-CN"/>
        </w:rPr>
        <w:t>深圳市规划和自然资源局支出</w:t>
      </w:r>
      <w:r>
        <w:rPr>
          <w:rFonts w:hint="eastAsia" w:ascii="仿宋_GB2312" w:eastAsia="仿宋_GB2312"/>
          <w:color w:val="auto"/>
          <w:sz w:val="28"/>
          <w:szCs w:val="28"/>
          <w:lang w:val="en-US" w:eastAsia="zh-CN"/>
        </w:rPr>
        <w:t>合同总额50%款项</w:t>
      </w:r>
      <w:r>
        <w:rPr>
          <w:rFonts w:hint="eastAsia" w:ascii="仿宋" w:hAnsi="仿宋" w:eastAsia="仿宋"/>
          <w:color w:val="auto"/>
          <w:sz w:val="30"/>
          <w:szCs w:val="30"/>
          <w:lang w:val="en-US" w:eastAsia="zh-CN"/>
        </w:rPr>
        <w:t>，由我单位代付）</w:t>
      </w:r>
      <w:r>
        <w:rPr>
          <w:rFonts w:hint="eastAsia" w:ascii="仿宋_GB2312" w:eastAsia="仿宋_GB2312"/>
          <w:color w:val="auto"/>
          <w:sz w:val="28"/>
          <w:szCs w:val="28"/>
          <w:lang w:eastAsia="zh-CN"/>
        </w:rPr>
        <w:t>。</w:t>
      </w:r>
    </w:p>
    <w:p w14:paraId="1C9AA5F7">
      <w:pPr>
        <w:pStyle w:val="8"/>
        <w:adjustRightInd w:val="0"/>
        <w:spacing w:line="480" w:lineRule="exact"/>
        <w:ind w:firstLine="600"/>
        <w:jc w:val="left"/>
        <w:rPr>
          <w:rFonts w:ascii="仿宋" w:hAnsi="仿宋" w:eastAsia="仿宋"/>
          <w:sz w:val="30"/>
          <w:szCs w:val="30"/>
        </w:rPr>
      </w:pPr>
      <w:r>
        <w:rPr>
          <w:rFonts w:hint="eastAsia" w:ascii="仿宋" w:hAnsi="仿宋" w:eastAsia="仿宋"/>
          <w:sz w:val="30"/>
          <w:szCs w:val="30"/>
        </w:rPr>
        <w:t>为确保秘境之眼</w:t>
      </w:r>
      <w:r>
        <w:rPr>
          <w:rFonts w:hint="eastAsia" w:ascii="仿宋" w:hAnsi="仿宋" w:eastAsia="仿宋"/>
          <w:sz w:val="30"/>
          <w:szCs w:val="30"/>
          <w:lang w:val="en-US" w:eastAsia="zh-CN"/>
        </w:rPr>
        <w:t>福田红树林</w:t>
      </w:r>
      <w:r>
        <w:rPr>
          <w:rFonts w:hint="eastAsia" w:ascii="仿宋" w:hAnsi="仿宋" w:eastAsia="仿宋"/>
          <w:sz w:val="30"/>
          <w:szCs w:val="30"/>
        </w:rPr>
        <w:t>网络专线正常使用，现需支付下一年度（2025年12月</w:t>
      </w:r>
      <w:r>
        <w:rPr>
          <w:rFonts w:hint="eastAsia" w:ascii="仿宋" w:hAnsi="仿宋" w:eastAsia="仿宋"/>
          <w:sz w:val="30"/>
          <w:szCs w:val="30"/>
          <w:lang w:eastAsia="zh-CN"/>
        </w:rPr>
        <w:t>—</w:t>
      </w:r>
      <w:r>
        <w:rPr>
          <w:rFonts w:hint="eastAsia" w:ascii="仿宋" w:hAnsi="仿宋" w:eastAsia="仿宋"/>
          <w:sz w:val="30"/>
          <w:szCs w:val="30"/>
        </w:rPr>
        <w:t>2026年11月）的网络费用</w:t>
      </w:r>
      <w:r>
        <w:rPr>
          <w:rFonts w:hint="eastAsia" w:ascii="仿宋" w:hAnsi="仿宋" w:eastAsia="仿宋"/>
          <w:sz w:val="30"/>
          <w:szCs w:val="30"/>
          <w:lang w:eastAsia="zh-CN"/>
        </w:rPr>
        <w:t>，</w:t>
      </w:r>
      <w:r>
        <w:rPr>
          <w:rFonts w:hint="eastAsia" w:ascii="仿宋" w:hAnsi="仿宋" w:eastAsia="仿宋"/>
          <w:sz w:val="30"/>
          <w:szCs w:val="30"/>
        </w:rPr>
        <w:t>考虑</w:t>
      </w:r>
      <w:r>
        <w:rPr>
          <w:rFonts w:ascii="仿宋" w:hAnsi="仿宋" w:eastAsia="仿宋"/>
          <w:sz w:val="30"/>
          <w:szCs w:val="30"/>
        </w:rPr>
        <w:t>到</w:t>
      </w:r>
      <w:r>
        <w:rPr>
          <w:rFonts w:hint="eastAsia" w:ascii="仿宋" w:hAnsi="仿宋" w:eastAsia="仿宋"/>
          <w:sz w:val="30"/>
          <w:szCs w:val="30"/>
          <w:lang w:val="en-US" w:eastAsia="zh-CN"/>
        </w:rPr>
        <w:t>福田红树林</w:t>
      </w:r>
      <w:r>
        <w:rPr>
          <w:rFonts w:hint="eastAsia" w:ascii="仿宋" w:hAnsi="仿宋" w:eastAsia="仿宋"/>
          <w:sz w:val="30"/>
          <w:szCs w:val="30"/>
        </w:rPr>
        <w:t>的基本</w:t>
      </w:r>
      <w:r>
        <w:rPr>
          <w:rFonts w:ascii="仿宋" w:hAnsi="仿宋" w:eastAsia="仿宋"/>
          <w:sz w:val="30"/>
          <w:szCs w:val="30"/>
        </w:rPr>
        <w:t>情况</w:t>
      </w:r>
      <w:r>
        <w:rPr>
          <w:rFonts w:hint="eastAsia" w:ascii="仿宋" w:hAnsi="仿宋" w:eastAsia="仿宋"/>
          <w:sz w:val="30"/>
          <w:szCs w:val="30"/>
        </w:rPr>
        <w:t>，项目拟采用直接确定供应商方式由中国电信股份有限公司深圳福田区分公司</w:t>
      </w:r>
      <w:r>
        <w:rPr>
          <w:rFonts w:hint="eastAsia" w:ascii="仿宋_GB2312" w:eastAsia="仿宋_GB2312"/>
          <w:sz w:val="28"/>
          <w:szCs w:val="28"/>
        </w:rPr>
        <w:t>承担具体工作。</w:t>
      </w:r>
    </w:p>
    <w:p w14:paraId="1CEA2EB2">
      <w:pPr>
        <w:pStyle w:val="8"/>
        <w:adjustRightInd w:val="0"/>
        <w:spacing w:line="480" w:lineRule="exact"/>
        <w:ind w:firstLine="600"/>
        <w:jc w:val="left"/>
        <w:rPr>
          <w:rFonts w:hint="eastAsia" w:ascii="仿宋" w:hAnsi="仿宋" w:eastAsia="仿宋"/>
          <w:sz w:val="30"/>
          <w:szCs w:val="30"/>
        </w:rPr>
      </w:pPr>
      <w:r>
        <w:rPr>
          <w:rFonts w:hint="eastAsia" w:ascii="仿宋" w:hAnsi="仿宋" w:eastAsia="仿宋"/>
          <w:sz w:val="30"/>
          <w:szCs w:val="30"/>
        </w:rPr>
        <w:t>本项目预算金额：</w:t>
      </w:r>
      <w:r>
        <w:rPr>
          <w:rFonts w:hint="eastAsia" w:ascii="仿宋" w:hAnsi="仿宋" w:eastAsia="仿宋"/>
          <w:sz w:val="30"/>
          <w:szCs w:val="30"/>
          <w:lang w:val="en-US" w:eastAsia="zh-CN"/>
        </w:rPr>
        <w:t>12</w:t>
      </w:r>
      <w:r>
        <w:rPr>
          <w:rFonts w:hint="eastAsia" w:ascii="仿宋" w:hAnsi="仿宋" w:eastAsia="仿宋"/>
          <w:sz w:val="30"/>
          <w:szCs w:val="30"/>
        </w:rPr>
        <w:t>万元。</w:t>
      </w:r>
    </w:p>
    <w:p w14:paraId="2B534CFE">
      <w:pPr>
        <w:pStyle w:val="8"/>
        <w:adjustRightInd w:val="0"/>
        <w:spacing w:line="480" w:lineRule="exact"/>
        <w:ind w:firstLine="600"/>
        <w:jc w:val="left"/>
        <w:rPr>
          <w:rFonts w:hint="eastAsia" w:ascii="仿宋" w:hAnsi="仿宋" w:eastAsia="仿宋"/>
          <w:sz w:val="30"/>
          <w:szCs w:val="30"/>
        </w:rPr>
      </w:pPr>
    </w:p>
    <w:p w14:paraId="12AAE561">
      <w:pPr>
        <w:pStyle w:val="8"/>
        <w:adjustRightInd w:val="0"/>
        <w:spacing w:line="480" w:lineRule="exact"/>
        <w:ind w:firstLine="0" w:firstLineChars="0"/>
        <w:rPr>
          <w:rFonts w:ascii="仿宋" w:hAnsi="仿宋" w:eastAsia="仿宋"/>
          <w:b/>
          <w:bCs/>
          <w:sz w:val="30"/>
          <w:szCs w:val="30"/>
        </w:rPr>
      </w:pPr>
      <w:r>
        <w:rPr>
          <w:rFonts w:hint="eastAsia" w:ascii="仿宋" w:hAnsi="仿宋" w:eastAsia="仿宋"/>
          <w:b/>
          <w:bCs/>
          <w:sz w:val="30"/>
          <w:szCs w:val="30"/>
        </w:rPr>
        <w:t>二、项目管理和服务要求</w:t>
      </w:r>
    </w:p>
    <w:p w14:paraId="1E33B925">
      <w:pPr>
        <w:pStyle w:val="8"/>
        <w:adjustRightInd w:val="0"/>
        <w:spacing w:line="480" w:lineRule="exact"/>
        <w:ind w:firstLine="600"/>
        <w:rPr>
          <w:rFonts w:ascii="仿宋" w:hAnsi="仿宋" w:eastAsia="仿宋"/>
          <w:sz w:val="30"/>
          <w:szCs w:val="30"/>
        </w:rPr>
      </w:pPr>
      <w:r>
        <w:rPr>
          <w:rFonts w:hint="eastAsia" w:ascii="仿宋" w:hAnsi="仿宋" w:eastAsia="仿宋"/>
          <w:sz w:val="30"/>
          <w:szCs w:val="30"/>
        </w:rPr>
        <w:t>服务内容及要求如下：</w:t>
      </w:r>
    </w:p>
    <w:tbl>
      <w:tblPr>
        <w:tblStyle w:val="5"/>
        <w:tblW w:w="8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2748"/>
        <w:gridCol w:w="2749"/>
      </w:tblGrid>
      <w:tr w14:paraId="46F2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748" w:type="dxa"/>
            <w:vAlign w:val="center"/>
          </w:tcPr>
          <w:p w14:paraId="1A775E27">
            <w:pPr>
              <w:jc w:val="center"/>
            </w:pPr>
            <w:r>
              <w:rPr>
                <w:rFonts w:hint="eastAsia"/>
                <w:lang w:val="en-US" w:eastAsia="zh-CN"/>
              </w:rPr>
              <w:t>业务</w:t>
            </w:r>
            <w:r>
              <w:rPr>
                <w:rFonts w:hint="eastAsia"/>
              </w:rPr>
              <w:t>类型</w:t>
            </w:r>
          </w:p>
        </w:tc>
        <w:tc>
          <w:tcPr>
            <w:tcW w:w="2748" w:type="dxa"/>
            <w:vAlign w:val="center"/>
          </w:tcPr>
          <w:p w14:paraId="1AFC526A">
            <w:pPr>
              <w:jc w:val="center"/>
            </w:pPr>
            <w:r>
              <w:rPr>
                <w:rFonts w:hint="eastAsia"/>
              </w:rPr>
              <w:t>带宽（M）</w:t>
            </w:r>
          </w:p>
        </w:tc>
        <w:tc>
          <w:tcPr>
            <w:tcW w:w="2749" w:type="dxa"/>
            <w:vAlign w:val="center"/>
          </w:tcPr>
          <w:p w14:paraId="3B259EA0">
            <w:pPr>
              <w:jc w:val="center"/>
            </w:pPr>
            <w:r>
              <w:rPr>
                <w:rFonts w:hint="eastAsia"/>
              </w:rPr>
              <w:t>费用（元）</w:t>
            </w:r>
          </w:p>
        </w:tc>
      </w:tr>
      <w:tr w14:paraId="215D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748" w:type="dxa"/>
            <w:vAlign w:val="center"/>
          </w:tcPr>
          <w:p w14:paraId="5B1A4754">
            <w:pPr>
              <w:jc w:val="center"/>
              <w:rPr>
                <w:rFonts w:hint="default" w:eastAsiaTheme="minorEastAsia"/>
                <w:lang w:val="en-US" w:eastAsia="zh-CN"/>
              </w:rPr>
            </w:pPr>
            <w:r>
              <w:rPr>
                <w:rFonts w:hint="eastAsia" w:eastAsiaTheme="minorEastAsia"/>
                <w:lang w:val="en-US" w:eastAsia="zh-CN"/>
              </w:rPr>
              <w:t>IP城域网上网专线</w:t>
            </w:r>
          </w:p>
        </w:tc>
        <w:tc>
          <w:tcPr>
            <w:tcW w:w="2748" w:type="dxa"/>
            <w:vAlign w:val="center"/>
          </w:tcPr>
          <w:p w14:paraId="7FE0A54B">
            <w:pPr>
              <w:jc w:val="center"/>
              <w:rPr>
                <w:rFonts w:hint="default" w:eastAsia="宋体"/>
                <w:lang w:val="en-US" w:eastAsia="zh-CN"/>
              </w:rPr>
            </w:pPr>
            <w:r>
              <w:rPr>
                <w:rFonts w:hint="eastAsia"/>
                <w:lang w:val="en-US" w:eastAsia="zh-CN"/>
              </w:rPr>
              <w:t>100</w:t>
            </w:r>
          </w:p>
        </w:tc>
        <w:tc>
          <w:tcPr>
            <w:tcW w:w="2749" w:type="dxa"/>
            <w:vAlign w:val="center"/>
          </w:tcPr>
          <w:p w14:paraId="1B31532C">
            <w:pPr>
              <w:jc w:val="center"/>
            </w:pPr>
            <w:r>
              <w:rPr>
                <w:rFonts w:hint="eastAsia"/>
                <w:lang w:val="en-US" w:eastAsia="zh-CN"/>
              </w:rPr>
              <w:t>120000</w:t>
            </w:r>
            <w:r>
              <w:rPr>
                <w:rFonts w:hint="eastAsia"/>
              </w:rPr>
              <w:t>元/年</w:t>
            </w:r>
          </w:p>
        </w:tc>
      </w:tr>
    </w:tbl>
    <w:p w14:paraId="72B21A06">
      <w:pPr>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标准质量</w:t>
      </w:r>
      <w:r>
        <w:rPr>
          <w:rFonts w:hint="eastAsia" w:ascii="仿宋_GB2312" w:eastAsia="仿宋_GB2312"/>
          <w:sz w:val="28"/>
          <w:szCs w:val="28"/>
        </w:rPr>
        <w:t>：</w:t>
      </w:r>
    </w:p>
    <w:p w14:paraId="352606E8">
      <w:pPr>
        <w:ind w:firstLine="840" w:firstLineChars="300"/>
        <w:rPr>
          <w:rFonts w:ascii="仿宋_GB2312" w:eastAsia="仿宋_GB2312"/>
          <w:sz w:val="28"/>
          <w:szCs w:val="28"/>
        </w:rPr>
      </w:pPr>
      <w:r>
        <w:rPr>
          <w:rFonts w:hint="eastAsia" w:ascii="仿宋_GB2312" w:eastAsia="仿宋_GB2312"/>
          <w:sz w:val="28"/>
          <w:szCs w:val="28"/>
        </w:rPr>
        <w:t>1.1端口速率为</w:t>
      </w:r>
      <w:r>
        <w:rPr>
          <w:rFonts w:hint="eastAsia" w:ascii="仿宋_GB2312" w:eastAsia="仿宋_GB2312"/>
          <w:sz w:val="28"/>
          <w:szCs w:val="28"/>
          <w:lang w:val="en-US" w:eastAsia="zh-CN"/>
        </w:rPr>
        <w:t>100</w:t>
      </w:r>
      <w:r>
        <w:rPr>
          <w:rFonts w:hint="eastAsia" w:ascii="仿宋_GB2312" w:eastAsia="仿宋_GB2312"/>
          <w:sz w:val="28"/>
          <w:szCs w:val="28"/>
        </w:rPr>
        <w:t>M专线；</w:t>
      </w:r>
    </w:p>
    <w:p w14:paraId="23D4C64D">
      <w:pPr>
        <w:ind w:firstLine="840" w:firstLineChars="300"/>
        <w:rPr>
          <w:rFonts w:hint="eastAsia" w:ascii="仿宋_GB2312" w:eastAsia="仿宋_GB2312"/>
          <w:sz w:val="28"/>
          <w:szCs w:val="28"/>
        </w:rPr>
      </w:pPr>
      <w:r>
        <w:rPr>
          <w:rFonts w:hint="eastAsia" w:ascii="仿宋_GB2312" w:eastAsia="仿宋_GB2312"/>
          <w:sz w:val="28"/>
          <w:szCs w:val="28"/>
        </w:rPr>
        <w:t>1.2</w:t>
      </w:r>
      <w:r>
        <w:rPr>
          <w:rFonts w:hint="eastAsia" w:ascii="仿宋_GB2312" w:eastAsia="仿宋_GB2312"/>
          <w:sz w:val="28"/>
          <w:szCs w:val="28"/>
          <w:lang w:val="en-US" w:eastAsia="zh-CN"/>
        </w:rPr>
        <w:t>电路</w:t>
      </w:r>
      <w:r>
        <w:rPr>
          <w:rFonts w:hint="eastAsia" w:ascii="仿宋_GB2312" w:eastAsia="仿宋_GB2312"/>
          <w:sz w:val="28"/>
          <w:szCs w:val="28"/>
        </w:rPr>
        <w:t>可用率99%；</w:t>
      </w:r>
    </w:p>
    <w:p w14:paraId="75A0F821">
      <w:pPr>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1.3 平均故障修复时间4小时；</w:t>
      </w:r>
    </w:p>
    <w:p w14:paraId="0B1E4B1C">
      <w:pPr>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标准服务</w:t>
      </w:r>
      <w:r>
        <w:rPr>
          <w:rFonts w:hint="eastAsia" w:ascii="仿宋_GB2312" w:eastAsia="仿宋_GB2312"/>
          <w:sz w:val="28"/>
          <w:szCs w:val="28"/>
        </w:rPr>
        <w:t>：</w:t>
      </w:r>
    </w:p>
    <w:p w14:paraId="1D91FC70">
      <w:pPr>
        <w:ind w:firstLine="840" w:firstLineChars="300"/>
        <w:rPr>
          <w:rFonts w:ascii="仿宋_GB2312" w:eastAsia="仿宋_GB2312"/>
          <w:sz w:val="28"/>
          <w:szCs w:val="28"/>
        </w:rPr>
      </w:pPr>
      <w:r>
        <w:rPr>
          <w:rFonts w:hint="eastAsia" w:ascii="仿宋_GB2312" w:eastAsia="仿宋_GB2312"/>
          <w:sz w:val="28"/>
          <w:szCs w:val="28"/>
        </w:rPr>
        <w:t>2.1</w:t>
      </w:r>
      <w:r>
        <w:rPr>
          <w:rFonts w:hint="eastAsia" w:ascii="仿宋_GB2312" w:eastAsia="仿宋_GB2312"/>
          <w:sz w:val="28"/>
          <w:szCs w:val="28"/>
          <w:lang w:val="en-US" w:eastAsia="zh-CN"/>
        </w:rPr>
        <w:t>电路开通测试与交付服务</w:t>
      </w:r>
      <w:r>
        <w:rPr>
          <w:rFonts w:hint="eastAsia" w:ascii="仿宋_GB2312" w:eastAsia="仿宋_GB2312"/>
          <w:sz w:val="28"/>
          <w:szCs w:val="28"/>
        </w:rPr>
        <w:t>；</w:t>
      </w:r>
    </w:p>
    <w:p w14:paraId="4AAA251A">
      <w:pPr>
        <w:ind w:firstLine="840" w:firstLineChars="300"/>
        <w:rPr>
          <w:rFonts w:ascii="仿宋_GB2312" w:eastAsia="仿宋_GB2312"/>
          <w:sz w:val="28"/>
          <w:szCs w:val="28"/>
        </w:rPr>
      </w:pPr>
      <w:r>
        <w:rPr>
          <w:rFonts w:hint="eastAsia" w:ascii="仿宋_GB2312" w:eastAsia="仿宋_GB2312"/>
          <w:sz w:val="28"/>
          <w:szCs w:val="28"/>
        </w:rPr>
        <w:t>2.2</w:t>
      </w:r>
      <w:r>
        <w:rPr>
          <w:rFonts w:hint="eastAsia" w:ascii="仿宋_GB2312" w:eastAsia="仿宋_GB2312"/>
          <w:sz w:val="28"/>
          <w:szCs w:val="28"/>
          <w:lang w:val="en-US" w:eastAsia="zh-CN"/>
        </w:rPr>
        <w:t>全面网管监测与网络优化服务；</w:t>
      </w:r>
    </w:p>
    <w:p w14:paraId="3DA7E4E9">
      <w:pPr>
        <w:ind w:left="838" w:leftChars="399"/>
        <w:rPr>
          <w:rFonts w:hint="default" w:ascii="仿宋_GB2312" w:eastAsia="仿宋_GB2312"/>
          <w:sz w:val="28"/>
          <w:szCs w:val="28"/>
          <w:lang w:val="en-US" w:eastAsia="zh-CN"/>
        </w:rPr>
      </w:pPr>
      <w:r>
        <w:rPr>
          <w:rFonts w:hint="eastAsia" w:ascii="仿宋_GB2312" w:eastAsia="仿宋_GB2312"/>
          <w:sz w:val="28"/>
          <w:szCs w:val="28"/>
        </w:rPr>
        <w:t>2.3</w:t>
      </w:r>
      <w:r>
        <w:rPr>
          <w:rFonts w:hint="eastAsia" w:ascii="仿宋_GB2312" w:eastAsia="仿宋_GB2312"/>
          <w:sz w:val="28"/>
          <w:szCs w:val="28"/>
          <w:lang w:val="en-US" w:eastAsia="zh-CN"/>
        </w:rPr>
        <w:t xml:space="preserve"> 7x24小时客服热线10000+9或96686112，故障受理与咨询；</w:t>
      </w:r>
    </w:p>
    <w:p w14:paraId="7CEA33F6">
      <w:pPr>
        <w:ind w:firstLine="840" w:firstLineChars="300"/>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2.4 </w:t>
      </w:r>
      <w:r>
        <w:rPr>
          <w:rFonts w:hint="eastAsia" w:ascii="仿宋_GB2312" w:eastAsia="仿宋_GB2312"/>
          <w:sz w:val="28"/>
          <w:szCs w:val="28"/>
        </w:rPr>
        <w:t>一次性费用为0元。</w:t>
      </w:r>
    </w:p>
    <w:p w14:paraId="5A055FD1">
      <w:pPr>
        <w:ind w:left="838" w:leftChars="399"/>
        <w:rPr>
          <w:rFonts w:hint="eastAsia" w:ascii="仿宋_GB2312" w:eastAsia="仿宋_GB2312"/>
          <w:sz w:val="28"/>
          <w:szCs w:val="28"/>
          <w:lang w:val="en-US" w:eastAsia="zh-CN"/>
        </w:rPr>
      </w:pPr>
    </w:p>
    <w:p w14:paraId="14D6E32B">
      <w:pPr>
        <w:pStyle w:val="8"/>
        <w:adjustRightInd w:val="0"/>
        <w:spacing w:line="480" w:lineRule="exact"/>
        <w:ind w:firstLine="0" w:firstLineChars="0"/>
        <w:rPr>
          <w:rFonts w:ascii="仿宋" w:hAnsi="仿宋" w:eastAsia="仿宋"/>
          <w:b/>
          <w:bCs/>
          <w:sz w:val="30"/>
          <w:szCs w:val="30"/>
        </w:rPr>
      </w:pPr>
      <w:r>
        <w:rPr>
          <w:rFonts w:hint="eastAsia" w:ascii="仿宋" w:hAnsi="仿宋" w:eastAsia="仿宋"/>
          <w:b/>
          <w:bCs/>
          <w:sz w:val="30"/>
          <w:szCs w:val="30"/>
        </w:rPr>
        <w:t>三、供应商资格要求</w:t>
      </w:r>
    </w:p>
    <w:p w14:paraId="3FC35EF7">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（1）具有独立法人资格或具有独立承担民事责任的能力的</w:t>
      </w:r>
      <w:r>
        <w:rPr>
          <w:rFonts w:hint="eastAsia" w:ascii="仿宋" w:hAnsi="仿宋" w:eastAsia="仿宋"/>
          <w:sz w:val="28"/>
          <w:szCs w:val="28"/>
          <w:lang w:eastAsia="zh-CN"/>
        </w:rPr>
        <w:t>其他组织</w:t>
      </w:r>
      <w:r>
        <w:rPr>
          <w:rFonts w:hint="eastAsia" w:ascii="仿宋" w:hAnsi="仿宋" w:eastAsia="仿宋"/>
          <w:sz w:val="28"/>
          <w:szCs w:val="28"/>
        </w:rPr>
        <w:t>（提供营业执照或事业单位法人证等法人证明扫描件，原件备查）。</w:t>
      </w:r>
    </w:p>
    <w:p w14:paraId="170B4E21">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（2）参与本项目投标前三年内，在经营活动中没有重大违法记录（由供应商在《政府采购投标及履约承诺函》中作出声明）。</w:t>
      </w:r>
    </w:p>
    <w:p w14:paraId="7CDF61D9">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（3）参与本项目政府采购活动时不存在被有关部门禁止参与政府采购活动且在有效期内的情况（由供应商在《政府采购投标及履约承诺函》中作出声明）。</w:t>
      </w:r>
    </w:p>
    <w:p w14:paraId="7E386266">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（4）具备《中华人民共和国政府采购法》第二十二条第一款的条件（由供应商在《政府采购投标及履约承诺函》中作出声明）。</w:t>
      </w:r>
    </w:p>
    <w:p w14:paraId="24A376E5">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（5）未被列入失信被执行人、重大税收违法案件当事人名单、政府采购严重违法失信行为记录名单（由供应商在《政府采购投标及履约承诺函》中作出声明）。</w:t>
      </w:r>
    </w:p>
    <w:p w14:paraId="5F2A556C">
      <w:pPr>
        <w:pStyle w:val="8"/>
        <w:adjustRightInd w:val="0"/>
        <w:spacing w:line="480" w:lineRule="exact"/>
        <w:ind w:firstLine="280" w:firstLineChars="100"/>
        <w:rPr>
          <w:rFonts w:ascii="仿宋" w:hAnsi="仿宋" w:eastAsia="仿宋"/>
          <w:sz w:val="28"/>
          <w:szCs w:val="28"/>
        </w:rPr>
      </w:pPr>
      <w:r>
        <w:rPr>
          <w:rFonts w:hint="eastAsia" w:ascii="仿宋" w:hAnsi="仿宋" w:eastAsia="仿宋"/>
          <w:sz w:val="28"/>
          <w:szCs w:val="28"/>
        </w:rPr>
        <w:t>（6）本项目不接受联合体投标，不允许分包或转包。</w:t>
      </w:r>
    </w:p>
    <w:p w14:paraId="08A28CB8">
      <w:pPr>
        <w:pStyle w:val="8"/>
        <w:adjustRightInd w:val="0"/>
        <w:spacing w:line="480" w:lineRule="exact"/>
        <w:ind w:firstLine="300" w:firstLineChars="100"/>
        <w:rPr>
          <w:rFonts w:ascii="仿宋" w:hAnsi="仿宋" w:eastAsia="仿宋"/>
          <w:sz w:val="30"/>
          <w:szCs w:val="30"/>
        </w:rPr>
      </w:pPr>
    </w:p>
    <w:p w14:paraId="42FB46BC">
      <w:pPr>
        <w:pStyle w:val="8"/>
        <w:adjustRightInd w:val="0"/>
        <w:spacing w:line="480" w:lineRule="exact"/>
        <w:ind w:firstLine="0" w:firstLineChars="0"/>
        <w:rPr>
          <w:rFonts w:ascii="仿宋" w:hAnsi="仿宋" w:eastAsia="仿宋"/>
          <w:sz w:val="30"/>
          <w:szCs w:val="30"/>
        </w:rPr>
      </w:pPr>
      <w:r>
        <w:rPr>
          <w:rFonts w:hint="eastAsia" w:ascii="仿宋" w:hAnsi="仿宋" w:eastAsia="仿宋"/>
          <w:b/>
          <w:bCs/>
          <w:sz w:val="30"/>
          <w:szCs w:val="30"/>
        </w:rPr>
        <w:t>四、评标定标方法</w:t>
      </w:r>
    </w:p>
    <w:p w14:paraId="5831ECBD">
      <w:pPr>
        <w:pStyle w:val="8"/>
        <w:adjustRightInd w:val="0"/>
        <w:spacing w:line="480" w:lineRule="exact"/>
        <w:ind w:firstLine="300" w:firstLineChars="100"/>
        <w:rPr>
          <w:rFonts w:ascii="仿宋" w:hAnsi="仿宋" w:eastAsia="仿宋_GB2312"/>
          <w:color w:val="auto"/>
          <w:sz w:val="30"/>
          <w:szCs w:val="30"/>
        </w:rPr>
      </w:pPr>
      <w:r>
        <w:rPr>
          <w:rFonts w:hint="eastAsia" w:ascii="仿宋" w:hAnsi="仿宋" w:eastAsia="仿宋"/>
          <w:color w:val="auto"/>
          <w:sz w:val="30"/>
          <w:szCs w:val="30"/>
        </w:rPr>
        <w:t>本项目拟采用直接确定供应商方式采购，由中国电信股份有限公司深圳福田区分公司</w:t>
      </w:r>
      <w:r>
        <w:rPr>
          <w:rFonts w:hint="eastAsia" w:ascii="仿宋_GB2312" w:eastAsia="仿宋_GB2312"/>
          <w:color w:val="auto"/>
          <w:sz w:val="28"/>
          <w:szCs w:val="28"/>
        </w:rPr>
        <w:t>承担具体工作。</w:t>
      </w:r>
    </w:p>
    <w:p w14:paraId="7F08064A">
      <w:pPr>
        <w:pStyle w:val="8"/>
        <w:adjustRightInd w:val="0"/>
        <w:spacing w:line="480" w:lineRule="exact"/>
        <w:ind w:firstLine="300" w:firstLineChars="100"/>
        <w:rPr>
          <w:rFonts w:ascii="仿宋" w:hAnsi="仿宋" w:eastAsia="仿宋"/>
          <w:color w:val="auto"/>
          <w:sz w:val="30"/>
          <w:szCs w:val="30"/>
        </w:rPr>
      </w:pPr>
    </w:p>
    <w:p w14:paraId="7036CA2A">
      <w:pPr>
        <w:pStyle w:val="8"/>
        <w:adjustRightInd w:val="0"/>
        <w:spacing w:line="480" w:lineRule="exact"/>
        <w:ind w:firstLine="0" w:firstLineChars="0"/>
        <w:rPr>
          <w:rFonts w:ascii="仿宋" w:hAnsi="仿宋" w:eastAsia="仿宋"/>
          <w:color w:val="auto"/>
          <w:sz w:val="30"/>
          <w:szCs w:val="30"/>
        </w:rPr>
      </w:pPr>
      <w:r>
        <w:rPr>
          <w:rFonts w:hint="eastAsia" w:ascii="仿宋" w:hAnsi="仿宋" w:eastAsia="仿宋"/>
          <w:b/>
          <w:bCs/>
          <w:color w:val="auto"/>
          <w:sz w:val="30"/>
          <w:szCs w:val="30"/>
        </w:rPr>
        <w:t>五、商务需求</w:t>
      </w:r>
    </w:p>
    <w:p w14:paraId="6BAA479A">
      <w:pPr>
        <w:pStyle w:val="8"/>
        <w:adjustRightInd w:val="0"/>
        <w:spacing w:line="480" w:lineRule="exact"/>
        <w:ind w:firstLine="300" w:firstLineChars="100"/>
        <w:rPr>
          <w:rFonts w:ascii="仿宋" w:hAnsi="仿宋" w:eastAsia="仿宋"/>
          <w:color w:val="auto"/>
          <w:sz w:val="28"/>
          <w:szCs w:val="28"/>
        </w:rPr>
      </w:pPr>
      <w:r>
        <w:rPr>
          <w:rFonts w:hint="eastAsia" w:ascii="仿宋" w:hAnsi="仿宋" w:eastAsia="仿宋"/>
          <w:color w:val="auto"/>
          <w:sz w:val="30"/>
          <w:szCs w:val="30"/>
        </w:rPr>
        <w:t>（一）服务期：202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年12月</w:t>
      </w:r>
      <w:r>
        <w:rPr>
          <w:rFonts w:hint="eastAsia" w:ascii="仿宋" w:hAnsi="仿宋" w:eastAsia="仿宋"/>
          <w:color w:val="auto"/>
          <w:sz w:val="30"/>
          <w:szCs w:val="30"/>
          <w:lang w:eastAsia="zh-CN"/>
        </w:rPr>
        <w:t>—</w:t>
      </w:r>
      <w:r>
        <w:rPr>
          <w:rFonts w:hint="eastAsia" w:ascii="仿宋" w:hAnsi="仿宋" w:eastAsia="仿宋"/>
          <w:color w:val="auto"/>
          <w:sz w:val="30"/>
          <w:szCs w:val="30"/>
        </w:rPr>
        <w:t>202</w:t>
      </w:r>
      <w:r>
        <w:rPr>
          <w:rFonts w:hint="eastAsia" w:ascii="仿宋" w:hAnsi="仿宋" w:eastAsia="仿宋"/>
          <w:color w:val="auto"/>
          <w:sz w:val="30"/>
          <w:szCs w:val="30"/>
          <w:lang w:val="en-US" w:eastAsia="zh-CN"/>
        </w:rPr>
        <w:t>6</w:t>
      </w:r>
      <w:r>
        <w:rPr>
          <w:rFonts w:hint="eastAsia" w:ascii="仿宋" w:hAnsi="仿宋" w:eastAsia="仿宋"/>
          <w:color w:val="auto"/>
          <w:sz w:val="30"/>
          <w:szCs w:val="30"/>
        </w:rPr>
        <w:t>年11月</w:t>
      </w:r>
      <w:r>
        <w:rPr>
          <w:rFonts w:hint="eastAsia" w:ascii="仿宋" w:hAnsi="仿宋" w:eastAsia="仿宋"/>
          <w:color w:val="auto"/>
          <w:sz w:val="28"/>
          <w:szCs w:val="28"/>
        </w:rPr>
        <w:t>。</w:t>
      </w:r>
    </w:p>
    <w:p w14:paraId="6BBC60C1">
      <w:pPr>
        <w:pStyle w:val="8"/>
        <w:adjustRightInd w:val="0"/>
        <w:spacing w:line="480" w:lineRule="exact"/>
        <w:ind w:firstLine="300" w:firstLineChars="100"/>
        <w:rPr>
          <w:rFonts w:ascii="仿宋" w:hAnsi="仿宋" w:eastAsia="仿宋"/>
          <w:color w:val="auto"/>
          <w:sz w:val="28"/>
          <w:szCs w:val="28"/>
        </w:rPr>
      </w:pPr>
      <w:r>
        <w:rPr>
          <w:rFonts w:hint="eastAsia" w:ascii="仿宋" w:hAnsi="仿宋" w:eastAsia="仿宋"/>
          <w:color w:val="auto"/>
          <w:sz w:val="30"/>
          <w:szCs w:val="30"/>
        </w:rPr>
        <w:t>（二）服务地点：</w:t>
      </w:r>
      <w:r>
        <w:rPr>
          <w:rFonts w:hint="eastAsia" w:ascii="仿宋" w:hAnsi="仿宋" w:eastAsia="仿宋"/>
          <w:color w:val="auto"/>
          <w:sz w:val="28"/>
          <w:szCs w:val="28"/>
        </w:rPr>
        <w:t>深圳市。</w:t>
      </w:r>
    </w:p>
    <w:p w14:paraId="3CD6B43E">
      <w:pPr>
        <w:pStyle w:val="8"/>
        <w:adjustRightInd w:val="0"/>
        <w:spacing w:line="480" w:lineRule="exact"/>
        <w:ind w:firstLine="300" w:firstLineChars="100"/>
        <w:rPr>
          <w:rFonts w:ascii="仿宋" w:hAnsi="仿宋" w:eastAsia="仿宋"/>
          <w:color w:val="auto"/>
          <w:sz w:val="30"/>
          <w:szCs w:val="30"/>
        </w:rPr>
      </w:pPr>
      <w:r>
        <w:rPr>
          <w:rFonts w:hint="eastAsia" w:ascii="仿宋" w:hAnsi="仿宋" w:eastAsia="仿宋"/>
          <w:color w:val="auto"/>
          <w:sz w:val="30"/>
          <w:szCs w:val="30"/>
        </w:rPr>
        <w:t>（三）报价要求：</w:t>
      </w:r>
    </w:p>
    <w:p w14:paraId="4BBBE3B8">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1.本项目服务费采用包干制，应包括服务成本、法定税费和企业的利润。由投标供应商根据采购文件所提供的资料自行测算投标报价；一经中标，报价总价作为中标供应商与采购人</w:t>
      </w:r>
      <w:r>
        <w:rPr>
          <w:rFonts w:hint="eastAsia" w:ascii="仿宋" w:hAnsi="仿宋" w:eastAsia="仿宋"/>
          <w:color w:val="auto"/>
          <w:sz w:val="28"/>
          <w:szCs w:val="28"/>
          <w:lang w:eastAsia="zh-CN"/>
        </w:rPr>
        <w:t>签订</w:t>
      </w:r>
      <w:r>
        <w:rPr>
          <w:rFonts w:hint="eastAsia" w:ascii="仿宋" w:hAnsi="仿宋" w:eastAsia="仿宋"/>
          <w:color w:val="auto"/>
          <w:sz w:val="28"/>
          <w:szCs w:val="28"/>
        </w:rPr>
        <w:t>的合同金额，合同期限内</w:t>
      </w:r>
      <w:r>
        <w:rPr>
          <w:rFonts w:hint="eastAsia" w:ascii="仿宋" w:hAnsi="仿宋" w:eastAsia="仿宋"/>
          <w:color w:val="auto"/>
          <w:sz w:val="28"/>
          <w:szCs w:val="28"/>
          <w:lang w:eastAsia="zh-CN"/>
        </w:rPr>
        <w:t>不作</w:t>
      </w:r>
      <w:r>
        <w:rPr>
          <w:rFonts w:hint="eastAsia" w:ascii="仿宋" w:hAnsi="仿宋" w:eastAsia="仿宋"/>
          <w:color w:val="auto"/>
          <w:sz w:val="28"/>
          <w:szCs w:val="28"/>
        </w:rPr>
        <w:t>调整。</w:t>
      </w:r>
    </w:p>
    <w:p w14:paraId="376F4202">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2.投标供应商应当根据本企业的成本自行决定报价，但不得以低于其企业成本的报价投标。</w:t>
      </w:r>
    </w:p>
    <w:p w14:paraId="1AE2F2E0">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3.投标供应商的报价不得超过项目预算金额。</w:t>
      </w:r>
    </w:p>
    <w:p w14:paraId="4F13F37B">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4.投标供应商的报价，应当是本项目采购范围和采购文件及合同条款上所列的各项内容中所述的全部，不得以任何理由予以重复。</w:t>
      </w:r>
    </w:p>
    <w:p w14:paraId="34FE40C0">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5.除非采购人通过修改采购文件予以更正，否则，投标供应商应毫无例外地按响应文件所列的清单中项目和数量填报综合单价和合价。投标供应商未填综合单价或合价的项目，在实施后，将</w:t>
      </w:r>
      <w:r>
        <w:rPr>
          <w:rFonts w:hint="eastAsia" w:ascii="仿宋" w:hAnsi="仿宋" w:eastAsia="仿宋"/>
          <w:color w:val="auto"/>
          <w:sz w:val="28"/>
          <w:szCs w:val="28"/>
          <w:lang w:eastAsia="zh-CN"/>
        </w:rPr>
        <w:t>不得</w:t>
      </w:r>
      <w:r>
        <w:rPr>
          <w:rFonts w:hint="eastAsia" w:ascii="仿宋" w:hAnsi="仿宋" w:eastAsia="仿宋"/>
          <w:color w:val="auto"/>
          <w:sz w:val="28"/>
          <w:szCs w:val="28"/>
        </w:rPr>
        <w:t>支付，并视作该项费用已包括在其它有价款的综合单价或合价内。</w:t>
      </w:r>
    </w:p>
    <w:p w14:paraId="1FFE0DEA">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6.投标供应商应先到项目地点踏勘以充分了解项目的位置、情况、道路及任何</w:t>
      </w:r>
      <w:r>
        <w:rPr>
          <w:rFonts w:hint="eastAsia" w:ascii="仿宋" w:hAnsi="仿宋" w:eastAsia="仿宋"/>
          <w:color w:val="auto"/>
          <w:sz w:val="28"/>
          <w:szCs w:val="28"/>
          <w:lang w:eastAsia="zh-CN"/>
        </w:rPr>
        <w:t>其他</w:t>
      </w:r>
      <w:r>
        <w:rPr>
          <w:rFonts w:hint="eastAsia" w:ascii="仿宋" w:hAnsi="仿宋" w:eastAsia="仿宋"/>
          <w:color w:val="auto"/>
          <w:sz w:val="28"/>
          <w:szCs w:val="28"/>
        </w:rPr>
        <w:t>足以影响投标报价的情况，任何因忽视或误解项目情况而导致的索赔或服务期限延长申请将不获批准。</w:t>
      </w:r>
    </w:p>
    <w:p w14:paraId="65F15ECD">
      <w:pPr>
        <w:pStyle w:val="8"/>
        <w:adjustRightInd w:val="0"/>
        <w:spacing w:line="480" w:lineRule="exact"/>
        <w:ind w:firstLine="560"/>
        <w:rPr>
          <w:rFonts w:ascii="仿宋" w:hAnsi="仿宋" w:eastAsia="仿宋"/>
          <w:color w:val="auto"/>
          <w:sz w:val="30"/>
          <w:szCs w:val="30"/>
        </w:rPr>
      </w:pPr>
      <w:r>
        <w:rPr>
          <w:rFonts w:hint="eastAsia" w:ascii="仿宋" w:hAnsi="仿宋" w:eastAsia="仿宋"/>
          <w:color w:val="auto"/>
          <w:sz w:val="28"/>
          <w:szCs w:val="28"/>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1A3E48CE">
      <w:pPr>
        <w:pStyle w:val="8"/>
        <w:adjustRightInd w:val="0"/>
        <w:spacing w:line="480" w:lineRule="exact"/>
        <w:ind w:firstLine="300" w:firstLineChars="100"/>
        <w:rPr>
          <w:rFonts w:ascii="仿宋" w:hAnsi="仿宋" w:eastAsia="仿宋"/>
          <w:color w:val="auto"/>
          <w:sz w:val="28"/>
          <w:szCs w:val="28"/>
        </w:rPr>
      </w:pPr>
      <w:r>
        <w:rPr>
          <w:rFonts w:hint="eastAsia" w:ascii="仿宋" w:hAnsi="仿宋" w:eastAsia="仿宋"/>
          <w:color w:val="auto"/>
          <w:sz w:val="30"/>
          <w:szCs w:val="30"/>
        </w:rPr>
        <w:t>（四）付款方式：</w:t>
      </w:r>
    </w:p>
    <w:p w14:paraId="21566E41">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1.本合同款项为预付款结算，甲乙双方合同签订后一次通过预存</w:t>
      </w:r>
      <w:r>
        <w:rPr>
          <w:rFonts w:hint="eastAsia" w:ascii="仿宋" w:hAnsi="仿宋" w:eastAsia="仿宋"/>
          <w:color w:val="auto"/>
          <w:sz w:val="28"/>
          <w:szCs w:val="28"/>
          <w:lang w:eastAsia="zh-CN"/>
        </w:rPr>
        <w:t>转账方式</w:t>
      </w:r>
      <w:r>
        <w:rPr>
          <w:rFonts w:hint="eastAsia" w:ascii="仿宋" w:hAnsi="仿宋" w:eastAsia="仿宋"/>
          <w:color w:val="auto"/>
          <w:sz w:val="28"/>
          <w:szCs w:val="28"/>
        </w:rPr>
        <w:t>支付合同总额到乙方</w:t>
      </w:r>
      <w:r>
        <w:rPr>
          <w:rFonts w:hint="eastAsia" w:ascii="仿宋" w:hAnsi="仿宋" w:eastAsia="仿宋"/>
          <w:color w:val="auto"/>
          <w:sz w:val="28"/>
          <w:szCs w:val="28"/>
          <w:lang w:eastAsia="zh-CN"/>
        </w:rPr>
        <w:t>指定账户</w:t>
      </w:r>
      <w:r>
        <w:rPr>
          <w:rFonts w:hint="eastAsia" w:ascii="仿宋" w:hAnsi="仿宋" w:eastAsia="仿宋"/>
          <w:color w:val="auto"/>
          <w:sz w:val="28"/>
          <w:szCs w:val="28"/>
        </w:rPr>
        <w:t>；</w:t>
      </w:r>
    </w:p>
    <w:p w14:paraId="5896B69C">
      <w:pPr>
        <w:pStyle w:val="8"/>
        <w:adjustRightInd w:val="0"/>
        <w:spacing w:line="480" w:lineRule="exact"/>
        <w:ind w:firstLine="560"/>
        <w:rPr>
          <w:rFonts w:ascii="仿宋" w:hAnsi="仿宋" w:eastAsia="仿宋"/>
          <w:color w:val="auto"/>
          <w:sz w:val="28"/>
          <w:szCs w:val="28"/>
        </w:rPr>
      </w:pPr>
      <w:r>
        <w:rPr>
          <w:rFonts w:hint="eastAsia" w:ascii="仿宋" w:hAnsi="仿宋" w:eastAsia="仿宋"/>
          <w:color w:val="auto"/>
          <w:sz w:val="28"/>
          <w:szCs w:val="28"/>
        </w:rPr>
        <w:t>2.甲方通过预存</w:t>
      </w:r>
      <w:r>
        <w:rPr>
          <w:rFonts w:hint="eastAsia" w:ascii="仿宋" w:hAnsi="仿宋" w:eastAsia="仿宋"/>
          <w:color w:val="auto"/>
          <w:sz w:val="28"/>
          <w:szCs w:val="28"/>
          <w:lang w:eastAsia="zh-CN"/>
        </w:rPr>
        <w:t>转账方式</w:t>
      </w:r>
      <w:r>
        <w:rPr>
          <w:rFonts w:hint="eastAsia" w:ascii="仿宋" w:hAnsi="仿宋" w:eastAsia="仿宋"/>
          <w:color w:val="auto"/>
          <w:sz w:val="28"/>
          <w:szCs w:val="28"/>
        </w:rPr>
        <w:t>支付合同总额到乙方</w:t>
      </w:r>
      <w:r>
        <w:rPr>
          <w:rFonts w:hint="eastAsia" w:ascii="仿宋" w:hAnsi="仿宋" w:eastAsia="仿宋"/>
          <w:color w:val="auto"/>
          <w:sz w:val="28"/>
          <w:szCs w:val="28"/>
          <w:lang w:eastAsia="zh-CN"/>
        </w:rPr>
        <w:t>指定账户</w:t>
      </w:r>
      <w:r>
        <w:rPr>
          <w:rFonts w:hint="eastAsia" w:ascii="仿宋" w:hAnsi="仿宋" w:eastAsia="仿宋"/>
          <w:color w:val="auto"/>
          <w:sz w:val="28"/>
          <w:szCs w:val="28"/>
        </w:rPr>
        <w:t>后，乙方提供发票。</w:t>
      </w:r>
    </w:p>
    <w:p w14:paraId="503C10D9">
      <w:pPr>
        <w:pStyle w:val="8"/>
        <w:adjustRightInd w:val="0"/>
        <w:spacing w:line="480" w:lineRule="exact"/>
        <w:ind w:firstLine="300" w:firstLineChars="100"/>
        <w:rPr>
          <w:rFonts w:ascii="仿宋" w:hAnsi="仿宋" w:eastAsia="仿宋"/>
          <w:sz w:val="30"/>
          <w:szCs w:val="30"/>
        </w:rPr>
      </w:pPr>
      <w:r>
        <w:rPr>
          <w:rFonts w:hint="eastAsia" w:ascii="仿宋" w:hAnsi="仿宋" w:eastAsia="仿宋"/>
          <w:sz w:val="30"/>
          <w:szCs w:val="30"/>
        </w:rPr>
        <w:t>（五）履约担保金：</w:t>
      </w:r>
      <w:r>
        <w:rPr>
          <w:rFonts w:hint="eastAsia" w:ascii="仿宋" w:hAnsi="仿宋" w:eastAsia="仿宋"/>
          <w:sz w:val="28"/>
          <w:szCs w:val="28"/>
        </w:rPr>
        <w:t>无。</w:t>
      </w:r>
    </w:p>
    <w:p w14:paraId="3A427B51">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（六）违约责任：</w:t>
      </w:r>
      <w:r>
        <w:rPr>
          <w:rFonts w:hint="eastAsia" w:ascii="仿宋" w:hAnsi="仿宋" w:eastAsia="仿宋"/>
          <w:sz w:val="28"/>
          <w:szCs w:val="28"/>
        </w:rPr>
        <w:t>如未按质、按量、按时完成工作，应在两个月内负责返工改进直至符合标准为止。如给甲方造成损失的，应当赔偿损失。</w:t>
      </w:r>
    </w:p>
    <w:p w14:paraId="4B16D492">
      <w:pPr>
        <w:pStyle w:val="8"/>
        <w:adjustRightInd w:val="0"/>
        <w:spacing w:line="480" w:lineRule="exact"/>
        <w:ind w:firstLine="300" w:firstLineChars="100"/>
        <w:rPr>
          <w:rFonts w:ascii="仿宋" w:hAnsi="仿宋" w:eastAsia="仿宋"/>
          <w:sz w:val="28"/>
          <w:szCs w:val="28"/>
        </w:rPr>
      </w:pPr>
      <w:r>
        <w:rPr>
          <w:rFonts w:hint="eastAsia" w:ascii="仿宋" w:hAnsi="仿宋" w:eastAsia="仿宋"/>
          <w:sz w:val="30"/>
          <w:szCs w:val="30"/>
        </w:rPr>
        <w:t>（七）其他：</w:t>
      </w:r>
      <w:r>
        <w:rPr>
          <w:rFonts w:hint="eastAsia" w:ascii="仿宋" w:hAnsi="仿宋" w:eastAsia="仿宋"/>
          <w:sz w:val="28"/>
          <w:szCs w:val="28"/>
        </w:rPr>
        <w:t>廉政建设要求为加强廉政建设，投标人在投标时，必须签署《政府采购投标及履约承诺函》，否则作废标处理。</w:t>
      </w:r>
    </w:p>
    <w:p w14:paraId="01315CCF">
      <w:pPr>
        <w:pStyle w:val="8"/>
        <w:adjustRightInd w:val="0"/>
        <w:spacing w:line="480" w:lineRule="exact"/>
        <w:ind w:firstLine="300" w:firstLineChars="100"/>
        <w:rPr>
          <w:rFonts w:ascii="仿宋" w:hAnsi="仿宋" w:eastAsia="仿宋"/>
          <w:sz w:val="30"/>
          <w:szCs w:val="30"/>
        </w:rPr>
      </w:pPr>
    </w:p>
    <w:p w14:paraId="63B8FE5D">
      <w:pPr>
        <w:pStyle w:val="8"/>
        <w:adjustRightInd w:val="0"/>
        <w:spacing w:line="480" w:lineRule="exact"/>
        <w:ind w:firstLine="300" w:firstLineChars="100"/>
        <w:rPr>
          <w:rFonts w:ascii="仿宋" w:hAnsi="仿宋" w:eastAsia="仿宋"/>
          <w:sz w:val="30"/>
          <w:szCs w:val="30"/>
        </w:rPr>
      </w:pPr>
    </w:p>
    <w:p w14:paraId="478C6715">
      <w:pPr>
        <w:pStyle w:val="8"/>
        <w:adjustRightInd w:val="0"/>
        <w:spacing w:line="480" w:lineRule="exact"/>
        <w:ind w:firstLine="300" w:firstLineChars="100"/>
        <w:rPr>
          <w:rFonts w:ascii="仿宋" w:hAnsi="仿宋" w:eastAsia="仿宋"/>
          <w:sz w:val="30"/>
          <w:szCs w:val="30"/>
        </w:rPr>
      </w:pPr>
    </w:p>
    <w:p w14:paraId="634E2EDF">
      <w:pPr>
        <w:pStyle w:val="7"/>
      </w:pPr>
    </w:p>
    <w:p w14:paraId="42CF4CAE">
      <w:pPr>
        <w:pStyle w:val="7"/>
      </w:pPr>
    </w:p>
    <w:p w14:paraId="3FF11B65">
      <w:pPr>
        <w:widowControl/>
        <w:jc w:val="left"/>
        <w:rPr>
          <w:rFonts w:ascii="仿宋" w:hAnsi="仿宋" w:eastAsia="仿宋"/>
          <w:sz w:val="32"/>
          <w:szCs w:val="24"/>
        </w:rPr>
      </w:pPr>
      <w:r>
        <w:rPr>
          <w:rFonts w:ascii="仿宋" w:hAnsi="仿宋" w:eastAsia="仿宋"/>
          <w:sz w:val="32"/>
          <w:szCs w:val="24"/>
        </w:rPr>
        <w:br w:type="page"/>
      </w:r>
    </w:p>
    <w:p w14:paraId="087A3007">
      <w:pPr>
        <w:pStyle w:val="8"/>
        <w:adjustRightInd w:val="0"/>
        <w:spacing w:line="580" w:lineRule="exact"/>
        <w:ind w:firstLine="0" w:firstLineChars="0"/>
        <w:rPr>
          <w:rFonts w:ascii="仿宋" w:hAnsi="仿宋" w:eastAsia="仿宋"/>
        </w:rPr>
      </w:pPr>
      <w:r>
        <w:rPr>
          <w:rFonts w:hint="eastAsia" w:ascii="仿宋" w:hAnsi="仿宋" w:eastAsia="仿宋"/>
          <w:sz w:val="32"/>
          <w:szCs w:val="24"/>
        </w:rPr>
        <w:t>附件：</w:t>
      </w:r>
    </w:p>
    <w:p w14:paraId="1778032B">
      <w:pPr>
        <w:jc w:val="center"/>
        <w:rPr>
          <w:rFonts w:ascii="黑体" w:hAnsi="黑体" w:eastAsia="黑体" w:cs="黑体"/>
          <w:sz w:val="44"/>
          <w:szCs w:val="44"/>
        </w:rPr>
      </w:pPr>
      <w:r>
        <w:rPr>
          <w:rFonts w:hint="eastAsia" w:ascii="黑体" w:hAnsi="黑体" w:eastAsia="黑体" w:cs="黑体"/>
          <w:b/>
          <w:bCs/>
          <w:kern w:val="0"/>
          <w:sz w:val="44"/>
          <w:szCs w:val="44"/>
        </w:rPr>
        <w:t>政府采购投标及履约承诺函</w:t>
      </w:r>
    </w:p>
    <w:p w14:paraId="5683A738">
      <w:pPr>
        <w:spacing w:line="500" w:lineRule="exact"/>
        <w:rPr>
          <w:rFonts w:ascii="仿宋" w:hAnsi="仿宋" w:eastAsia="仿宋"/>
          <w:color w:val="000000"/>
          <w:sz w:val="30"/>
          <w:szCs w:val="30"/>
        </w:rPr>
      </w:pPr>
      <w:r>
        <w:rPr>
          <w:rFonts w:hint="eastAsia" w:ascii="仿宋" w:hAnsi="仿宋" w:eastAsia="仿宋"/>
          <w:color w:val="000000"/>
          <w:sz w:val="30"/>
          <w:szCs w:val="30"/>
        </w:rPr>
        <w:t>广东内伶仃福田国家级自然保护区管理局：</w:t>
      </w:r>
    </w:p>
    <w:p w14:paraId="406783B0">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14:paraId="09F3B244">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14:paraId="1F92C0AA">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14:paraId="58702E67">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14:paraId="3BFF02BC">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14:paraId="3DC086F7">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14:paraId="2102A0E9">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39DDAFED">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w:t>
      </w:r>
      <w:r>
        <w:rPr>
          <w:rFonts w:hint="eastAsia" w:ascii="仿宋" w:hAnsi="仿宋" w:eastAsia="仿宋"/>
          <w:sz w:val="30"/>
          <w:szCs w:val="30"/>
          <w:lang w:eastAsia="zh-CN"/>
        </w:rPr>
        <w:t>所做的</w:t>
      </w:r>
      <w:r>
        <w:rPr>
          <w:rFonts w:hint="eastAsia" w:ascii="仿宋" w:hAnsi="仿宋" w:eastAsia="仿宋"/>
          <w:sz w:val="30"/>
          <w:szCs w:val="30"/>
        </w:rPr>
        <w:t>一切承诺履约。</w:t>
      </w:r>
    </w:p>
    <w:p w14:paraId="32243453">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w:t>
      </w:r>
      <w:bookmarkStart w:id="0" w:name="_GoBack"/>
      <w:r>
        <w:rPr>
          <w:rFonts w:hint="eastAsia" w:ascii="仿宋" w:hAnsi="仿宋" w:eastAsia="仿宋"/>
          <w:sz w:val="30"/>
          <w:szCs w:val="30"/>
          <w:lang w:eastAsia="zh-CN"/>
        </w:rPr>
        <w:t>资格</w:t>
      </w:r>
      <w:bookmarkEnd w:id="0"/>
      <w:r>
        <w:rPr>
          <w:rFonts w:hint="eastAsia" w:ascii="仿宋" w:hAnsi="仿宋" w:eastAsia="仿宋"/>
          <w:sz w:val="30"/>
          <w:szCs w:val="30"/>
        </w:rPr>
        <w:t>，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8C9FB44">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0C6591FF">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14:paraId="2D073348">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14:paraId="3989C487">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14:paraId="53B596CC">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14:paraId="2D71419B">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14:paraId="5495388D">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14:paraId="3B0B8CB6">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14:paraId="0AF97389">
      <w:pPr>
        <w:spacing w:line="500" w:lineRule="exact"/>
        <w:rPr>
          <w:rFonts w:ascii="仿宋" w:hAnsi="仿宋" w:eastAsia="仿宋"/>
          <w:sz w:val="30"/>
          <w:szCs w:val="30"/>
        </w:rPr>
      </w:pPr>
    </w:p>
    <w:p w14:paraId="036FC89B">
      <w:pPr>
        <w:spacing w:line="500" w:lineRule="exact"/>
        <w:rPr>
          <w:rFonts w:ascii="仿宋" w:hAnsi="仿宋" w:eastAsia="仿宋"/>
          <w:sz w:val="30"/>
          <w:szCs w:val="30"/>
        </w:rPr>
      </w:pPr>
    </w:p>
    <w:p w14:paraId="287E6B7B">
      <w:pPr>
        <w:spacing w:line="500" w:lineRule="exact"/>
        <w:rPr>
          <w:rFonts w:ascii="仿宋" w:hAnsi="仿宋" w:eastAsia="仿宋"/>
          <w:sz w:val="30"/>
          <w:szCs w:val="30"/>
        </w:rPr>
      </w:pPr>
    </w:p>
    <w:p w14:paraId="385FD48D">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14:paraId="29AABDCC">
      <w:pPr>
        <w:spacing w:line="500" w:lineRule="exact"/>
        <w:ind w:firstLine="600" w:firstLineChars="200"/>
        <w:jc w:val="left"/>
        <w:rPr>
          <w:rFonts w:ascii="仿宋_GB2312" w:hAnsi="仿宋_GB2312" w:eastAsia="仿宋_GB2312" w:cs="仿宋_GB2312"/>
          <w:bCs/>
          <w:sz w:val="32"/>
          <w:szCs w:val="32"/>
        </w:rPr>
      </w:pPr>
      <w:r>
        <w:rPr>
          <w:rFonts w:hint="eastAsia" w:ascii="仿宋" w:hAnsi="仿宋" w:eastAsia="仿宋"/>
          <w:sz w:val="30"/>
          <w:szCs w:val="30"/>
        </w:rPr>
        <w:t xml:space="preserve">                                       年   月   日 </w:t>
      </w:r>
    </w:p>
    <w:p w14:paraId="36EA1E0F">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923F"/>
    <w:multiLevelType w:val="singleLevel"/>
    <w:tmpl w:val="0CB592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MzlmMTU3YmY0ZTU2NGY3NWE4YzcyMDBhYzY5ZjQifQ=="/>
  </w:docVars>
  <w:rsids>
    <w:rsidRoot w:val="00172A27"/>
    <w:rsid w:val="0002695F"/>
    <w:rsid w:val="00172A27"/>
    <w:rsid w:val="002D2348"/>
    <w:rsid w:val="00341A7F"/>
    <w:rsid w:val="003B25A6"/>
    <w:rsid w:val="00597EA9"/>
    <w:rsid w:val="005C2D50"/>
    <w:rsid w:val="005C5700"/>
    <w:rsid w:val="00693757"/>
    <w:rsid w:val="00735522"/>
    <w:rsid w:val="007A2D1D"/>
    <w:rsid w:val="007C58C4"/>
    <w:rsid w:val="008C1DEB"/>
    <w:rsid w:val="008F62DA"/>
    <w:rsid w:val="0095051C"/>
    <w:rsid w:val="00977775"/>
    <w:rsid w:val="0098128C"/>
    <w:rsid w:val="009B085A"/>
    <w:rsid w:val="00A43C31"/>
    <w:rsid w:val="00A443E5"/>
    <w:rsid w:val="00B301C0"/>
    <w:rsid w:val="00B42060"/>
    <w:rsid w:val="00BD5D5B"/>
    <w:rsid w:val="00CD6396"/>
    <w:rsid w:val="00E112AF"/>
    <w:rsid w:val="00EA679D"/>
    <w:rsid w:val="00EF0A73"/>
    <w:rsid w:val="00FC04F0"/>
    <w:rsid w:val="02447828"/>
    <w:rsid w:val="03A85FBD"/>
    <w:rsid w:val="03FB529C"/>
    <w:rsid w:val="041F1A02"/>
    <w:rsid w:val="05130AE1"/>
    <w:rsid w:val="051E4DB7"/>
    <w:rsid w:val="082D7BE9"/>
    <w:rsid w:val="0A1D2A4D"/>
    <w:rsid w:val="0E3971A1"/>
    <w:rsid w:val="0E776A4F"/>
    <w:rsid w:val="0EAE3134"/>
    <w:rsid w:val="10C9726F"/>
    <w:rsid w:val="121051B9"/>
    <w:rsid w:val="128D604C"/>
    <w:rsid w:val="13932FFB"/>
    <w:rsid w:val="13A4386B"/>
    <w:rsid w:val="13B310BE"/>
    <w:rsid w:val="14210502"/>
    <w:rsid w:val="15674F52"/>
    <w:rsid w:val="166D1556"/>
    <w:rsid w:val="17341AB4"/>
    <w:rsid w:val="17846B5C"/>
    <w:rsid w:val="179C5A88"/>
    <w:rsid w:val="17D2722C"/>
    <w:rsid w:val="17E37A1A"/>
    <w:rsid w:val="1977682D"/>
    <w:rsid w:val="199B3208"/>
    <w:rsid w:val="19CE4D59"/>
    <w:rsid w:val="1AB334FC"/>
    <w:rsid w:val="1C5F63B6"/>
    <w:rsid w:val="1E2834F3"/>
    <w:rsid w:val="1E717B6E"/>
    <w:rsid w:val="1E803E86"/>
    <w:rsid w:val="1ED75B16"/>
    <w:rsid w:val="203A5BBD"/>
    <w:rsid w:val="22574EFE"/>
    <w:rsid w:val="23044956"/>
    <w:rsid w:val="244B1FE4"/>
    <w:rsid w:val="27885D7B"/>
    <w:rsid w:val="27CC29CF"/>
    <w:rsid w:val="286F0DA4"/>
    <w:rsid w:val="2B0360B2"/>
    <w:rsid w:val="2BA9534A"/>
    <w:rsid w:val="2BDF46E8"/>
    <w:rsid w:val="2C7123D2"/>
    <w:rsid w:val="2E4031BB"/>
    <w:rsid w:val="2EDE2C2F"/>
    <w:rsid w:val="2FF43D8C"/>
    <w:rsid w:val="30D914A1"/>
    <w:rsid w:val="31315352"/>
    <w:rsid w:val="31F876E8"/>
    <w:rsid w:val="330C2577"/>
    <w:rsid w:val="3326373F"/>
    <w:rsid w:val="338D7124"/>
    <w:rsid w:val="33A52031"/>
    <w:rsid w:val="34C64570"/>
    <w:rsid w:val="35275668"/>
    <w:rsid w:val="36380316"/>
    <w:rsid w:val="366438C3"/>
    <w:rsid w:val="37790FE6"/>
    <w:rsid w:val="378F6F4E"/>
    <w:rsid w:val="37E9493B"/>
    <w:rsid w:val="385A073A"/>
    <w:rsid w:val="39EC263F"/>
    <w:rsid w:val="3A937117"/>
    <w:rsid w:val="3B602D3C"/>
    <w:rsid w:val="3BC74D69"/>
    <w:rsid w:val="3BF4378F"/>
    <w:rsid w:val="3C7156AB"/>
    <w:rsid w:val="3E90381A"/>
    <w:rsid w:val="40115AA7"/>
    <w:rsid w:val="406E1857"/>
    <w:rsid w:val="41ED7F87"/>
    <w:rsid w:val="41FE0BF4"/>
    <w:rsid w:val="459B7CE0"/>
    <w:rsid w:val="472C71B2"/>
    <w:rsid w:val="47C23E6D"/>
    <w:rsid w:val="49BB3FDE"/>
    <w:rsid w:val="4A225C6E"/>
    <w:rsid w:val="4C0258BF"/>
    <w:rsid w:val="4D445CD9"/>
    <w:rsid w:val="4E017B1E"/>
    <w:rsid w:val="4FF16F74"/>
    <w:rsid w:val="512B7C80"/>
    <w:rsid w:val="51621046"/>
    <w:rsid w:val="517367F0"/>
    <w:rsid w:val="52510F9D"/>
    <w:rsid w:val="52AC1B04"/>
    <w:rsid w:val="532E62A0"/>
    <w:rsid w:val="554550CC"/>
    <w:rsid w:val="55526D3C"/>
    <w:rsid w:val="55725098"/>
    <w:rsid w:val="557A0917"/>
    <w:rsid w:val="55DE1CE8"/>
    <w:rsid w:val="56E8407E"/>
    <w:rsid w:val="57335DAF"/>
    <w:rsid w:val="57D7157D"/>
    <w:rsid w:val="58AF411D"/>
    <w:rsid w:val="59232731"/>
    <w:rsid w:val="59682CC0"/>
    <w:rsid w:val="5A955F67"/>
    <w:rsid w:val="5AFE2220"/>
    <w:rsid w:val="5B2D6E91"/>
    <w:rsid w:val="5B413526"/>
    <w:rsid w:val="5CE85A27"/>
    <w:rsid w:val="5DED474B"/>
    <w:rsid w:val="5E733E74"/>
    <w:rsid w:val="5F8E1258"/>
    <w:rsid w:val="60475070"/>
    <w:rsid w:val="612E5958"/>
    <w:rsid w:val="615B00EF"/>
    <w:rsid w:val="61854B9D"/>
    <w:rsid w:val="627A35C3"/>
    <w:rsid w:val="63BC6393"/>
    <w:rsid w:val="64143FB5"/>
    <w:rsid w:val="65DE5EEB"/>
    <w:rsid w:val="66521B1B"/>
    <w:rsid w:val="676A6106"/>
    <w:rsid w:val="67F04819"/>
    <w:rsid w:val="68914AC8"/>
    <w:rsid w:val="69856E22"/>
    <w:rsid w:val="6A036CBF"/>
    <w:rsid w:val="6A2133F4"/>
    <w:rsid w:val="6ACB780C"/>
    <w:rsid w:val="6ADD2702"/>
    <w:rsid w:val="6B197238"/>
    <w:rsid w:val="6BE4770C"/>
    <w:rsid w:val="6CBF119A"/>
    <w:rsid w:val="6CD72490"/>
    <w:rsid w:val="6CE10C19"/>
    <w:rsid w:val="6D346226"/>
    <w:rsid w:val="6E4302E5"/>
    <w:rsid w:val="6ECE22F4"/>
    <w:rsid w:val="70700EBF"/>
    <w:rsid w:val="72353A4E"/>
    <w:rsid w:val="723B3949"/>
    <w:rsid w:val="72E80D3A"/>
    <w:rsid w:val="72F42B8C"/>
    <w:rsid w:val="730D5668"/>
    <w:rsid w:val="73560306"/>
    <w:rsid w:val="7501454E"/>
    <w:rsid w:val="75422989"/>
    <w:rsid w:val="76B807C3"/>
    <w:rsid w:val="76CF22A0"/>
    <w:rsid w:val="78A20B38"/>
    <w:rsid w:val="794B1615"/>
    <w:rsid w:val="79662838"/>
    <w:rsid w:val="79EE07AA"/>
    <w:rsid w:val="7A6C3ED6"/>
    <w:rsid w:val="7A8A0A7B"/>
    <w:rsid w:val="7BF20DB9"/>
    <w:rsid w:val="7C2D3E7B"/>
    <w:rsid w:val="7FAD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宋体" w:cs="宋体" w:eastAsiaTheme="minorEastAsia"/>
      <w:color w:val="000000"/>
      <w:kern w:val="2"/>
      <w:sz w:val="24"/>
      <w:szCs w:val="24"/>
      <w:lang w:val="en-US" w:eastAsia="zh-CN" w:bidi="ar-SA"/>
    </w:rPr>
  </w:style>
  <w:style w:type="paragraph" w:styleId="8">
    <w:name w:val="List Paragraph"/>
    <w:basedOn w:val="1"/>
    <w:qFormat/>
    <w:uiPriority w:val="34"/>
    <w:pPr>
      <w:ind w:firstLine="420" w:firstLineChars="200"/>
    </w:pPr>
  </w:style>
  <w:style w:type="paragraph" w:customStyle="1" w:styleId="9">
    <w:name w:val="_Style 4"/>
    <w:basedOn w:val="1"/>
    <w:qFormat/>
    <w:uiPriority w:val="34"/>
    <w:pPr>
      <w:ind w:firstLine="420" w:firstLineChars="200"/>
    </w:pPr>
  </w:style>
  <w:style w:type="character" w:customStyle="1" w:styleId="10">
    <w:name w:val="页眉 Char"/>
    <w:basedOn w:val="6"/>
    <w:link w:val="3"/>
    <w:qFormat/>
    <w:uiPriority w:val="0"/>
    <w:rPr>
      <w:rFonts w:ascii="Calibri" w:hAnsi="Calibri" w:eastAsia="宋体" w:cs="Times New Roman"/>
      <w:kern w:val="2"/>
      <w:sz w:val="18"/>
      <w:szCs w:val="18"/>
    </w:rPr>
  </w:style>
  <w:style w:type="character" w:customStyle="1" w:styleId="11">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2651</Words>
  <Characters>2753</Characters>
  <Lines>21</Lines>
  <Paragraphs>6</Paragraphs>
  <TotalTime>24</TotalTime>
  <ScaleCrop>false</ScaleCrop>
  <LinksUpToDate>false</LinksUpToDate>
  <CharactersWithSpaces>2831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2022-05-12T01:53:00Z</dcterms:created>
  <dc:creator>Administrator</dc:creator>
  <cp:lastModifiedBy>Mr Dragon</cp:lastModifiedBy>
  <cp:lastPrinted>2025-06-24T02:29:00Z</cp:lastPrinted>
  <dcterms:modified xsi:type="dcterms:W3CDTF">2025-08-14T06:18:13Z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DEFA96B33EB94D4F9298CFA4C1342166</vt:lpwstr>
  </property>
  <property fmtid="{D5CDD505-2E9C-101B-9397-08002B2CF9AE}" pid="4" name="KSOTemplateDocerSaveRecord">
    <vt:lpwstr>eyJoZGlkIjoiYjVkMzlmMTU3YmY0ZTU2NGY3NWE4YzcyMDBhYzY5ZjQiLCJ1c2VySWQiOiIzMzY3OTE1MzcifQ==</vt:lpwstr>
  </property>
</Properties>
</file>