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市规划和自然资源局深汕管理局</w:t>
      </w:r>
    </w:p>
    <w:p>
      <w:pPr>
        <w:jc w:val="center"/>
        <w:rPr>
          <w:rFonts w:hint="eastAsia"/>
          <w:b/>
          <w:bCs/>
          <w:sz w:val="44"/>
          <w:szCs w:val="44"/>
        </w:rPr>
      </w:pPr>
      <w:r>
        <w:rPr>
          <w:rFonts w:hint="eastAsia"/>
          <w:b/>
          <w:bCs/>
          <w:sz w:val="44"/>
          <w:szCs w:val="44"/>
        </w:rPr>
        <w:t>劳务派遣服务项目采购需求文件</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4393"/>
        <w:gridCol w:w="1169"/>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项目名称</w:t>
            </w:r>
          </w:p>
        </w:tc>
        <w:tc>
          <w:tcPr>
            <w:tcW w:w="4393" w:type="dxa"/>
            <w:noWrap w:val="0"/>
            <w:vAlign w:val="top"/>
          </w:tcPr>
          <w:p>
            <w:pPr>
              <w:rPr>
                <w:rFonts w:hint="eastAsia" w:ascii="仿宋_GB2312" w:hAnsi="仿宋_GB2312" w:eastAsia="仿宋_GB2312" w:cs="仿宋_GB2312"/>
              </w:rPr>
            </w:pPr>
            <w:r>
              <w:rPr>
                <w:rFonts w:hint="eastAsia" w:ascii="仿宋_GB2312" w:hAnsi="仿宋_GB2312" w:eastAsia="仿宋_GB2312" w:cs="仿宋_GB2312"/>
              </w:rPr>
              <w:t>市规划和自然资源局深汕管理局劳务派遣服务</w:t>
            </w:r>
          </w:p>
        </w:tc>
        <w:tc>
          <w:tcPr>
            <w:tcW w:w="1169"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采购类型</w:t>
            </w:r>
          </w:p>
        </w:tc>
        <w:tc>
          <w:tcPr>
            <w:tcW w:w="195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采购人名称</w:t>
            </w:r>
          </w:p>
        </w:tc>
        <w:tc>
          <w:tcPr>
            <w:tcW w:w="4393"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深圳市规划和自然资源局深汕管理局</w:t>
            </w:r>
          </w:p>
        </w:tc>
        <w:tc>
          <w:tcPr>
            <w:tcW w:w="1169"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采购方式</w:t>
            </w:r>
          </w:p>
        </w:tc>
        <w:tc>
          <w:tcPr>
            <w:tcW w:w="195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US"/>
              </w:rPr>
              <w:t>直接确定供应商</w:t>
            </w:r>
            <w:r>
              <w:rPr>
                <w:rFonts w:hint="eastAsia" w:ascii="仿宋_GB2312" w:hAnsi="仿宋_GB2312" w:eastAsia="仿宋_GB2312" w:cs="仿宋_GB231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财政预算限额（元）</w:t>
            </w:r>
          </w:p>
        </w:tc>
        <w:tc>
          <w:tcPr>
            <w:tcW w:w="7513" w:type="dxa"/>
            <w:gridSpan w:val="3"/>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参考市场同类型项目报价，派遣人员管理服务费不高于120元/人/月，招标服务人数以1</w:t>
            </w:r>
            <w:r>
              <w:rPr>
                <w:rFonts w:hint="eastAsia" w:ascii="仿宋_GB2312" w:hAnsi="仿宋_GB2312" w:eastAsia="仿宋_GB2312" w:cs="仿宋_GB2312"/>
                <w:lang w:val="en-US"/>
              </w:rPr>
              <w:t>0</w:t>
            </w:r>
            <w:r>
              <w:rPr>
                <w:rFonts w:hint="eastAsia" w:ascii="仿宋_GB2312" w:hAnsi="仿宋_GB2312" w:eastAsia="仿宋_GB2312" w:cs="仿宋_GB2312"/>
              </w:rPr>
              <w:t>人计算，执行中按实际招录人数支付。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项目背景</w:t>
            </w:r>
          </w:p>
        </w:tc>
        <w:tc>
          <w:tcPr>
            <w:tcW w:w="7513"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为确保管理局各项工作正常、有序、高效运行，以优质的工作能力服务群众，拟通过</w:t>
            </w:r>
            <w:r>
              <w:rPr>
                <w:rFonts w:hint="eastAsia" w:ascii="仿宋_GB2312" w:hAnsi="仿宋_GB2312" w:eastAsia="仿宋_GB2312" w:cs="仿宋_GB2312"/>
                <w:lang w:val="en-US"/>
              </w:rPr>
              <w:t>直接确定供应商</w:t>
            </w:r>
            <w:r>
              <w:rPr>
                <w:rFonts w:hint="eastAsia" w:ascii="仿宋_GB2312" w:hAnsi="仿宋_GB2312" w:eastAsia="仿宋_GB2312" w:cs="仿宋_GB2312"/>
              </w:rPr>
              <w:t>方式</w:t>
            </w:r>
            <w:r>
              <w:rPr>
                <w:rFonts w:hint="eastAsia" w:ascii="仿宋_GB2312" w:hAnsi="仿宋_GB2312" w:eastAsia="仿宋_GB2312" w:cs="仿宋_GB2312"/>
                <w:lang w:val="en-US"/>
              </w:rPr>
              <w:t>采购</w:t>
            </w:r>
            <w:r>
              <w:rPr>
                <w:rFonts w:hint="eastAsia" w:ascii="仿宋_GB2312" w:hAnsi="仿宋_GB2312" w:eastAsia="仿宋_GB2312" w:cs="仿宋_GB2312"/>
              </w:rPr>
              <w:t>劳务派遣服务</w:t>
            </w:r>
            <w:r>
              <w:rPr>
                <w:rFonts w:hint="eastAsia" w:ascii="仿宋_GB2312" w:hAnsi="仿宋_GB2312" w:eastAsia="仿宋_GB2312" w:cs="仿宋_GB2312"/>
                <w:lang w:val="en-US"/>
              </w:rPr>
              <w:t>，服务期2年</w:t>
            </w:r>
            <w:r>
              <w:rPr>
                <w:rFonts w:hint="eastAsia" w:ascii="仿宋_GB2312" w:hAnsi="仿宋_GB2312" w:eastAsia="仿宋_GB2312" w:cs="仿宋_GB2312"/>
              </w:rPr>
              <w:t>，经费由财政统一支出</w:t>
            </w:r>
            <w:r>
              <w:rPr>
                <w:rFonts w:hint="eastAsia" w:ascii="仿宋_GB2312" w:hAnsi="仿宋_GB2312" w:eastAsia="仿宋_GB2312" w:cs="仿宋_GB2312"/>
                <w:lang w:val="en-US"/>
              </w:rPr>
              <w:t>。</w:t>
            </w:r>
            <w:r>
              <w:rPr>
                <w:rFonts w:hint="eastAsia" w:ascii="仿宋_GB2312" w:hAnsi="仿宋_GB2312" w:eastAsia="仿宋_GB2312" w:cs="仿宋_GB2312"/>
              </w:rPr>
              <w:t>该项目中标后，在项目实施过程中，按照派遣员工实际到岗情况计发管理费用。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投标人资质要求</w:t>
            </w:r>
          </w:p>
        </w:tc>
        <w:tc>
          <w:tcPr>
            <w:tcW w:w="7513" w:type="dxa"/>
            <w:gridSpan w:val="3"/>
            <w:noWrap w:val="0"/>
            <w:vAlign w:val="top"/>
          </w:tcPr>
          <w:p>
            <w:pPr>
              <w:rPr>
                <w:rFonts w:hint="eastAsia" w:ascii="仿宋_GB2312" w:hAnsi="仿宋_GB2312" w:eastAsia="仿宋_GB2312" w:cs="仿宋_GB2312"/>
              </w:rPr>
            </w:pPr>
            <w:r>
              <w:rPr>
                <w:rFonts w:hint="eastAsia" w:ascii="仿宋_GB2312" w:hAnsi="仿宋_GB2312" w:eastAsia="仿宋_GB2312" w:cs="仿宋_GB2312"/>
              </w:rPr>
              <w:t>（一）供应商须具有独立法人资格，持有工商行政管理部门核发的法人营业执照，具备人力资源公司业务经营资格及相关资质。</w:t>
            </w:r>
          </w:p>
          <w:p>
            <w:pPr>
              <w:rPr>
                <w:rFonts w:hint="eastAsia" w:ascii="仿宋_GB2312" w:hAnsi="仿宋_GB2312" w:eastAsia="仿宋_GB2312" w:cs="仿宋_GB2312"/>
              </w:rPr>
            </w:pPr>
            <w:r>
              <w:rPr>
                <w:rFonts w:hint="eastAsia" w:ascii="仿宋_GB2312" w:hAnsi="仿宋_GB2312" w:eastAsia="仿宋_GB2312" w:cs="仿宋_GB2312"/>
              </w:rPr>
              <w:t>（二）符合《政府采购法》第二十二条、供应商参加政府采购活动应当具备下列条件：</w:t>
            </w:r>
          </w:p>
          <w:p>
            <w:pPr>
              <w:rPr>
                <w:rFonts w:hint="eastAsia" w:ascii="仿宋_GB2312" w:hAnsi="仿宋_GB2312" w:eastAsia="仿宋_GB2312" w:cs="仿宋_GB2312"/>
              </w:rPr>
            </w:pPr>
            <w:r>
              <w:rPr>
                <w:rFonts w:hint="eastAsia" w:ascii="仿宋_GB2312" w:hAnsi="仿宋_GB2312" w:eastAsia="仿宋_GB2312" w:cs="仿宋_GB2312"/>
              </w:rPr>
              <w:t>1、具有独立承担民事责任的能力；</w:t>
            </w:r>
          </w:p>
          <w:p>
            <w:pPr>
              <w:rPr>
                <w:rFonts w:hint="eastAsia" w:ascii="仿宋_GB2312" w:hAnsi="仿宋_GB2312" w:eastAsia="仿宋_GB2312" w:cs="仿宋_GB2312"/>
              </w:rPr>
            </w:pPr>
            <w:r>
              <w:rPr>
                <w:rFonts w:hint="eastAsia" w:ascii="仿宋_GB2312" w:hAnsi="仿宋_GB2312" w:eastAsia="仿宋_GB2312" w:cs="仿宋_GB2312"/>
              </w:rPr>
              <w:t>2、良好的商业信誉和健全的财务会计制度；</w:t>
            </w:r>
          </w:p>
          <w:p>
            <w:pPr>
              <w:rPr>
                <w:rFonts w:hint="eastAsia" w:ascii="仿宋_GB2312" w:hAnsi="仿宋_GB2312" w:eastAsia="仿宋_GB2312" w:cs="仿宋_GB2312"/>
              </w:rPr>
            </w:pPr>
            <w:r>
              <w:rPr>
                <w:rFonts w:hint="eastAsia" w:ascii="仿宋_GB2312" w:hAnsi="仿宋_GB2312" w:eastAsia="仿宋_GB2312" w:cs="仿宋_GB2312"/>
              </w:rPr>
              <w:t>3、履行合同所必需的设备和专业技术能力；</w:t>
            </w:r>
          </w:p>
          <w:p>
            <w:pPr>
              <w:rPr>
                <w:rFonts w:hint="eastAsia" w:ascii="仿宋_GB2312" w:hAnsi="仿宋_GB2312" w:eastAsia="仿宋_GB2312" w:cs="仿宋_GB2312"/>
              </w:rPr>
            </w:pPr>
            <w:r>
              <w:rPr>
                <w:rFonts w:hint="eastAsia" w:ascii="仿宋_GB2312" w:hAnsi="仿宋_GB2312" w:eastAsia="仿宋_GB2312" w:cs="仿宋_GB2312"/>
              </w:rPr>
              <w:t>4、依法缴纳税收和社会保障资金的良好记录；</w:t>
            </w:r>
          </w:p>
          <w:p>
            <w:pPr>
              <w:rPr>
                <w:rFonts w:hint="eastAsia" w:ascii="仿宋_GB2312" w:hAnsi="仿宋_GB2312" w:eastAsia="仿宋_GB2312" w:cs="仿宋_GB2312"/>
              </w:rPr>
            </w:pPr>
            <w:r>
              <w:rPr>
                <w:rFonts w:hint="eastAsia" w:ascii="仿宋_GB2312" w:hAnsi="仿宋_GB2312" w:eastAsia="仿宋_GB2312" w:cs="仿宋_GB2312"/>
              </w:rPr>
              <w:t>5、政府采购活动前三年内，在经营活动中没有重大违法记录；</w:t>
            </w:r>
          </w:p>
          <w:p>
            <w:pPr>
              <w:rPr>
                <w:rFonts w:hint="eastAsia" w:ascii="仿宋_GB2312" w:hAnsi="仿宋_GB2312" w:eastAsia="仿宋_GB2312" w:cs="仿宋_GB2312"/>
              </w:rPr>
            </w:pPr>
            <w:r>
              <w:rPr>
                <w:rFonts w:hint="eastAsia" w:ascii="仿宋_GB2312" w:hAnsi="仿宋_GB2312" w:eastAsia="仿宋_GB2312" w:cs="仿宋_GB2312"/>
              </w:rPr>
              <w:t>（三）未纳入深圳市政府采购供应商黑名单。</w:t>
            </w:r>
          </w:p>
          <w:p>
            <w:pPr>
              <w:rPr>
                <w:rFonts w:hint="eastAsia" w:ascii="仿宋_GB2312" w:hAnsi="仿宋_GB2312" w:eastAsia="仿宋_GB2312" w:cs="仿宋_GB2312"/>
              </w:rPr>
            </w:pPr>
            <w:r>
              <w:rPr>
                <w:rFonts w:hint="eastAsia" w:ascii="仿宋_GB2312" w:hAnsi="仿宋_GB2312" w:eastAsia="仿宋_GB2312" w:cs="仿宋_GB2312"/>
              </w:rPr>
              <w:t>（四）本项目不允许挂靠和转包，不接受联合体投标人。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报价要求</w:t>
            </w:r>
          </w:p>
        </w:tc>
        <w:tc>
          <w:tcPr>
            <w:tcW w:w="7513"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rPr>
            </w:pPr>
            <w:bookmarkStart w:id="0" w:name="_GoBack"/>
            <w:r>
              <w:rPr>
                <w:rFonts w:hint="eastAsia" w:ascii="仿宋_GB2312" w:hAnsi="仿宋_GB2312" w:eastAsia="仿宋_GB2312" w:cs="仿宋_GB2312"/>
              </w:rPr>
              <w:t>该项目投标报价仅就管理服务费进行报价。劳务派遣人员工资费用、税金、社会保险和住房公积金等费用由中标供应商根据采购人规定发放及代扣代缴。</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具体技术要求</w:t>
            </w:r>
          </w:p>
        </w:tc>
        <w:tc>
          <w:tcPr>
            <w:tcW w:w="7513" w:type="dxa"/>
            <w:gridSpan w:val="3"/>
            <w:noWrap w:val="0"/>
            <w:vAlign w:val="top"/>
          </w:tcPr>
          <w:p>
            <w:pPr>
              <w:rPr>
                <w:rFonts w:hint="eastAsia" w:ascii="仿宋_GB2312" w:hAnsi="仿宋_GB2312" w:eastAsia="仿宋_GB2312" w:cs="仿宋_GB2312"/>
              </w:rPr>
            </w:pPr>
            <w:r>
              <w:rPr>
                <w:rFonts w:hint="eastAsia" w:ascii="仿宋_GB2312" w:hAnsi="仿宋_GB2312" w:eastAsia="仿宋_GB2312" w:cs="仿宋_GB2312"/>
              </w:rPr>
              <w:t>（一）项目服务内容，包括但不限于：协助派遣员工招聘、用工手续办理、岗前培训、工资核算、发放与管理</w:t>
            </w:r>
            <w:r>
              <w:rPr>
                <w:rFonts w:hint="eastAsia" w:ascii="仿宋_GB2312" w:hAnsi="仿宋_GB2312" w:eastAsia="仿宋_GB2312" w:cs="仿宋_GB2312"/>
                <w:lang w:eastAsia="zh-CN"/>
              </w:rPr>
              <w:t>（含</w:t>
            </w:r>
            <w:r>
              <w:rPr>
                <w:rFonts w:hint="eastAsia" w:ascii="仿宋_GB2312" w:hAnsi="仿宋_GB2312" w:eastAsia="仿宋_GB2312" w:cs="仿宋_GB2312"/>
                <w:lang w:val="en-US" w:eastAsia="zh-CN"/>
              </w:rPr>
              <w:t>合同过渡期</w:t>
            </w:r>
            <w:r>
              <w:rPr>
                <w:rFonts w:hint="eastAsia" w:ascii="仿宋_GB2312" w:hAnsi="仿宋_GB2312" w:eastAsia="仿宋_GB2312" w:cs="仿宋_GB2312"/>
                <w:lang w:eastAsia="zh-CN"/>
              </w:rPr>
              <w:t>工资梳理发放）</w:t>
            </w:r>
            <w:r>
              <w:rPr>
                <w:rFonts w:hint="eastAsia" w:ascii="仿宋_GB2312" w:hAnsi="仿宋_GB2312" w:eastAsia="仿宋_GB2312" w:cs="仿宋_GB2312"/>
              </w:rPr>
              <w:t>；派遣员工劳动合同管理、工伤意外处理、社会保险投保相关手续、社会保险与住房公积金管理等相关劳务派遣服务工作；负责处理合同服务期内所有劳资纠纷和调解管理；落实采购单位根据规章制度和工作需要提出的其他管理要求。</w:t>
            </w:r>
          </w:p>
          <w:p>
            <w:pPr>
              <w:rPr>
                <w:rFonts w:hint="eastAsia" w:ascii="仿宋_GB2312" w:hAnsi="仿宋_GB2312" w:eastAsia="仿宋_GB2312" w:cs="仿宋_GB2312"/>
              </w:rPr>
            </w:pPr>
            <w:r>
              <w:rPr>
                <w:rFonts w:hint="eastAsia" w:ascii="仿宋_GB2312" w:hAnsi="仿宋_GB2312" w:eastAsia="仿宋_GB2312" w:cs="仿宋_GB2312"/>
              </w:rPr>
              <w:t>（二）由中标供应商确定项目负责人，保证资料对接等工作顺畅进行。</w:t>
            </w:r>
          </w:p>
          <w:p>
            <w:pPr>
              <w:rPr>
                <w:rFonts w:hint="eastAsia" w:ascii="仿宋_GB2312" w:hAnsi="仿宋_GB2312" w:eastAsia="仿宋_GB2312" w:cs="仿宋_GB2312"/>
              </w:rPr>
            </w:pPr>
            <w:r>
              <w:rPr>
                <w:rFonts w:hint="eastAsia" w:ascii="仿宋_GB2312" w:hAnsi="仿宋_GB2312" w:eastAsia="仿宋_GB2312" w:cs="仿宋_GB2312"/>
              </w:rPr>
              <w:t>（三）中标供应商挪用劳务派遣人员工资、社会保险费用、住房公积金费用和其他福利费用的，除承担由此引发的一切法律责任外，采购单位有权中止或终止服务合同。</w:t>
            </w:r>
          </w:p>
          <w:p>
            <w:pPr>
              <w:rPr>
                <w:rFonts w:hint="eastAsia" w:ascii="仿宋_GB2312" w:hAnsi="仿宋_GB2312" w:eastAsia="仿宋_GB2312" w:cs="仿宋_GB2312"/>
              </w:rPr>
            </w:pPr>
            <w:r>
              <w:rPr>
                <w:rFonts w:hint="eastAsia" w:ascii="仿宋_GB2312" w:hAnsi="仿宋_GB2312" w:eastAsia="仿宋_GB2312" w:cs="仿宋_GB2312"/>
              </w:rPr>
              <w:t xml:space="preserve">（四）中标供应商对其工作人员或指派到采购单位处工作的人员应服从采购单位工作安排，按时按质按量完成好交办的各项工作任务，严格遵守保密制度和采购单位的各项规章制度及疫情防控要求。 </w:t>
            </w:r>
          </w:p>
          <w:p>
            <w:pPr>
              <w:rPr>
                <w:rFonts w:hint="eastAsia" w:ascii="仿宋_GB2312" w:hAnsi="仿宋_GB2312" w:eastAsia="仿宋_GB2312" w:cs="仿宋_GB2312"/>
              </w:rPr>
            </w:pPr>
            <w:r>
              <w:rPr>
                <w:rFonts w:hint="eastAsia" w:ascii="仿宋_GB2312" w:hAnsi="仿宋_GB2312" w:eastAsia="仿宋_GB2312" w:cs="仿宋_GB2312"/>
              </w:rPr>
              <w:t>（五）中标供应商对其工作人员或指派到采购单位工作的人员要进行岗前培训和安全保密教育，在工作过程中妥善保管资料，遵循保密原则，对接触到的所有采购单位相关信息负责，不得在任何场合以任何形式泄露资料内容。对不称职及违规人员，采购单位有权要求中标供应商更换人员，中标供应商应无条件及时予以更换。</w:t>
            </w:r>
          </w:p>
          <w:p>
            <w:pPr>
              <w:rPr>
                <w:rFonts w:hint="eastAsia" w:ascii="仿宋_GB2312" w:hAnsi="仿宋_GB2312" w:eastAsia="仿宋_GB2312" w:cs="仿宋_GB2312"/>
              </w:rPr>
            </w:pPr>
            <w:r>
              <w:rPr>
                <w:rFonts w:hint="eastAsia" w:ascii="仿宋_GB2312" w:hAnsi="仿宋_GB2312" w:eastAsia="仿宋_GB2312" w:cs="仿宋_GB2312"/>
              </w:rPr>
              <w:t>（六）因劳务派遣人员工作失职、故意行为、违法犯罪行为造成采购单位经济损失的，中标供应商除协助采购单位对派遣员工进行处理外，还应承担相应的管理责任；因中标供应商自身原因导致纠纷扩大或未能减小采购单位相关损失的，由中标供应商承担相应责任；因中标供应商自身原因所引发的一切纠纷，由中标供应商负完全责任；劳务派遣人员在非工作时间内发生的人身意外或其他纠纷，由中标供应商负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1494"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商务需求</w:t>
            </w:r>
          </w:p>
        </w:tc>
        <w:tc>
          <w:tcPr>
            <w:tcW w:w="7513" w:type="dxa"/>
            <w:gridSpan w:val="3"/>
            <w:noWrap w:val="0"/>
            <w:vAlign w:val="top"/>
          </w:tcPr>
          <w:p>
            <w:pPr>
              <w:rPr>
                <w:rFonts w:hint="eastAsia" w:ascii="仿宋_GB2312" w:hAnsi="仿宋_GB2312" w:eastAsia="仿宋_GB2312" w:cs="仿宋_GB2312"/>
              </w:rPr>
            </w:pPr>
            <w:r>
              <w:rPr>
                <w:rFonts w:hint="eastAsia" w:ascii="仿宋_GB2312" w:hAnsi="仿宋_GB2312" w:eastAsia="仿宋_GB2312" w:cs="仿宋_GB2312"/>
              </w:rPr>
              <w:t>服务期：自合同签订之日起</w:t>
            </w:r>
            <w:r>
              <w:rPr>
                <w:rFonts w:hint="eastAsia" w:ascii="仿宋_GB2312" w:hAnsi="仿宋_GB2312" w:eastAsia="仿宋_GB2312" w:cs="仿宋_GB2312"/>
                <w:lang w:val="en-US"/>
              </w:rPr>
              <w:t>两</w:t>
            </w:r>
            <w:r>
              <w:rPr>
                <w:rFonts w:hint="eastAsia" w:ascii="仿宋_GB2312" w:hAnsi="仿宋_GB2312" w:eastAsia="仿宋_GB2312" w:cs="仿宋_GB2312"/>
              </w:rPr>
              <w:t>年。</w:t>
            </w:r>
          </w:p>
          <w:p>
            <w:pPr>
              <w:rPr>
                <w:rFonts w:hint="eastAsia" w:ascii="仿宋_GB2312" w:hAnsi="仿宋_GB2312" w:eastAsia="仿宋_GB2312" w:cs="仿宋_GB2312"/>
              </w:rPr>
            </w:pPr>
            <w:r>
              <w:rPr>
                <w:rFonts w:hint="eastAsia" w:ascii="仿宋_GB2312" w:hAnsi="仿宋_GB2312" w:eastAsia="仿宋_GB2312" w:cs="仿宋_GB2312"/>
              </w:rPr>
              <w:t>（二）服务地点：市规划和自然资源局深汕管理局</w:t>
            </w:r>
          </w:p>
          <w:p>
            <w:pPr>
              <w:rPr>
                <w:rFonts w:hint="eastAsia" w:ascii="仿宋_GB2312" w:hAnsi="仿宋_GB2312" w:eastAsia="仿宋_GB2312" w:cs="仿宋_GB2312"/>
              </w:rPr>
            </w:pPr>
            <w:r>
              <w:rPr>
                <w:rFonts w:hint="eastAsia" w:ascii="仿宋_GB2312" w:hAnsi="仿宋_GB2312" w:eastAsia="仿宋_GB2312" w:cs="仿宋_GB2312"/>
              </w:rPr>
              <w:t>（三）投标报价解释</w:t>
            </w:r>
          </w:p>
          <w:p>
            <w:pPr>
              <w:rPr>
                <w:rFonts w:hint="eastAsia" w:ascii="仿宋_GB2312" w:hAnsi="仿宋_GB2312" w:eastAsia="仿宋_GB2312" w:cs="仿宋_GB2312"/>
              </w:rPr>
            </w:pPr>
            <w:r>
              <w:rPr>
                <w:rFonts w:hint="eastAsia" w:ascii="仿宋_GB2312" w:hAnsi="仿宋_GB2312" w:eastAsia="仿宋_GB2312" w:cs="仿宋_GB2312"/>
              </w:rPr>
              <w:t>1、本项目投标报价仅就管理服务费进行报价，按实际到岗人数计发。</w:t>
            </w:r>
          </w:p>
          <w:p>
            <w:pPr>
              <w:rPr>
                <w:rFonts w:hint="eastAsia" w:ascii="仿宋_GB2312" w:hAnsi="仿宋_GB2312" w:eastAsia="仿宋_GB2312" w:cs="仿宋_GB2312"/>
              </w:rPr>
            </w:pPr>
            <w:r>
              <w:rPr>
                <w:rFonts w:hint="eastAsia" w:ascii="仿宋_GB2312" w:hAnsi="仿宋_GB2312" w:eastAsia="仿宋_GB2312" w:cs="仿宋_GB2312"/>
              </w:rPr>
              <w:t>2、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rPr>
                <w:rFonts w:hint="eastAsia" w:ascii="仿宋_GB2312" w:hAnsi="仿宋_GB2312" w:eastAsia="仿宋_GB2312" w:cs="仿宋_GB2312"/>
              </w:rPr>
            </w:pPr>
            <w:r>
              <w:rPr>
                <w:rFonts w:hint="eastAsia" w:ascii="仿宋_GB2312" w:hAnsi="仿宋_GB2312" w:eastAsia="仿宋_GB2312" w:cs="仿宋_GB2312"/>
              </w:rPr>
              <w:t>3、投标供应商应当根据本企业的成本自行决定报价，但不得以低于其企业成本的报价投标。</w:t>
            </w:r>
          </w:p>
          <w:p>
            <w:pPr>
              <w:rPr>
                <w:rFonts w:hint="eastAsia" w:ascii="仿宋_GB2312" w:hAnsi="仿宋_GB2312" w:eastAsia="仿宋_GB2312" w:cs="仿宋_GB2312"/>
              </w:rPr>
            </w:pPr>
            <w:r>
              <w:rPr>
                <w:rFonts w:hint="eastAsia" w:ascii="仿宋_GB2312" w:hAnsi="仿宋_GB2312" w:eastAsia="仿宋_GB2312" w:cs="仿宋_GB2312"/>
              </w:rPr>
              <w:t>4、投标供应商的报价不得超过项目预算金额。</w:t>
            </w:r>
          </w:p>
          <w:p>
            <w:pPr>
              <w:rPr>
                <w:rFonts w:hint="eastAsia" w:ascii="仿宋_GB2312" w:hAnsi="仿宋_GB2312" w:eastAsia="仿宋_GB2312" w:cs="仿宋_GB2312"/>
              </w:rPr>
            </w:pPr>
            <w:r>
              <w:rPr>
                <w:rFonts w:hint="eastAsia" w:ascii="仿宋_GB2312" w:hAnsi="仿宋_GB2312" w:eastAsia="仿宋_GB2312" w:cs="仿宋_GB2312"/>
              </w:rPr>
              <w:t>5、投标供应商的报价，应当是本项目采购范围和采购文件及合同条款上所列的各项内容中所述的全部，不得以任何理由予以重复。</w:t>
            </w:r>
          </w:p>
          <w:p>
            <w:pPr>
              <w:rPr>
                <w:rFonts w:hint="eastAsia" w:ascii="仿宋_GB2312" w:hAnsi="仿宋_GB2312" w:eastAsia="仿宋_GB2312" w:cs="仿宋_GB2312"/>
              </w:rPr>
            </w:pPr>
            <w:r>
              <w:rPr>
                <w:rFonts w:hint="eastAsia" w:ascii="仿宋_GB2312" w:hAnsi="仿宋_GB2312" w:eastAsia="仿宋_GB2312" w:cs="仿宋_GB2312"/>
              </w:rPr>
              <w:t>6、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rPr>
                <w:rFonts w:hint="eastAsia" w:ascii="仿宋_GB2312" w:hAnsi="仿宋_GB2312" w:eastAsia="仿宋_GB2312" w:cs="仿宋_GB2312"/>
              </w:rPr>
            </w:pPr>
            <w:r>
              <w:rPr>
                <w:rFonts w:hint="eastAsia" w:ascii="仿宋_GB2312" w:hAnsi="仿宋_GB2312" w:eastAsia="仿宋_GB2312" w:cs="仿宋_GB2312"/>
              </w:rPr>
              <w:t>（四）付款方式</w:t>
            </w:r>
          </w:p>
          <w:p>
            <w:pPr>
              <w:rPr>
                <w:rFonts w:hint="eastAsia" w:ascii="仿宋_GB2312" w:hAnsi="仿宋_GB2312" w:eastAsia="仿宋_GB2312" w:cs="仿宋_GB2312"/>
              </w:rPr>
            </w:pPr>
            <w:r>
              <w:rPr>
                <w:rFonts w:hint="eastAsia" w:ascii="仿宋_GB2312" w:hAnsi="仿宋_GB2312" w:eastAsia="仿宋_GB2312" w:cs="仿宋_GB2312"/>
              </w:rPr>
              <w:t>每月月初采购单位与中标供应商根据派遣员工上个月实际发生费用进行结算。</w:t>
            </w:r>
          </w:p>
          <w:p>
            <w:pPr>
              <w:rPr>
                <w:rFonts w:hint="eastAsia" w:ascii="仿宋_GB2312" w:hAnsi="仿宋_GB2312" w:eastAsia="仿宋_GB2312" w:cs="仿宋_GB2312"/>
              </w:rPr>
            </w:pPr>
            <w:r>
              <w:rPr>
                <w:rFonts w:hint="eastAsia" w:ascii="仿宋_GB2312" w:hAnsi="仿宋_GB2312" w:eastAsia="仿宋_GB2312" w:cs="仿宋_GB2312"/>
              </w:rPr>
              <w:t>（五）违约责任</w:t>
            </w:r>
          </w:p>
          <w:p>
            <w:pPr>
              <w:rPr>
                <w:rFonts w:hint="eastAsia" w:ascii="仿宋_GB2312" w:hAnsi="仿宋_GB2312" w:eastAsia="仿宋_GB2312" w:cs="仿宋_GB2312"/>
              </w:rPr>
            </w:pPr>
            <w:r>
              <w:rPr>
                <w:rFonts w:hint="eastAsia" w:ascii="仿宋_GB2312" w:hAnsi="仿宋_GB2312" w:eastAsia="仿宋_GB2312" w:cs="仿宋_GB2312"/>
              </w:rPr>
              <w:t>双方以合同具体约定为准。</w:t>
            </w:r>
          </w:p>
          <w:p>
            <w:pPr>
              <w:rPr>
                <w:rFonts w:hint="eastAsia" w:ascii="仿宋_GB2312" w:hAnsi="仿宋_GB2312" w:eastAsia="仿宋_GB2312" w:cs="仿宋_GB2312"/>
              </w:rPr>
            </w:pPr>
            <w:r>
              <w:rPr>
                <w:rFonts w:hint="eastAsia" w:ascii="仿宋_GB2312" w:hAnsi="仿宋_GB2312" w:eastAsia="仿宋_GB2312" w:cs="仿宋_GB2312"/>
              </w:rPr>
              <w:t>（六）其他</w:t>
            </w:r>
          </w:p>
          <w:p>
            <w:pPr>
              <w:rPr>
                <w:rFonts w:hint="eastAsia" w:ascii="仿宋_GB2312" w:hAnsi="仿宋_GB2312" w:eastAsia="仿宋_GB2312" w:cs="仿宋_GB2312"/>
              </w:rPr>
            </w:pPr>
            <w:r>
              <w:rPr>
                <w:rFonts w:hint="eastAsia" w:ascii="仿宋_GB2312" w:hAnsi="仿宋_GB2312" w:eastAsia="仿宋_GB2312" w:cs="仿宋_GB2312"/>
              </w:rPr>
              <w:t>中标供应商须签署《政府采购投标及履约承诺函》。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WQ2MzExZTMzNDI5N2MwNGRhMDE1MTZkMTNkNzIifQ=="/>
  </w:docVars>
  <w:rsids>
    <w:rsidRoot w:val="17E33CA6"/>
    <w:rsid w:val="17E3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61"/>
      <w:ind w:left="102"/>
    </w:pPr>
    <w:rPr>
      <w:rFonts w:ascii="宋体" w:hAnsi="宋体" w:eastAsia="宋体"/>
      <w:kern w:val="0"/>
      <w:sz w:val="28"/>
      <w:szCs w:val="28"/>
      <w:lang w:eastAsia="en-US"/>
    </w:rPr>
  </w:style>
  <w:style w:type="paragraph" w:styleId="3">
    <w:name w:val="Normal Indent"/>
    <w:basedOn w:val="1"/>
    <w:next w:val="2"/>
    <w:unhideWhenUsed/>
    <w:qFormat/>
    <w:uiPriority w:val="99"/>
    <w:pPr>
      <w:ind w:firstLine="420" w:firstLineChars="200"/>
    </w:pPr>
  </w:style>
  <w:style w:type="paragraph" w:styleId="4">
    <w:name w:val="Title"/>
    <w:basedOn w:val="1"/>
    <w:qFormat/>
    <w:uiPriority w:val="0"/>
    <w:pPr>
      <w:spacing w:before="240" w:after="60"/>
      <w:jc w:val="center"/>
      <w:outlineLvl w:val="0"/>
    </w:pPr>
    <w:rPr>
      <w:rFonts w:ascii="Arial" w:hAnsi="Arial" w:eastAsia="隶书"/>
      <w:b/>
      <w:bC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2025-08-11T10:11:00Z</dcterms:created>
  <dc:creator>木子曰：</dc:creator>
  <cp:lastModifiedBy>木子曰：</cp:lastModifiedBy>
  <dcterms:modified xsi:type="dcterms:W3CDTF">2025-08-11T10:15:46Z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82D3F7B143A84C3387962787CCEE2E92_11</vt:lpwstr>
  </property>
</Properties>
</file>