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4A9DC1">
      <w:pPr>
        <w:shd w:val="clear"/>
        <w:jc w:val="center"/>
        <w:rPr>
          <w:rFonts w:ascii="黑体" w:hAnsi="黑体" w:eastAsia="黑体" w:cs="黑体"/>
          <w:b/>
          <w:color w:val="auto"/>
          <w:sz w:val="32"/>
          <w:szCs w:val="32"/>
          <w:highlight w:val="none"/>
        </w:rPr>
      </w:pPr>
      <w:r>
        <w:rPr>
          <w:rFonts w:hint="eastAsia" w:ascii="黑体" w:hAnsi="黑体" w:eastAsia="黑体" w:cs="黑体"/>
          <w:b/>
          <w:color w:val="auto"/>
          <w:sz w:val="44"/>
          <w:szCs w:val="44"/>
          <w:highlight w:val="none"/>
        </w:rPr>
        <w:t>服务类项目采购需求</w:t>
      </w:r>
    </w:p>
    <w:tbl>
      <w:tblPr>
        <w:tblStyle w:val="9"/>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709"/>
        <w:gridCol w:w="1701"/>
        <w:gridCol w:w="850"/>
        <w:gridCol w:w="23"/>
        <w:gridCol w:w="1167"/>
        <w:gridCol w:w="2071"/>
        <w:gridCol w:w="36"/>
      </w:tblGrid>
      <w:tr w14:paraId="23E4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560" w:type="dxa"/>
            <w:vAlign w:val="center"/>
          </w:tcPr>
          <w:p w14:paraId="27941EAC">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项目名称</w:t>
            </w:r>
          </w:p>
        </w:tc>
        <w:tc>
          <w:tcPr>
            <w:tcW w:w="7407" w:type="dxa"/>
            <w:gridSpan w:val="8"/>
            <w:vAlign w:val="center"/>
          </w:tcPr>
          <w:p w14:paraId="70546048">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福田红树林科普长廊提升工程项目监理服务</w:t>
            </w:r>
          </w:p>
        </w:tc>
      </w:tr>
      <w:tr w14:paraId="3398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560" w:type="dxa"/>
            <w:vAlign w:val="center"/>
          </w:tcPr>
          <w:p w14:paraId="6A58B216">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lang w:eastAsia="zh-CN"/>
              </w:rPr>
              <w:t>建设单位</w:t>
            </w:r>
            <w:r>
              <w:rPr>
                <w:rFonts w:hint="eastAsia" w:ascii="仿宋_GB2312" w:hAnsi="仿宋_GB2312" w:eastAsia="仿宋_GB2312" w:cs="仿宋_GB2312"/>
                <w:color w:val="auto"/>
                <w:szCs w:val="21"/>
                <w:highlight w:val="none"/>
              </w:rPr>
              <w:t>名称</w:t>
            </w:r>
          </w:p>
        </w:tc>
        <w:tc>
          <w:tcPr>
            <w:tcW w:w="4133" w:type="dxa"/>
            <w:gridSpan w:val="5"/>
            <w:vAlign w:val="center"/>
          </w:tcPr>
          <w:p w14:paraId="439FB999">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广东内伶仃福田国家级自然保护区管理局</w:t>
            </w:r>
          </w:p>
        </w:tc>
        <w:tc>
          <w:tcPr>
            <w:tcW w:w="1167" w:type="dxa"/>
            <w:vAlign w:val="center"/>
          </w:tcPr>
          <w:p w14:paraId="731AA4EF">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采购方式</w:t>
            </w:r>
          </w:p>
        </w:tc>
        <w:tc>
          <w:tcPr>
            <w:tcW w:w="2107" w:type="dxa"/>
            <w:gridSpan w:val="2"/>
            <w:vAlign w:val="center"/>
          </w:tcPr>
          <w:p w14:paraId="40393F9B">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公开招标（自行采购）</w:t>
            </w:r>
          </w:p>
        </w:tc>
      </w:tr>
      <w:tr w14:paraId="3076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60" w:type="dxa"/>
            <w:vAlign w:val="center"/>
          </w:tcPr>
          <w:p w14:paraId="54C7D0CB">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计划立项批文号</w:t>
            </w:r>
          </w:p>
        </w:tc>
        <w:tc>
          <w:tcPr>
            <w:tcW w:w="4133" w:type="dxa"/>
            <w:gridSpan w:val="5"/>
            <w:vAlign w:val="center"/>
          </w:tcPr>
          <w:p w14:paraId="66034F32">
            <w:pPr>
              <w:shd w:val="clear"/>
              <w:jc w:val="left"/>
              <w:rPr>
                <w:rFonts w:hint="eastAsia" w:ascii="仿宋_GB2312" w:hAnsi="仿宋_GB2312" w:eastAsia="仿宋_GB2312" w:cs="仿宋_GB2312"/>
                <w:color w:val="auto"/>
                <w:highlight w:val="none"/>
                <w:lang w:eastAsia="zh-CN"/>
              </w:rPr>
            </w:pPr>
          </w:p>
        </w:tc>
        <w:tc>
          <w:tcPr>
            <w:tcW w:w="1167" w:type="dxa"/>
            <w:vAlign w:val="center"/>
          </w:tcPr>
          <w:p w14:paraId="3A055EDD">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资金来源</w:t>
            </w:r>
          </w:p>
        </w:tc>
        <w:tc>
          <w:tcPr>
            <w:tcW w:w="2107" w:type="dxa"/>
            <w:gridSpan w:val="2"/>
            <w:vAlign w:val="center"/>
          </w:tcPr>
          <w:p w14:paraId="10FFFE9A">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广东省林业局</w:t>
            </w:r>
          </w:p>
        </w:tc>
      </w:tr>
      <w:tr w14:paraId="595F4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560" w:type="dxa"/>
            <w:vAlign w:val="center"/>
          </w:tcPr>
          <w:p w14:paraId="4B1849FF">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财政预算限额（元）</w:t>
            </w:r>
          </w:p>
        </w:tc>
        <w:tc>
          <w:tcPr>
            <w:tcW w:w="4133" w:type="dxa"/>
            <w:gridSpan w:val="5"/>
            <w:vAlign w:val="center"/>
          </w:tcPr>
          <w:p w14:paraId="503F5DD0">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6</w:t>
            </w:r>
            <w:r>
              <w:rPr>
                <w:rFonts w:hint="eastAsia" w:ascii="仿宋_GB2312" w:hAnsi="仿宋_GB2312" w:eastAsia="仿宋_GB2312" w:cs="仿宋_GB2312"/>
                <w:color w:val="auto"/>
                <w:szCs w:val="21"/>
                <w:highlight w:val="none"/>
                <w:lang w:val="en-US" w:eastAsia="zh-CN"/>
              </w:rPr>
              <w:t>5000.00元</w:t>
            </w:r>
          </w:p>
        </w:tc>
        <w:tc>
          <w:tcPr>
            <w:tcW w:w="1167" w:type="dxa"/>
            <w:vAlign w:val="center"/>
          </w:tcPr>
          <w:p w14:paraId="0628A0B1">
            <w:pPr>
              <w:shd w:val="clear"/>
              <w:jc w:val="left"/>
              <w:rPr>
                <w:rFonts w:hint="eastAsia" w:ascii="仿宋_GB2312" w:hAnsi="仿宋_GB2312" w:eastAsia="仿宋_GB2312" w:cs="仿宋_GB2312"/>
                <w:color w:val="auto"/>
                <w:szCs w:val="21"/>
                <w:highlight w:val="none"/>
              </w:rPr>
            </w:pPr>
          </w:p>
        </w:tc>
        <w:tc>
          <w:tcPr>
            <w:tcW w:w="2107" w:type="dxa"/>
            <w:gridSpan w:val="2"/>
            <w:vAlign w:val="center"/>
          </w:tcPr>
          <w:p w14:paraId="07F75024">
            <w:pPr>
              <w:shd w:val="clear"/>
              <w:jc w:val="left"/>
              <w:rPr>
                <w:rFonts w:hint="eastAsia" w:ascii="仿宋_GB2312" w:hAnsi="仿宋_GB2312" w:eastAsia="仿宋_GB2312" w:cs="仿宋_GB2312"/>
                <w:color w:val="auto"/>
                <w:szCs w:val="21"/>
                <w:highlight w:val="none"/>
              </w:rPr>
            </w:pPr>
          </w:p>
        </w:tc>
      </w:tr>
      <w:tr w14:paraId="1FB10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560" w:type="dxa"/>
            <w:vAlign w:val="center"/>
          </w:tcPr>
          <w:p w14:paraId="72D7EB0D">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项目背景</w:t>
            </w:r>
          </w:p>
        </w:tc>
        <w:tc>
          <w:tcPr>
            <w:tcW w:w="7407" w:type="dxa"/>
            <w:gridSpan w:val="8"/>
            <w:vAlign w:val="center"/>
          </w:tcPr>
          <w:p w14:paraId="7542123D">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福田红树林科普长廊提升工程项目建设范围位于深圳市福田区红树林自然保护区内，主要建设内容为对原有科普长廊实施改造升级，旨在通过系统性改造提升，构建国际化与互动化相结合的科普教育示范空间。为确保福田红树林科普长廊提升工程项目高质量、按期完成，切实保障施工质量、进度及投资管控目标高效落实，拟采购专业监理服务，对福田红树林科普长廊提升工程项目实施全过程进行全方位监督管理。</w:t>
            </w:r>
          </w:p>
        </w:tc>
      </w:tr>
      <w:tr w14:paraId="2AE2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560" w:type="dxa"/>
            <w:vAlign w:val="center"/>
          </w:tcPr>
          <w:p w14:paraId="20E7C9D7">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项目前期设计、规划论证单位</w:t>
            </w:r>
          </w:p>
        </w:tc>
        <w:tc>
          <w:tcPr>
            <w:tcW w:w="7407" w:type="dxa"/>
            <w:gridSpan w:val="8"/>
            <w:vAlign w:val="center"/>
          </w:tcPr>
          <w:p w14:paraId="7F71E709">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申都设计集团有限公司</w:t>
            </w:r>
          </w:p>
        </w:tc>
      </w:tr>
      <w:tr w14:paraId="5DD8B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60" w:type="dxa"/>
            <w:vAlign w:val="center"/>
          </w:tcPr>
          <w:p w14:paraId="1AA56C7A">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kern w:val="0"/>
                <w:szCs w:val="21"/>
                <w:highlight w:val="none"/>
              </w:rPr>
              <w:t>投标人资质要求</w:t>
            </w:r>
          </w:p>
        </w:tc>
        <w:tc>
          <w:tcPr>
            <w:tcW w:w="7407" w:type="dxa"/>
            <w:gridSpan w:val="8"/>
          </w:tcPr>
          <w:p w14:paraId="1E1C182C">
            <w:pPr>
              <w:shd w:val="clear"/>
              <w:jc w:val="left"/>
              <w:rPr>
                <w:rFonts w:hint="eastAsia" w:ascii="仿宋_GB2312" w:hAnsi="仿宋_GB2312" w:eastAsia="仿宋_GB2312" w:cs="仿宋_GB2312"/>
                <w:b/>
                <w:color w:val="auto"/>
                <w:kern w:val="0"/>
                <w:szCs w:val="21"/>
                <w:highlight w:val="none"/>
              </w:rPr>
            </w:pPr>
            <w:r>
              <w:rPr>
                <w:rFonts w:hint="eastAsia" w:ascii="仿宋_GB2312" w:hAnsi="仿宋_GB2312" w:eastAsia="仿宋_GB2312" w:cs="仿宋_GB2312"/>
                <w:b/>
                <w:color w:val="auto"/>
                <w:kern w:val="0"/>
                <w:szCs w:val="21"/>
                <w:highlight w:val="none"/>
              </w:rPr>
              <w:t>注意：</w:t>
            </w:r>
            <w:r>
              <w:rPr>
                <w:rFonts w:hint="eastAsia" w:ascii="仿宋_GB2312" w:hAnsi="仿宋_GB2312" w:eastAsia="仿宋_GB2312" w:cs="仿宋_GB2312"/>
                <w:b/>
                <w:color w:val="auto"/>
                <w:kern w:val="0"/>
                <w:szCs w:val="21"/>
                <w:highlight w:val="none"/>
                <w:lang w:eastAsia="zh-CN"/>
              </w:rPr>
              <w:t>建设单位</w:t>
            </w:r>
            <w:r>
              <w:rPr>
                <w:rFonts w:hint="eastAsia" w:ascii="仿宋_GB2312" w:hAnsi="仿宋_GB2312" w:eastAsia="仿宋_GB2312" w:cs="仿宋_GB2312"/>
                <w:b/>
                <w:color w:val="auto"/>
                <w:kern w:val="0"/>
                <w:szCs w:val="21"/>
                <w:highlight w:val="none"/>
              </w:rPr>
              <w:t>根据项目所需提供明确、具体的资质要求，资质要求的内容必须与项目等级相匹配且符合相关法律规定。（设置的投标人资格要求必须提交有法律法规依据的证明文件，且不具备倾向性）</w:t>
            </w:r>
          </w:p>
          <w:p w14:paraId="4D9931F5">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1.满足《中华人民共和国政府采购法》第二十二条规定，包括但不限于：</w:t>
            </w:r>
          </w:p>
          <w:p w14:paraId="73C80922">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（1）中华人民共和国境内依法注册（登记）的独立法人或其他组织，具有独立承担民事责任的能力（提供注册登记的证明文件复印件）；</w:t>
            </w:r>
          </w:p>
          <w:p w14:paraId="6E0A0B3A">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（2）具有良好的商业信誉和健全的财务会计制度，具有履行合同所必需的设备和专业技术能力，有依法缴纳税收和社会保障资金的良好记录；</w:t>
            </w:r>
          </w:p>
          <w:p w14:paraId="7FCCD16D">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（3）投标人及其法定代表人参与政府采购活动前三年内（投标人成立不足三年的可从成立之日起算），在经营活动中无重大违法记录、无行贿犯罪记录、无串通投标、弄虚作假不良行为记录</w:t>
            </w:r>
            <w:r>
              <w:rPr>
                <w:rFonts w:hint="eastAsia" w:ascii="仿宋_GB2312" w:hAnsi="仿宋_GB2312" w:eastAsia="仿宋_GB2312" w:cs="仿宋_GB2312"/>
                <w:color w:val="auto"/>
                <w:kern w:val="0"/>
                <w:szCs w:val="21"/>
                <w:highlight w:val="none"/>
                <w:lang w:eastAsia="zh-CN"/>
              </w:rPr>
              <w:t>、</w:t>
            </w:r>
            <w:r>
              <w:rPr>
                <w:rFonts w:hint="eastAsia" w:ascii="仿宋_GB2312" w:hAnsi="仿宋_GB2312" w:eastAsia="仿宋_GB2312" w:cs="仿宋_GB2312"/>
                <w:color w:val="auto"/>
                <w:kern w:val="0"/>
                <w:szCs w:val="21"/>
                <w:highlight w:val="none"/>
              </w:rPr>
              <w:t>被暂停投标资格期间的情况（由投标人在《政府</w:t>
            </w:r>
            <w:r>
              <w:rPr>
                <w:rFonts w:hint="eastAsia" w:ascii="仿宋_GB2312" w:hAnsi="仿宋_GB2312" w:eastAsia="仿宋_GB2312" w:cs="仿宋_GB2312"/>
                <w:color w:val="auto"/>
                <w:kern w:val="0"/>
                <w:szCs w:val="21"/>
                <w:highlight w:val="none"/>
                <w:lang w:val="en-US" w:eastAsia="zh-CN"/>
              </w:rPr>
              <w:t>采购</w:t>
            </w:r>
            <w:r>
              <w:rPr>
                <w:rFonts w:hint="eastAsia" w:ascii="仿宋_GB2312" w:hAnsi="仿宋_GB2312" w:eastAsia="仿宋_GB2312" w:cs="仿宋_GB2312"/>
                <w:color w:val="auto"/>
                <w:kern w:val="0"/>
                <w:szCs w:val="21"/>
                <w:highlight w:val="none"/>
              </w:rPr>
              <w:t>投标及履约承诺函》《政府采购违法行为风险知悉确认书》中作出声明）；</w:t>
            </w:r>
          </w:p>
          <w:p w14:paraId="4CC16725">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4）投标人及其法定代表人于前三年内（投标人成立不足三年的可从成立之日起算）无因违反建设工程法律、法规规定而受到建设行政主管部门红色警示并正在红色警示期间的情况（由投标人在《政府采购投标及履约承诺函》《政府采购违法行为风险知悉确认书》中作出声明）；</w:t>
            </w:r>
          </w:p>
          <w:p w14:paraId="4A9AA7C9">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5）符合国家法规政策关于诚信管理的要求，至投标截止时间，投标人未有在“信用中国”网（www.creditchina.gov.cn）、中国政府采购网（www.ccgp.gov.cn）、深圳市政府采购监督管理网（www.zfcg.sz.gov.cn）、深圳公共资源交易中心市区政府采购统一平台（www.szzfcg.cn）和国家企业信用信息公示系统（www.gsxt.gov.cn）等5个官网中列入“失信被执行人、重大税收违法案件当事人名单、政府采购严重违法失信行为记录名单” （由投标人在《政府采购投标及履约承诺函》中作出声明）；</w:t>
            </w:r>
          </w:p>
          <w:p w14:paraId="6116CD1A">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（6）法律、行政法规规定的其他条件。</w:t>
            </w:r>
          </w:p>
          <w:p w14:paraId="63C9ADD0">
            <w:pPr>
              <w:shd w:val="clear"/>
              <w:jc w:val="left"/>
              <w:rPr>
                <w:rFonts w:hint="eastAsia" w:ascii="仿宋_GB2312" w:hAnsi="仿宋_GB2312" w:eastAsia="仿宋_GB2312" w:cs="仿宋_GB2312"/>
                <w:b/>
                <w:bCs/>
                <w:color w:val="auto"/>
                <w:kern w:val="0"/>
                <w:szCs w:val="21"/>
                <w:highlight w:val="none"/>
                <w:lang w:val="en-US" w:eastAsia="zh-CN"/>
              </w:rPr>
            </w:pPr>
            <w:r>
              <w:rPr>
                <w:rFonts w:hint="eastAsia" w:ascii="仿宋_GB2312" w:hAnsi="仿宋_GB2312" w:eastAsia="仿宋_GB2312" w:cs="仿宋_GB2312"/>
                <w:b/>
                <w:bCs/>
                <w:color w:val="auto"/>
                <w:kern w:val="0"/>
                <w:szCs w:val="21"/>
                <w:highlight w:val="none"/>
                <w:lang w:val="en-US" w:eastAsia="zh-CN"/>
              </w:rPr>
              <w:t>2.投标人</w:t>
            </w:r>
            <w:r>
              <w:rPr>
                <w:rFonts w:hint="eastAsia" w:ascii="仿宋_GB2312" w:hAnsi="仿宋_GB2312" w:eastAsia="仿宋_GB2312" w:cs="仿宋_GB2312"/>
                <w:b/>
                <w:bCs/>
                <w:color w:val="auto"/>
                <w:kern w:val="0"/>
                <w:szCs w:val="21"/>
                <w:highlight w:val="none"/>
                <w:em w:val="dot"/>
                <w:lang w:val="en-US" w:eastAsia="zh-CN"/>
              </w:rPr>
              <w:t>须同时具备</w:t>
            </w:r>
            <w:r>
              <w:rPr>
                <w:rFonts w:hint="eastAsia" w:ascii="仿宋_GB2312" w:hAnsi="仿宋_GB2312" w:eastAsia="仿宋_GB2312" w:cs="仿宋_GB2312"/>
                <w:b/>
                <w:bCs/>
                <w:color w:val="auto"/>
                <w:kern w:val="0"/>
                <w:szCs w:val="21"/>
                <w:highlight w:val="none"/>
                <w:lang w:val="en-US" w:eastAsia="zh-CN"/>
              </w:rPr>
              <w:t>建设行政主管部门核发的以下有效资质：</w:t>
            </w:r>
          </w:p>
          <w:p w14:paraId="2BE5D3FB">
            <w:pPr>
              <w:shd w:val="clear"/>
              <w:jc w:val="left"/>
              <w:rPr>
                <w:rFonts w:hint="default" w:ascii="仿宋_GB2312" w:hAnsi="仿宋_GB2312" w:eastAsia="仿宋_GB2312" w:cs="仿宋_GB2312"/>
                <w:b/>
                <w:bCs/>
                <w:color w:val="auto"/>
                <w:kern w:val="0"/>
                <w:szCs w:val="21"/>
                <w:highlight w:val="none"/>
                <w:lang w:val="en-US" w:eastAsia="zh-CN"/>
              </w:rPr>
            </w:pPr>
            <w:r>
              <w:rPr>
                <w:rFonts w:hint="eastAsia" w:ascii="仿宋_GB2312" w:hAnsi="仿宋_GB2312" w:eastAsia="仿宋_GB2312" w:cs="仿宋_GB2312"/>
                <w:b/>
                <w:bCs/>
                <w:color w:val="auto"/>
                <w:kern w:val="0"/>
                <w:szCs w:val="21"/>
                <w:highlight w:val="none"/>
                <w:lang w:val="en-US" w:eastAsia="zh-CN"/>
              </w:rPr>
              <w:t>1）房屋建筑工程监理乙级（含）以上资质；</w:t>
            </w:r>
          </w:p>
          <w:p w14:paraId="1392F722">
            <w:pPr>
              <w:shd w:val="clear"/>
              <w:jc w:val="left"/>
              <w:rPr>
                <w:rFonts w:hint="default" w:ascii="仿宋_GB2312" w:hAnsi="仿宋_GB2312" w:eastAsia="仿宋_GB2312" w:cs="仿宋_GB2312"/>
                <w:b/>
                <w:bCs/>
                <w:color w:val="auto"/>
                <w:kern w:val="0"/>
                <w:szCs w:val="21"/>
                <w:highlight w:val="none"/>
                <w:lang w:val="en-US" w:eastAsia="zh-CN"/>
              </w:rPr>
            </w:pPr>
            <w:r>
              <w:rPr>
                <w:rFonts w:hint="eastAsia" w:ascii="仿宋_GB2312" w:hAnsi="仿宋_GB2312" w:eastAsia="仿宋_GB2312" w:cs="仿宋_GB2312"/>
                <w:b/>
                <w:bCs/>
                <w:color w:val="auto"/>
                <w:kern w:val="0"/>
                <w:szCs w:val="21"/>
                <w:highlight w:val="none"/>
                <w:lang w:val="en-US" w:eastAsia="zh-CN"/>
              </w:rPr>
              <w:t>2）市政公用工程监理乙级（含）以上资质。</w:t>
            </w:r>
          </w:p>
          <w:p w14:paraId="35BED1C5">
            <w:pPr>
              <w:shd w:val="clear"/>
              <w:jc w:val="left"/>
              <w:rPr>
                <w:rFonts w:hint="eastAsia" w:ascii="仿宋_GB2312" w:hAnsi="仿宋_GB2312" w:eastAsia="仿宋_GB2312" w:cs="仿宋_GB2312"/>
                <w:b/>
                <w:color w:val="auto"/>
                <w:kern w:val="0"/>
                <w:szCs w:val="21"/>
                <w:highlight w:val="none"/>
              </w:rPr>
            </w:pPr>
            <w:r>
              <w:rPr>
                <w:rFonts w:hint="eastAsia" w:ascii="仿宋_GB2312" w:hAnsi="仿宋_GB2312" w:eastAsia="仿宋_GB2312" w:cs="仿宋_GB2312"/>
                <w:color w:val="auto"/>
                <w:kern w:val="0"/>
                <w:szCs w:val="21"/>
                <w:highlight w:val="none"/>
                <w:lang w:val="en-US" w:eastAsia="zh-CN"/>
              </w:rPr>
              <w:t>3.</w:t>
            </w:r>
            <w:r>
              <w:rPr>
                <w:rFonts w:hint="eastAsia" w:ascii="仿宋_GB2312" w:hAnsi="仿宋_GB2312" w:eastAsia="仿宋_GB2312" w:cs="仿宋_GB2312"/>
                <w:color w:val="auto"/>
                <w:kern w:val="0"/>
                <w:szCs w:val="21"/>
                <w:highlight w:val="none"/>
              </w:rPr>
              <w:t>本项目不接受联合体投标，不允许分包，（不接受投标人选用进口产品参与投标）</w:t>
            </w:r>
          </w:p>
        </w:tc>
      </w:tr>
      <w:tr w14:paraId="57765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560" w:type="dxa"/>
            <w:vAlign w:val="center"/>
          </w:tcPr>
          <w:p w14:paraId="18A0EBB1">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bCs/>
                <w:color w:val="auto"/>
                <w:szCs w:val="21"/>
                <w:highlight w:val="none"/>
              </w:rPr>
              <w:t>需求内容</w:t>
            </w:r>
          </w:p>
        </w:tc>
        <w:tc>
          <w:tcPr>
            <w:tcW w:w="7407" w:type="dxa"/>
            <w:gridSpan w:val="8"/>
          </w:tcPr>
          <w:p w14:paraId="062CC881">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bCs/>
                <w:color w:val="auto"/>
                <w:szCs w:val="21"/>
                <w:highlight w:val="none"/>
              </w:rPr>
              <w:t>1</w:t>
            </w:r>
            <w:r>
              <w:rPr>
                <w:rFonts w:hint="eastAsia" w:ascii="仿宋_GB2312" w:hAnsi="仿宋_GB2312" w:eastAsia="仿宋_GB2312" w:cs="仿宋_GB2312"/>
                <w:bCs/>
                <w:color w:val="auto"/>
                <w:szCs w:val="21"/>
                <w:highlight w:val="none"/>
                <w:lang w:val="en-US" w:eastAsia="zh-CN"/>
              </w:rPr>
              <w:t>.</w:t>
            </w:r>
            <w:r>
              <w:rPr>
                <w:rFonts w:hint="eastAsia" w:ascii="仿宋_GB2312" w:hAnsi="仿宋_GB2312" w:eastAsia="仿宋_GB2312" w:cs="仿宋_GB2312"/>
                <w:color w:val="auto"/>
                <w:szCs w:val="21"/>
                <w:highlight w:val="none"/>
              </w:rPr>
              <w:t>报价要求</w:t>
            </w:r>
          </w:p>
          <w:p w14:paraId="792EBE4D">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（1）本项目服务费采用包干制，应包括服务成本、法定税费和企业的利润。由投标供应商根据采购文件所提供的资料自行测算投标报价；一经中标，报价总价作为中标供应商与</w:t>
            </w:r>
            <w:r>
              <w:rPr>
                <w:rFonts w:hint="eastAsia" w:ascii="仿宋_GB2312" w:hAnsi="仿宋_GB2312" w:eastAsia="仿宋_GB2312" w:cs="仿宋_GB2312"/>
                <w:color w:val="auto"/>
                <w:szCs w:val="21"/>
                <w:highlight w:val="none"/>
                <w:lang w:eastAsia="zh-CN"/>
              </w:rPr>
              <w:t>建设单位</w:t>
            </w:r>
            <w:r>
              <w:rPr>
                <w:rFonts w:hint="eastAsia" w:ascii="仿宋_GB2312" w:hAnsi="仿宋_GB2312" w:eastAsia="仿宋_GB2312" w:cs="仿宋_GB2312"/>
                <w:color w:val="auto"/>
                <w:szCs w:val="21"/>
                <w:highlight w:val="none"/>
              </w:rPr>
              <w:t>签订的合同金额，合同期限内不作调整。</w:t>
            </w:r>
          </w:p>
          <w:p w14:paraId="4A8508B0">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（2）投标供应商应当根据本企业的成本自行决定报价，但不得以低于其企业成本的报价投标。</w:t>
            </w:r>
          </w:p>
          <w:p w14:paraId="40C82249">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（3）投标供应商的报价不得超过项目预算金额。</w:t>
            </w:r>
          </w:p>
          <w:p w14:paraId="4E43F638">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（4）投标供应商的报价，应当是本项目采购范围和采购文件及合同条款上所列的各项内容中所述的全部，不得以任何理由予以重复。</w:t>
            </w:r>
          </w:p>
          <w:p w14:paraId="7BCF12B4">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（5）除非</w:t>
            </w:r>
            <w:r>
              <w:rPr>
                <w:rFonts w:hint="eastAsia" w:ascii="仿宋_GB2312" w:hAnsi="仿宋_GB2312" w:eastAsia="仿宋_GB2312" w:cs="仿宋_GB2312"/>
                <w:color w:val="auto"/>
                <w:szCs w:val="21"/>
                <w:highlight w:val="none"/>
                <w:lang w:eastAsia="zh-CN"/>
              </w:rPr>
              <w:t>建设单位</w:t>
            </w:r>
            <w:r>
              <w:rPr>
                <w:rFonts w:hint="eastAsia" w:ascii="仿宋_GB2312" w:hAnsi="仿宋_GB2312" w:eastAsia="仿宋_GB2312" w:cs="仿宋_GB2312"/>
                <w:color w:val="auto"/>
                <w:szCs w:val="21"/>
                <w:highlight w:val="none"/>
              </w:rPr>
              <w:t>通过修改采购文件予以更正，否则，投标供应商应毫无例外地按响应文件所列的清单中项目和数量填报综合单价和合价。投标供应商未填综合单价或合价的项目，在实施后，将不得以支付，并视作该项费用已包括在其他有价款的综合单价或合价内。</w:t>
            </w:r>
          </w:p>
          <w:p w14:paraId="32EE43C3">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（6）投标供应商应先到项目地点踏勘以充分了解项目的位置、情况、道路及任何其他足以影响投标报价的情况，任何因忽视或误解项目情况而导致的索赔或服务期限延长申请将不获批准。</w:t>
            </w:r>
          </w:p>
          <w:p w14:paraId="22C4A14F">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7）投标供应商不得期望通过索赔等方式获取补偿，否则，除可能遭到拒绝外，还可能将被作为不良行为记录在案，并可能影响其以后参加政府采购的项目投标。各投标供应商在报价时，应充分考虑报价的风险。</w:t>
            </w:r>
          </w:p>
          <w:p w14:paraId="36F029B1">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付款方式</w:t>
            </w:r>
          </w:p>
          <w:p w14:paraId="6E9D51AB">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签订合同后支付合同金额的40%</w:t>
            </w:r>
            <w:r>
              <w:rPr>
                <w:rFonts w:hint="eastAsia" w:ascii="仿宋_GB2312" w:hAnsi="仿宋_GB2312" w:eastAsia="仿宋_GB2312" w:cs="仿宋_GB2312"/>
                <w:color w:val="auto"/>
                <w:szCs w:val="21"/>
                <w:highlight w:val="none"/>
                <w:lang w:val="en-US" w:eastAsia="zh-CN"/>
              </w:rPr>
              <w:t>监理服务费作为预付款</w:t>
            </w:r>
            <w:r>
              <w:rPr>
                <w:rFonts w:hint="eastAsia" w:ascii="仿宋_GB2312" w:hAnsi="仿宋_GB2312" w:eastAsia="仿宋_GB2312" w:cs="仿宋_GB2312"/>
                <w:color w:val="auto"/>
                <w:szCs w:val="21"/>
                <w:highlight w:val="none"/>
              </w:rPr>
              <w:t>，项目竣工验收</w:t>
            </w:r>
            <w:r>
              <w:rPr>
                <w:rFonts w:hint="eastAsia" w:ascii="仿宋_GB2312" w:hAnsi="仿宋_GB2312" w:eastAsia="仿宋_GB2312" w:cs="仿宋_GB2312"/>
                <w:color w:val="auto"/>
                <w:szCs w:val="21"/>
                <w:highlight w:val="none"/>
                <w:lang w:val="en-US" w:eastAsia="zh-CN"/>
              </w:rPr>
              <w:t>合格</w:t>
            </w:r>
            <w:r>
              <w:rPr>
                <w:rFonts w:hint="eastAsia" w:ascii="仿宋_GB2312" w:hAnsi="仿宋_GB2312" w:eastAsia="仿宋_GB2312" w:cs="仿宋_GB2312"/>
                <w:color w:val="auto"/>
                <w:szCs w:val="21"/>
                <w:highlight w:val="none"/>
              </w:rPr>
              <w:t>后支付合同金额</w:t>
            </w:r>
            <w:r>
              <w:rPr>
                <w:rFonts w:hint="eastAsia" w:ascii="仿宋_GB2312" w:hAnsi="仿宋_GB2312" w:eastAsia="仿宋_GB2312" w:cs="仿宋_GB2312"/>
                <w:color w:val="auto"/>
                <w:szCs w:val="21"/>
                <w:highlight w:val="none"/>
                <w:lang w:val="en-US" w:eastAsia="zh-CN"/>
              </w:rPr>
              <w:t>的</w:t>
            </w:r>
            <w:r>
              <w:rPr>
                <w:rFonts w:hint="eastAsia" w:ascii="仿宋_GB2312" w:hAnsi="仿宋_GB2312" w:eastAsia="仿宋_GB2312" w:cs="仿宋_GB2312"/>
                <w:color w:val="auto"/>
                <w:szCs w:val="21"/>
                <w:highlight w:val="none"/>
              </w:rPr>
              <w:t>30%</w:t>
            </w:r>
            <w:r>
              <w:rPr>
                <w:rFonts w:hint="eastAsia" w:ascii="仿宋_GB2312" w:hAnsi="仿宋_GB2312" w:eastAsia="仿宋_GB2312" w:cs="仿宋_GB2312"/>
                <w:color w:val="auto"/>
                <w:szCs w:val="21"/>
                <w:highlight w:val="none"/>
                <w:lang w:val="en-US" w:eastAsia="zh-CN"/>
              </w:rPr>
              <w:t>监理服务费</w:t>
            </w:r>
            <w:r>
              <w:rPr>
                <w:rFonts w:hint="eastAsia" w:ascii="仿宋_GB2312" w:hAnsi="仿宋_GB2312" w:eastAsia="仿宋_GB2312" w:cs="仿宋_GB2312"/>
                <w:color w:val="auto"/>
                <w:szCs w:val="21"/>
                <w:highlight w:val="none"/>
              </w:rPr>
              <w:t>，项目竣工结算</w:t>
            </w:r>
            <w:r>
              <w:rPr>
                <w:rFonts w:hint="eastAsia" w:ascii="仿宋_GB2312" w:hAnsi="仿宋_GB2312" w:eastAsia="仿宋_GB2312" w:cs="仿宋_GB2312"/>
                <w:color w:val="auto"/>
                <w:szCs w:val="21"/>
                <w:highlight w:val="none"/>
                <w:lang w:val="en-US" w:eastAsia="zh-CN"/>
              </w:rPr>
              <w:t>审计完成</w:t>
            </w:r>
            <w:r>
              <w:rPr>
                <w:rFonts w:hint="eastAsia" w:ascii="仿宋_GB2312" w:hAnsi="仿宋_GB2312" w:eastAsia="仿宋_GB2312" w:cs="仿宋_GB2312"/>
                <w:color w:val="auto"/>
                <w:szCs w:val="21"/>
                <w:highlight w:val="none"/>
              </w:rPr>
              <w:t>后支付</w:t>
            </w:r>
            <w:r>
              <w:rPr>
                <w:rFonts w:hint="eastAsia" w:ascii="仿宋_GB2312" w:hAnsi="仿宋_GB2312" w:eastAsia="仿宋_GB2312" w:cs="仿宋_GB2312"/>
                <w:color w:val="auto"/>
                <w:szCs w:val="21"/>
                <w:highlight w:val="none"/>
                <w:lang w:val="en-US" w:eastAsia="zh-CN"/>
              </w:rPr>
              <w:t>剩余的监理服务费用</w:t>
            </w:r>
            <w:r>
              <w:rPr>
                <w:rFonts w:hint="eastAsia" w:ascii="仿宋_GB2312" w:hAnsi="仿宋_GB2312" w:eastAsia="仿宋_GB2312" w:cs="仿宋_GB2312"/>
                <w:color w:val="auto"/>
                <w:szCs w:val="21"/>
                <w:highlight w:val="none"/>
              </w:rPr>
              <w:t>。</w:t>
            </w:r>
          </w:p>
          <w:p w14:paraId="47F13B7E">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履约保证金</w:t>
            </w:r>
          </w:p>
          <w:p w14:paraId="5910F528">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该项目不设保证金，中标单位需签订《政府采购投标及履约承诺函》。</w:t>
            </w:r>
          </w:p>
          <w:p w14:paraId="2C7F36FD">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违约责任</w:t>
            </w:r>
          </w:p>
          <w:p w14:paraId="2E1BDAD9">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如未按监理服务要求开展全程监理服务工作，未按照合同约定履行监理义务，如监理人员配备不足、工作失职、未及时发现质量问题等，导致项目出现质量事故、进度延误或投资失控等情况，监理单位应承担相应的违约责任，将扣除中标费用的20%。</w:t>
            </w:r>
          </w:p>
          <w:p w14:paraId="792F9642">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color w:val="auto"/>
                <w:szCs w:val="21"/>
                <w:highlight w:val="none"/>
              </w:rPr>
              <w:t>*</w:t>
            </w:r>
            <w:r>
              <w:rPr>
                <w:rFonts w:hint="eastAsia" w:ascii="仿宋_GB2312" w:hAnsi="仿宋_GB2312" w:eastAsia="仿宋_GB2312" w:cs="仿宋_GB2312"/>
                <w:color w:val="auto"/>
                <w:szCs w:val="21"/>
                <w:highlight w:val="none"/>
              </w:rPr>
              <w:t>5</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服务质量监督和项目验收要求</w:t>
            </w:r>
          </w:p>
          <w:p w14:paraId="52E9BB74">
            <w:pPr>
              <w:shd w:val="clear"/>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服务质量监督要求：监理单位应当按照项目建设目标要求，遵循国家、省、市信息系统项目建设和监理的标准和规范，依据项目建设合同和建设单位需求，采用适合本项目特点的先进、科学、合理的项目管理技巧和手段，对项目进行全过程监理。</w:t>
            </w:r>
          </w:p>
          <w:p w14:paraId="7497FF93">
            <w:pPr>
              <w:shd w:val="clear"/>
              <w:ind w:firstLine="420" w:firstLineChars="200"/>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zCs w:val="21"/>
                <w:highlight w:val="none"/>
                <w:lang w:val="en-US" w:eastAsia="zh-CN"/>
              </w:rPr>
              <w:t>项目验收要求：</w:t>
            </w:r>
            <w:r>
              <w:rPr>
                <w:rFonts w:hint="eastAsia" w:ascii="仿宋_GB2312" w:hAnsi="仿宋_GB2312" w:eastAsia="仿宋_GB2312" w:cs="仿宋_GB2312"/>
                <w:color w:val="auto"/>
                <w:szCs w:val="21"/>
                <w:highlight w:val="none"/>
                <w:lang w:eastAsia="zh-CN"/>
              </w:rPr>
              <w:t>监理服务项目的验收与被委托的建设项目的竣工验收情况挂钩，</w:t>
            </w:r>
            <w:r>
              <w:rPr>
                <w:rFonts w:hint="eastAsia" w:ascii="仿宋_GB2312" w:hAnsi="仿宋_GB2312" w:eastAsia="仿宋_GB2312" w:cs="仿宋_GB2312"/>
                <w:color w:val="auto"/>
                <w:szCs w:val="21"/>
                <w:highlight w:val="none"/>
              </w:rPr>
              <w:t>监理单位要对</w:t>
            </w:r>
            <w:r>
              <w:rPr>
                <w:rFonts w:hint="eastAsia" w:ascii="仿宋_GB2312" w:hAnsi="仿宋_GB2312" w:eastAsia="仿宋_GB2312" w:cs="仿宋_GB2312"/>
                <w:color w:val="auto"/>
                <w:szCs w:val="21"/>
                <w:highlight w:val="none"/>
                <w:lang w:val="en-US" w:eastAsia="zh-CN"/>
              </w:rPr>
              <w:t>建设</w:t>
            </w:r>
            <w:r>
              <w:rPr>
                <w:rFonts w:hint="eastAsia" w:ascii="仿宋_GB2312" w:hAnsi="仿宋_GB2312" w:eastAsia="仿宋_GB2312" w:cs="仿宋_GB2312"/>
                <w:color w:val="auto"/>
                <w:szCs w:val="21"/>
                <w:highlight w:val="none"/>
              </w:rPr>
              <w:t>工程实体进行全面检查，重点检查关键工序、隐蔽工程的施工质量，核对原材料、构配件的使用情况是否与设计要求相符，对施工资料进行全面审查，确保资料齐全、准确、规范。如</w:t>
            </w:r>
            <w:r>
              <w:rPr>
                <w:rFonts w:hint="eastAsia" w:ascii="仿宋_GB2312" w:hAnsi="仿宋_GB2312" w:eastAsia="仿宋_GB2312" w:cs="仿宋_GB2312"/>
                <w:color w:val="auto"/>
                <w:szCs w:val="21"/>
                <w:highlight w:val="none"/>
                <w:lang w:val="en-US" w:eastAsia="zh-CN"/>
              </w:rPr>
              <w:t>项目</w:t>
            </w:r>
            <w:r>
              <w:rPr>
                <w:rFonts w:hint="eastAsia" w:ascii="仿宋_GB2312" w:hAnsi="仿宋_GB2312" w:eastAsia="仿宋_GB2312" w:cs="仿宋_GB2312"/>
                <w:color w:val="auto"/>
                <w:szCs w:val="21"/>
                <w:highlight w:val="none"/>
              </w:rPr>
              <w:t>验收不合格</w:t>
            </w:r>
            <w:r>
              <w:rPr>
                <w:rFonts w:hint="eastAsia" w:ascii="仿宋_GB2312" w:hAnsi="仿宋_GB2312" w:eastAsia="仿宋_GB2312" w:cs="仿宋_GB2312"/>
                <w:color w:val="auto"/>
                <w:szCs w:val="21"/>
                <w:highlight w:val="none"/>
                <w:lang w:val="en-US" w:eastAsia="zh-CN"/>
              </w:rPr>
              <w:t>需整改</w:t>
            </w:r>
            <w:r>
              <w:rPr>
                <w:rFonts w:hint="eastAsia" w:ascii="仿宋_GB2312" w:hAnsi="仿宋_GB2312" w:eastAsia="仿宋_GB2312" w:cs="仿宋_GB2312"/>
                <w:color w:val="auto"/>
                <w:szCs w:val="21"/>
                <w:highlight w:val="none"/>
              </w:rPr>
              <w:t>，监理单位应协助</w:t>
            </w:r>
            <w:r>
              <w:rPr>
                <w:rFonts w:hint="eastAsia" w:ascii="仿宋_GB2312" w:hAnsi="仿宋_GB2312" w:eastAsia="仿宋_GB2312" w:cs="仿宋_GB2312"/>
                <w:color w:val="auto"/>
                <w:szCs w:val="21"/>
                <w:highlight w:val="none"/>
                <w:lang w:eastAsia="zh-CN"/>
              </w:rPr>
              <w:t>建设单位</w:t>
            </w:r>
            <w:r>
              <w:rPr>
                <w:rFonts w:hint="eastAsia" w:ascii="仿宋_GB2312" w:hAnsi="仿宋_GB2312" w:eastAsia="仿宋_GB2312" w:cs="仿宋_GB2312"/>
                <w:color w:val="auto"/>
                <w:szCs w:val="21"/>
                <w:highlight w:val="none"/>
              </w:rPr>
              <w:t>督促施工单位进行整改，并对整改情况进行复查。被委托的建设项目</w:t>
            </w:r>
            <w:r>
              <w:rPr>
                <w:rFonts w:hint="eastAsia" w:ascii="仿宋_GB2312" w:hAnsi="仿宋_GB2312" w:eastAsia="仿宋_GB2312" w:cs="仿宋_GB2312"/>
                <w:color w:val="auto"/>
                <w:szCs w:val="21"/>
                <w:highlight w:val="none"/>
                <w:lang w:val="en-US" w:eastAsia="zh-CN"/>
              </w:rPr>
              <w:t>通过</w:t>
            </w:r>
            <w:r>
              <w:rPr>
                <w:rFonts w:hint="eastAsia" w:ascii="仿宋_GB2312" w:hAnsi="仿宋_GB2312" w:eastAsia="仿宋_GB2312" w:cs="仿宋_GB2312"/>
                <w:color w:val="auto"/>
                <w:szCs w:val="21"/>
                <w:highlight w:val="none"/>
              </w:rPr>
              <w:t>验收</w:t>
            </w:r>
            <w:r>
              <w:rPr>
                <w:rFonts w:hint="eastAsia" w:ascii="仿宋_GB2312" w:hAnsi="仿宋_GB2312" w:eastAsia="仿宋_GB2312" w:cs="仿宋_GB2312"/>
                <w:color w:val="auto"/>
                <w:szCs w:val="21"/>
                <w:highlight w:val="none"/>
                <w:lang w:val="en-US" w:eastAsia="zh-CN"/>
              </w:rPr>
              <w:t>合格</w:t>
            </w:r>
            <w:r>
              <w:rPr>
                <w:rFonts w:hint="eastAsia" w:ascii="仿宋_GB2312" w:hAnsi="仿宋_GB2312" w:eastAsia="仿宋_GB2312" w:cs="仿宋_GB2312"/>
                <w:color w:val="auto"/>
                <w:szCs w:val="21"/>
                <w:highlight w:val="none"/>
              </w:rPr>
              <w:t>后</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相应的监理服务</w:t>
            </w:r>
            <w:r>
              <w:rPr>
                <w:rFonts w:hint="eastAsia" w:ascii="仿宋_GB2312" w:hAnsi="仿宋_GB2312" w:eastAsia="仿宋_GB2312" w:cs="仿宋_GB2312"/>
                <w:color w:val="auto"/>
                <w:szCs w:val="21"/>
                <w:highlight w:val="none"/>
                <w:lang w:val="en-US" w:eastAsia="zh-CN"/>
              </w:rPr>
              <w:t>一同</w:t>
            </w:r>
            <w:r>
              <w:rPr>
                <w:rFonts w:hint="eastAsia" w:ascii="仿宋_GB2312" w:hAnsi="仿宋_GB2312" w:eastAsia="仿宋_GB2312" w:cs="仿宋_GB2312"/>
                <w:color w:val="auto"/>
                <w:szCs w:val="21"/>
                <w:highlight w:val="none"/>
              </w:rPr>
              <w:t>视为完成验收并需出具相应的监理总结报告。</w:t>
            </w:r>
          </w:p>
        </w:tc>
      </w:tr>
      <w:tr w14:paraId="7EA6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Align w:val="center"/>
          </w:tcPr>
          <w:p w14:paraId="6799282F">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具体技术要求</w:t>
            </w:r>
          </w:p>
        </w:tc>
        <w:tc>
          <w:tcPr>
            <w:tcW w:w="7407" w:type="dxa"/>
            <w:gridSpan w:val="8"/>
          </w:tcPr>
          <w:p w14:paraId="4FE855FB">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监理目标主要包括：</w:t>
            </w:r>
          </w:p>
          <w:p w14:paraId="2C62248F">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lang w:val="en-US" w:eastAsia="zh-CN"/>
              </w:rPr>
              <w:t>1</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项目目标：</w:t>
            </w:r>
            <w:r>
              <w:rPr>
                <w:rFonts w:hint="eastAsia" w:ascii="仿宋_GB2312" w:hAnsi="仿宋_GB2312" w:eastAsia="仿宋_GB2312" w:cs="仿宋_GB2312"/>
                <w:color w:val="auto"/>
                <w:szCs w:val="21"/>
                <w:highlight w:val="none"/>
                <w:u w:val="none"/>
                <w:lang w:val="en-US" w:eastAsia="zh-CN"/>
              </w:rPr>
              <w:t>根据项目需求制定适用于本项目的</w:t>
            </w:r>
            <w:r>
              <w:rPr>
                <w:rFonts w:hint="eastAsia" w:ascii="仿宋_GB2312" w:hAnsi="仿宋_GB2312" w:eastAsia="仿宋_GB2312" w:cs="仿宋_GB2312"/>
                <w:color w:val="auto"/>
                <w:szCs w:val="21"/>
                <w:highlight w:val="none"/>
                <w:u w:val="none"/>
              </w:rPr>
              <w:t>变更控制流程，严格把控项目建设过程中的各类设计变更，保证</w:t>
            </w:r>
            <w:r>
              <w:rPr>
                <w:rFonts w:hint="eastAsia" w:ascii="仿宋_GB2312" w:hAnsi="仿宋_GB2312" w:eastAsia="仿宋_GB2312" w:cs="仿宋_GB2312"/>
                <w:color w:val="auto"/>
                <w:szCs w:val="21"/>
                <w:highlight w:val="none"/>
                <w:u w:val="none"/>
                <w:lang w:eastAsia="zh-CN"/>
              </w:rPr>
              <w:t>建设</w:t>
            </w:r>
            <w:r>
              <w:rPr>
                <w:rFonts w:hint="eastAsia" w:ascii="仿宋_GB2312" w:hAnsi="仿宋_GB2312" w:eastAsia="仿宋_GB2312" w:cs="仿宋_GB2312"/>
                <w:color w:val="auto"/>
                <w:szCs w:val="21"/>
                <w:highlight w:val="none"/>
                <w:u w:val="none"/>
              </w:rPr>
              <w:t>的效果。</w:t>
            </w:r>
          </w:p>
          <w:p w14:paraId="60EFB62D">
            <w:pPr>
              <w:shd w:val="clear"/>
              <w:ind w:firstLine="420" w:firstLineChars="200"/>
              <w:jc w:val="left"/>
              <w:rPr>
                <w:rFonts w:hint="eastAsia" w:ascii="仿宋_GB2312" w:hAnsi="仿宋_GB2312" w:eastAsia="仿宋_GB2312" w:cs="仿宋_GB2312"/>
                <w:color w:val="auto"/>
                <w:szCs w:val="21"/>
                <w:highlight w:val="none"/>
                <w:u w:val="none"/>
                <w:lang w:val="en-US" w:eastAsia="zh-CN"/>
              </w:rPr>
            </w:pP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lang w:val="en-US" w:eastAsia="zh-CN"/>
              </w:rPr>
              <w:t>2</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质量目标：</w:t>
            </w:r>
            <w:r>
              <w:rPr>
                <w:rFonts w:hint="eastAsia" w:ascii="仿宋_GB2312" w:hAnsi="仿宋_GB2312" w:eastAsia="仿宋_GB2312" w:cs="仿宋_GB2312"/>
                <w:color w:val="auto"/>
                <w:szCs w:val="21"/>
                <w:highlight w:val="none"/>
                <w:u w:val="none"/>
                <w:lang w:val="en-US" w:eastAsia="zh-CN"/>
              </w:rPr>
              <w:t>确保实现</w:t>
            </w:r>
            <w:r>
              <w:rPr>
                <w:rFonts w:hint="eastAsia" w:ascii="仿宋_GB2312" w:hAnsi="仿宋_GB2312" w:eastAsia="仿宋_GB2312" w:cs="仿宋_GB2312"/>
                <w:color w:val="auto"/>
                <w:szCs w:val="21"/>
                <w:highlight w:val="none"/>
                <w:u w:val="none"/>
              </w:rPr>
              <w:t>合同及设计方案中的各项</w:t>
            </w:r>
            <w:r>
              <w:rPr>
                <w:rFonts w:hint="eastAsia" w:ascii="仿宋_GB2312" w:hAnsi="仿宋_GB2312" w:eastAsia="仿宋_GB2312" w:cs="仿宋_GB2312"/>
                <w:color w:val="auto"/>
                <w:szCs w:val="21"/>
                <w:highlight w:val="none"/>
                <w:u w:val="none"/>
                <w:lang w:val="en-US" w:eastAsia="zh-CN"/>
              </w:rPr>
              <w:t>要求</w:t>
            </w:r>
            <w:r>
              <w:rPr>
                <w:rFonts w:hint="eastAsia" w:ascii="仿宋_GB2312" w:hAnsi="仿宋_GB2312" w:eastAsia="仿宋_GB2312" w:cs="仿宋_GB2312"/>
                <w:color w:val="auto"/>
                <w:szCs w:val="21"/>
                <w:highlight w:val="none"/>
                <w:u w:val="none"/>
              </w:rPr>
              <w:t>，并符合设计</w:t>
            </w:r>
            <w:r>
              <w:rPr>
                <w:rFonts w:hint="eastAsia" w:ascii="仿宋_GB2312" w:hAnsi="仿宋_GB2312" w:eastAsia="仿宋_GB2312" w:cs="仿宋_GB2312"/>
                <w:color w:val="auto"/>
                <w:szCs w:val="21"/>
                <w:highlight w:val="none"/>
                <w:u w:val="none"/>
                <w:lang w:val="en-US" w:eastAsia="zh-CN"/>
              </w:rPr>
              <w:t>图纸</w:t>
            </w:r>
            <w:r>
              <w:rPr>
                <w:rFonts w:hint="eastAsia" w:ascii="仿宋_GB2312" w:hAnsi="仿宋_GB2312" w:eastAsia="仿宋_GB2312" w:cs="仿宋_GB2312"/>
                <w:color w:val="auto"/>
                <w:szCs w:val="21"/>
                <w:highlight w:val="none"/>
                <w:u w:val="none"/>
              </w:rPr>
              <w:t>中的质量标准。</w:t>
            </w:r>
            <w:r>
              <w:rPr>
                <w:rFonts w:hint="eastAsia" w:ascii="仿宋_GB2312" w:hAnsi="仿宋_GB2312" w:eastAsia="仿宋_GB2312" w:cs="仿宋_GB2312"/>
                <w:color w:val="auto"/>
                <w:szCs w:val="21"/>
                <w:highlight w:val="none"/>
                <w:u w:val="none"/>
                <w:lang w:val="en-US" w:eastAsia="zh-CN"/>
              </w:rPr>
              <w:t xml:space="preserve"> </w:t>
            </w:r>
          </w:p>
          <w:p w14:paraId="77EE5851">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lang w:val="en-US" w:eastAsia="zh-CN"/>
              </w:rPr>
              <w:t>3</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合同和项目管理目标：对本项目涉及的合同、各类文档以及项目整体管理流程，提供严谨的审核与可靠的质量保证，保障各方权益，推动项目有序前行。</w:t>
            </w:r>
          </w:p>
          <w:p w14:paraId="459969FC">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lang w:val="en-US" w:eastAsia="zh-CN"/>
              </w:rPr>
              <w:t>4</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文档管理目标：对项目实施过程中产生的全部文档进行标准化、规范化的编制与管理，保证文档及时、完整、有效地记录项目各阶段进展，</w:t>
            </w:r>
            <w:r>
              <w:rPr>
                <w:rFonts w:hint="eastAsia" w:ascii="仿宋_GB2312" w:hAnsi="仿宋_GB2312" w:eastAsia="仿宋_GB2312" w:cs="仿宋_GB2312"/>
                <w:color w:val="auto"/>
                <w:szCs w:val="21"/>
                <w:highlight w:val="none"/>
              </w:rPr>
              <w:t>为后续</w:t>
            </w:r>
            <w:r>
              <w:rPr>
                <w:rFonts w:hint="eastAsia" w:ascii="仿宋_GB2312" w:hAnsi="仿宋_GB2312" w:eastAsia="仿宋_GB2312" w:cs="仿宋_GB2312"/>
                <w:color w:val="auto"/>
                <w:szCs w:val="21"/>
                <w:highlight w:val="none"/>
                <w:lang w:val="en-US" w:eastAsia="zh-CN"/>
              </w:rPr>
              <w:t>验收</w:t>
            </w:r>
            <w:r>
              <w:rPr>
                <w:rFonts w:hint="eastAsia" w:ascii="仿宋_GB2312" w:hAnsi="仿宋_GB2312" w:eastAsia="仿宋_GB2312" w:cs="仿宋_GB2312"/>
                <w:color w:val="auto"/>
                <w:szCs w:val="21"/>
                <w:highlight w:val="none"/>
              </w:rPr>
              <w:t>、评估提供</w:t>
            </w:r>
            <w:r>
              <w:rPr>
                <w:rFonts w:hint="eastAsia" w:ascii="仿宋_GB2312" w:hAnsi="仿宋_GB2312" w:eastAsia="仿宋_GB2312" w:cs="仿宋_GB2312"/>
                <w:color w:val="auto"/>
                <w:szCs w:val="21"/>
                <w:highlight w:val="none"/>
                <w:lang w:eastAsia="zh-CN"/>
              </w:rPr>
              <w:t>翔实</w:t>
            </w:r>
            <w:r>
              <w:rPr>
                <w:rFonts w:hint="eastAsia" w:ascii="仿宋_GB2312" w:hAnsi="仿宋_GB2312" w:eastAsia="仿宋_GB2312" w:cs="仿宋_GB2312"/>
                <w:color w:val="auto"/>
                <w:szCs w:val="21"/>
                <w:highlight w:val="none"/>
              </w:rPr>
              <w:t>依据。</w:t>
            </w:r>
          </w:p>
          <w:p w14:paraId="5BC5CD2B">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监理服务工作</w:t>
            </w:r>
            <w:r>
              <w:rPr>
                <w:rFonts w:hint="eastAsia" w:ascii="仿宋_GB2312" w:hAnsi="仿宋_GB2312" w:eastAsia="仿宋_GB2312" w:cs="仿宋_GB2312"/>
                <w:color w:val="auto"/>
                <w:szCs w:val="21"/>
                <w:highlight w:val="none"/>
                <w:lang w:val="en-US" w:eastAsia="zh-CN"/>
              </w:rPr>
              <w:t>内容要求</w:t>
            </w:r>
          </w:p>
          <w:p w14:paraId="227BAEE0">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监理要点</w:t>
            </w:r>
          </w:p>
          <w:p w14:paraId="136ACD95">
            <w:pPr>
              <w:shd w:val="clear"/>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eastAsia="zh-CN"/>
              </w:rPr>
              <w:t>把关项</w:t>
            </w:r>
            <w:r>
              <w:rPr>
                <w:rFonts w:hint="eastAsia" w:ascii="仿宋_GB2312" w:hAnsi="仿宋_GB2312" w:eastAsia="仿宋_GB2312" w:cs="仿宋_GB2312"/>
                <w:color w:val="auto"/>
                <w:szCs w:val="21"/>
                <w:highlight w:val="none"/>
              </w:rPr>
              <w:t>目组织及总体方案</w:t>
            </w:r>
            <w:r>
              <w:rPr>
                <w:rFonts w:hint="eastAsia" w:ascii="仿宋_GB2312" w:hAnsi="仿宋_GB2312" w:eastAsia="仿宋_GB2312" w:cs="仿宋_GB2312"/>
                <w:color w:val="auto"/>
                <w:szCs w:val="21"/>
                <w:highlight w:val="none"/>
                <w:lang w:eastAsia="zh-CN"/>
              </w:rPr>
              <w:t>。</w:t>
            </w:r>
          </w:p>
          <w:p w14:paraId="075B260E">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2）审核和确认承建单位的实施方案和项目计划</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保障施工有序推进。</w:t>
            </w:r>
          </w:p>
          <w:p w14:paraId="5D627B52">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3）审查承建单位的工程质量保证计划及质量控制体系，严守生态建设质量关</w:t>
            </w:r>
            <w:r>
              <w:rPr>
                <w:rFonts w:hint="eastAsia" w:ascii="仿宋_GB2312" w:hAnsi="仿宋_GB2312" w:eastAsia="仿宋_GB2312" w:cs="仿宋_GB2312"/>
                <w:color w:val="auto"/>
                <w:szCs w:val="21"/>
                <w:highlight w:val="none"/>
                <w:lang w:eastAsia="zh-CN"/>
              </w:rPr>
              <w:t>。</w:t>
            </w:r>
          </w:p>
          <w:p w14:paraId="1478DD29">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4）审核承建单位的项目进度计划和进度节点控制</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保障项目按时完工。</w:t>
            </w:r>
          </w:p>
          <w:p w14:paraId="1D834901">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rPr>
              <w:t>）全程监督</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审核</w:t>
            </w:r>
            <w:r>
              <w:rPr>
                <w:rFonts w:hint="eastAsia" w:ascii="仿宋_GB2312" w:hAnsi="仿宋_GB2312" w:eastAsia="仿宋_GB2312" w:cs="仿宋_GB2312"/>
                <w:color w:val="auto"/>
                <w:szCs w:val="21"/>
                <w:highlight w:val="none"/>
              </w:rPr>
              <w:t>相关文档的移交验收，确保资料完整</w:t>
            </w:r>
            <w:r>
              <w:rPr>
                <w:rFonts w:hint="eastAsia" w:ascii="仿宋_GB2312" w:hAnsi="仿宋_GB2312" w:eastAsia="仿宋_GB2312" w:cs="仿宋_GB2312"/>
                <w:color w:val="auto"/>
                <w:szCs w:val="21"/>
                <w:highlight w:val="none"/>
                <w:lang w:val="en-US" w:eastAsia="zh-CN"/>
              </w:rPr>
              <w:t>交付。</w:t>
            </w:r>
          </w:p>
          <w:p w14:paraId="7A02D739">
            <w:pPr>
              <w:shd w:val="clear"/>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监理</w:t>
            </w:r>
            <w:r>
              <w:rPr>
                <w:rFonts w:hint="eastAsia" w:ascii="仿宋_GB2312" w:hAnsi="仿宋_GB2312" w:eastAsia="仿宋_GB2312" w:cs="仿宋_GB2312"/>
                <w:color w:val="auto"/>
                <w:szCs w:val="21"/>
                <w:highlight w:val="none"/>
                <w:lang w:val="en-US" w:eastAsia="zh-CN"/>
              </w:rPr>
              <w:t>管理</w:t>
            </w:r>
          </w:p>
          <w:p w14:paraId="15224E1F">
            <w:pPr>
              <w:shd w:val="clear"/>
              <w:ind w:firstLine="420" w:firstLineChars="200"/>
              <w:jc w:val="left"/>
              <w:rPr>
                <w:rFonts w:hint="eastAsia" w:ascii="仿宋_GB2312" w:hAnsi="仿宋_GB2312" w:eastAsia="仿宋_GB2312" w:cs="仿宋_GB2312"/>
                <w:color w:val="auto"/>
                <w:szCs w:val="21"/>
                <w:highlight w:val="none"/>
                <w:u w:val="none"/>
                <w:lang w:eastAsia="zh-CN"/>
              </w:rPr>
            </w:pPr>
            <w:r>
              <w:rPr>
                <w:rFonts w:hint="eastAsia" w:ascii="仿宋_GB2312" w:hAnsi="仿宋_GB2312" w:eastAsia="仿宋_GB2312" w:cs="仿宋_GB2312"/>
                <w:color w:val="auto"/>
                <w:szCs w:val="21"/>
                <w:highlight w:val="none"/>
                <w:u w:val="none"/>
                <w:lang w:val="en-US" w:eastAsia="zh-CN"/>
              </w:rPr>
              <w:t>1）</w:t>
            </w:r>
            <w:r>
              <w:rPr>
                <w:rFonts w:hint="eastAsia" w:ascii="仿宋_GB2312" w:hAnsi="仿宋_GB2312" w:eastAsia="仿宋_GB2312" w:cs="仿宋_GB2312"/>
                <w:color w:val="auto"/>
                <w:szCs w:val="21"/>
                <w:highlight w:val="none"/>
                <w:u w:val="none"/>
              </w:rPr>
              <w:t>质量控制</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依据有关的招标文件、投标文件、合同和设计单位制定的技术文件，审查、监督、控制项目建设的质量</w:t>
            </w:r>
            <w:r>
              <w:rPr>
                <w:rFonts w:hint="eastAsia" w:ascii="仿宋_GB2312" w:hAnsi="仿宋_GB2312" w:eastAsia="仿宋_GB2312" w:cs="仿宋_GB2312"/>
                <w:color w:val="auto"/>
                <w:szCs w:val="21"/>
                <w:highlight w:val="none"/>
                <w:u w:val="none"/>
                <w:lang w:eastAsia="zh-CN"/>
              </w:rPr>
              <w:t>。项目建设期间安排专业人员进行旁站监理，监督关键施工节点质量，</w:t>
            </w:r>
            <w:r>
              <w:rPr>
                <w:rFonts w:hint="eastAsia" w:ascii="仿宋_GB2312" w:hAnsi="仿宋_GB2312" w:eastAsia="仿宋_GB2312" w:cs="仿宋_GB2312"/>
                <w:color w:val="auto"/>
                <w:szCs w:val="21"/>
                <w:highlight w:val="none"/>
                <w:u w:val="none"/>
              </w:rPr>
              <w:t>采取事前预防、事中控制、事后纠正的监理方式，依据国家法律、法规、标准以及项目合同、初步设计及概算、监理规划、监理实施细则等文件控制工程质量</w:t>
            </w:r>
            <w:r>
              <w:rPr>
                <w:rFonts w:hint="eastAsia" w:ascii="仿宋_GB2312" w:hAnsi="仿宋_GB2312" w:eastAsia="仿宋_GB2312" w:cs="仿宋_GB2312"/>
                <w:color w:val="auto"/>
                <w:szCs w:val="21"/>
                <w:highlight w:val="none"/>
                <w:u w:val="none"/>
                <w:lang w:eastAsia="zh-CN"/>
              </w:rPr>
              <w:t>。</w:t>
            </w:r>
          </w:p>
          <w:p w14:paraId="7A6BF914">
            <w:pPr>
              <w:shd w:val="clear"/>
              <w:ind w:firstLine="420" w:firstLineChars="200"/>
              <w:jc w:val="left"/>
              <w:rPr>
                <w:rFonts w:hint="eastAsia" w:ascii="仿宋_GB2312" w:hAnsi="仿宋_GB2312" w:eastAsia="仿宋_GB2312" w:cs="仿宋_GB2312"/>
                <w:color w:val="auto"/>
                <w:szCs w:val="21"/>
                <w:highlight w:val="none"/>
                <w:u w:val="none"/>
                <w:lang w:val="en-US" w:eastAsia="zh-CN"/>
              </w:rPr>
            </w:pPr>
            <w:r>
              <w:rPr>
                <w:rFonts w:hint="eastAsia" w:ascii="仿宋_GB2312" w:hAnsi="仿宋_GB2312" w:eastAsia="仿宋_GB2312" w:cs="仿宋_GB2312"/>
                <w:color w:val="auto"/>
                <w:szCs w:val="21"/>
                <w:highlight w:val="none"/>
                <w:u w:val="none"/>
                <w:lang w:val="en-US" w:eastAsia="zh-CN"/>
              </w:rPr>
              <w:t>2）安全控制：项目现场日常的安全检查、监督和指导工作，实行定期和不定期的安全检查制度，对施工现场的安全隐患进行排查。</w:t>
            </w:r>
          </w:p>
          <w:p w14:paraId="1FCA4E40">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lang w:val="en-US" w:eastAsia="zh-CN"/>
              </w:rPr>
              <w:t>3）</w:t>
            </w:r>
            <w:r>
              <w:rPr>
                <w:rFonts w:hint="eastAsia" w:ascii="仿宋_GB2312" w:hAnsi="仿宋_GB2312" w:eastAsia="仿宋_GB2312" w:cs="仿宋_GB2312"/>
                <w:color w:val="auto"/>
                <w:szCs w:val="21"/>
                <w:highlight w:val="none"/>
                <w:u w:val="none"/>
              </w:rPr>
              <w:t>进度控制</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审核承建单位提出的进度计划，检查、督促和控制其执行</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发现工程未能按计划进行时，采取必要措施加快开发进度，以使实际项目进度符合合同的要求。</w:t>
            </w:r>
          </w:p>
          <w:p w14:paraId="5CC63675">
            <w:pPr>
              <w:shd w:val="clear"/>
              <w:ind w:firstLine="420" w:firstLineChars="200"/>
              <w:jc w:val="left"/>
              <w:rPr>
                <w:rFonts w:hint="eastAsia" w:ascii="仿宋_GB2312" w:hAnsi="仿宋_GB2312" w:eastAsia="仿宋_GB2312" w:cs="仿宋_GB2312"/>
                <w:color w:val="auto"/>
                <w:szCs w:val="21"/>
                <w:highlight w:val="none"/>
                <w:u w:val="none"/>
                <w:lang w:eastAsia="zh-CN"/>
              </w:rPr>
            </w:pPr>
            <w:r>
              <w:rPr>
                <w:rFonts w:hint="eastAsia" w:ascii="仿宋_GB2312" w:hAnsi="仿宋_GB2312" w:eastAsia="仿宋_GB2312" w:cs="仿宋_GB2312"/>
                <w:color w:val="auto"/>
                <w:szCs w:val="21"/>
                <w:highlight w:val="none"/>
                <w:u w:val="none"/>
                <w:lang w:val="en-US" w:eastAsia="zh-CN"/>
              </w:rPr>
              <w:t>4）</w:t>
            </w:r>
            <w:r>
              <w:rPr>
                <w:rFonts w:hint="eastAsia" w:ascii="仿宋_GB2312" w:hAnsi="仿宋_GB2312" w:eastAsia="仿宋_GB2312" w:cs="仿宋_GB2312"/>
                <w:color w:val="auto"/>
                <w:szCs w:val="21"/>
                <w:highlight w:val="none"/>
                <w:u w:val="none"/>
              </w:rPr>
              <w:t>变更控制</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对项目的内容和规模变更进行严格控制，不能随意地进行变更</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任何变更都要</w:t>
            </w:r>
            <w:r>
              <w:rPr>
                <w:rFonts w:hint="eastAsia" w:ascii="仿宋_GB2312" w:hAnsi="仿宋_GB2312" w:eastAsia="仿宋_GB2312" w:cs="仿宋_GB2312"/>
                <w:color w:val="auto"/>
                <w:szCs w:val="21"/>
                <w:highlight w:val="none"/>
                <w:u w:val="none"/>
                <w:lang w:val="en-US" w:eastAsia="zh-CN"/>
              </w:rPr>
              <w:t>经过四</w:t>
            </w:r>
            <w:r>
              <w:rPr>
                <w:rFonts w:hint="eastAsia" w:ascii="仿宋_GB2312" w:hAnsi="仿宋_GB2312" w:eastAsia="仿宋_GB2312" w:cs="仿宋_GB2312"/>
                <w:color w:val="auto"/>
                <w:szCs w:val="21"/>
                <w:highlight w:val="none"/>
                <w:u w:val="none"/>
              </w:rPr>
              <w:t>方（建设单位、</w:t>
            </w:r>
            <w:r>
              <w:rPr>
                <w:rFonts w:hint="eastAsia" w:ascii="仿宋_GB2312" w:hAnsi="仿宋_GB2312" w:eastAsia="仿宋_GB2312" w:cs="仿宋_GB2312"/>
                <w:color w:val="auto"/>
                <w:szCs w:val="21"/>
                <w:highlight w:val="none"/>
                <w:u w:val="none"/>
                <w:lang w:val="en-US" w:eastAsia="zh-CN"/>
              </w:rPr>
              <w:t>设计单位、</w:t>
            </w:r>
            <w:r>
              <w:rPr>
                <w:rFonts w:hint="eastAsia" w:ascii="仿宋_GB2312" w:hAnsi="仿宋_GB2312" w:eastAsia="仿宋_GB2312" w:cs="仿宋_GB2312"/>
                <w:color w:val="auto"/>
                <w:szCs w:val="21"/>
                <w:highlight w:val="none"/>
                <w:u w:val="none"/>
              </w:rPr>
              <w:t>承建单位、监理单位）</w:t>
            </w:r>
            <w:r>
              <w:rPr>
                <w:rFonts w:hint="eastAsia" w:ascii="仿宋_GB2312" w:hAnsi="仿宋_GB2312" w:eastAsia="仿宋_GB2312" w:cs="仿宋_GB2312"/>
                <w:color w:val="auto"/>
                <w:szCs w:val="21"/>
                <w:highlight w:val="none"/>
                <w:u w:val="none"/>
                <w:lang w:val="en-US" w:eastAsia="zh-CN"/>
              </w:rPr>
              <w:t>的审核确认，形成书面文件，详细记录变更原因、内容</w:t>
            </w:r>
            <w:r>
              <w:rPr>
                <w:rFonts w:hint="eastAsia" w:ascii="仿宋_GB2312" w:hAnsi="仿宋_GB2312" w:eastAsia="仿宋_GB2312" w:cs="仿宋_GB2312"/>
                <w:color w:val="auto"/>
                <w:szCs w:val="21"/>
                <w:highlight w:val="none"/>
                <w:u w:val="none"/>
                <w:lang w:eastAsia="zh-CN"/>
              </w:rPr>
              <w:t>。</w:t>
            </w:r>
          </w:p>
          <w:p w14:paraId="35A39BAC">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lang w:val="en-US" w:eastAsia="zh-CN"/>
              </w:rPr>
              <w:t>5</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费用控制</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lang w:val="en-US" w:eastAsia="zh-CN"/>
              </w:rPr>
              <w:t>负责</w:t>
            </w:r>
            <w:r>
              <w:rPr>
                <w:rFonts w:hint="eastAsia" w:ascii="仿宋_GB2312" w:hAnsi="仿宋_GB2312" w:eastAsia="仿宋_GB2312" w:cs="仿宋_GB2312"/>
                <w:color w:val="auto"/>
                <w:szCs w:val="21"/>
                <w:highlight w:val="none"/>
                <w:u w:val="none"/>
              </w:rPr>
              <w:t>审查项目进度款申报</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审核承建单位的工程量清单和工程竣工结算。</w:t>
            </w:r>
          </w:p>
          <w:p w14:paraId="7EB9AF24">
            <w:pPr>
              <w:shd w:val="clear"/>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项目文档管理</w:t>
            </w:r>
          </w:p>
          <w:p w14:paraId="1361CD6D">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rPr>
              <w:t>1）及时向</w:t>
            </w:r>
            <w:r>
              <w:rPr>
                <w:rFonts w:hint="eastAsia" w:ascii="仿宋_GB2312" w:hAnsi="仿宋_GB2312" w:eastAsia="仿宋_GB2312" w:cs="仿宋_GB2312"/>
                <w:color w:val="auto"/>
                <w:szCs w:val="21"/>
                <w:highlight w:val="none"/>
                <w:u w:val="none"/>
                <w:lang w:eastAsia="zh-CN"/>
              </w:rPr>
              <w:t>建设单位</w:t>
            </w:r>
            <w:r>
              <w:rPr>
                <w:rFonts w:hint="eastAsia" w:ascii="仿宋_GB2312" w:hAnsi="仿宋_GB2312" w:eastAsia="仿宋_GB2312" w:cs="仿宋_GB2312"/>
                <w:color w:val="auto"/>
                <w:szCs w:val="21"/>
                <w:highlight w:val="none"/>
                <w:u w:val="none"/>
              </w:rPr>
              <w:t>提交反映各子项目的动态信息和监理工作情况的项目文档；</w:t>
            </w:r>
          </w:p>
          <w:p w14:paraId="71A8CAF9">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rPr>
              <w:t>2）建立全面、准确反映各子项目建设各阶段状况的各类文档和资料；</w:t>
            </w:r>
          </w:p>
          <w:p w14:paraId="172676EB">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rPr>
              <w:t>3）</w:t>
            </w:r>
            <w:r>
              <w:rPr>
                <w:rFonts w:hint="eastAsia" w:ascii="仿宋_GB2312" w:hAnsi="仿宋_GB2312" w:eastAsia="仿宋_GB2312" w:cs="仿宋_GB2312"/>
                <w:color w:val="auto"/>
                <w:szCs w:val="21"/>
                <w:highlight w:val="none"/>
                <w:u w:val="none"/>
                <w:lang w:val="en-US" w:eastAsia="zh-CN"/>
              </w:rPr>
              <w:t>审查</w:t>
            </w:r>
            <w:r>
              <w:rPr>
                <w:rFonts w:hint="eastAsia" w:ascii="仿宋_GB2312" w:hAnsi="仿宋_GB2312" w:eastAsia="仿宋_GB2312" w:cs="仿宋_GB2312"/>
                <w:color w:val="auto"/>
                <w:szCs w:val="21"/>
                <w:highlight w:val="none"/>
                <w:u w:val="none"/>
              </w:rPr>
              <w:t>承建单位</w:t>
            </w:r>
            <w:r>
              <w:rPr>
                <w:rFonts w:hint="eastAsia" w:ascii="仿宋_GB2312" w:hAnsi="仿宋_GB2312" w:eastAsia="仿宋_GB2312" w:cs="仿宋_GB2312"/>
                <w:color w:val="auto"/>
                <w:szCs w:val="21"/>
                <w:highlight w:val="none"/>
                <w:u w:val="none"/>
                <w:lang w:val="en-US" w:eastAsia="zh-CN"/>
              </w:rPr>
              <w:t>提交的全部项目相关文档资料，如材料进场资料、签证单、</w:t>
            </w:r>
            <w:r>
              <w:rPr>
                <w:rFonts w:hint="eastAsia" w:ascii="仿宋_GB2312" w:hAnsi="仿宋_GB2312" w:eastAsia="仿宋_GB2312" w:cs="仿宋_GB2312"/>
                <w:color w:val="auto"/>
                <w:szCs w:val="21"/>
                <w:highlight w:val="none"/>
                <w:u w:val="none"/>
              </w:rPr>
              <w:t>变更单、</w:t>
            </w:r>
            <w:r>
              <w:rPr>
                <w:rFonts w:hint="eastAsia" w:ascii="仿宋_GB2312" w:hAnsi="仿宋_GB2312" w:eastAsia="仿宋_GB2312" w:cs="仿宋_GB2312"/>
                <w:color w:val="auto"/>
                <w:szCs w:val="21"/>
                <w:highlight w:val="none"/>
                <w:u w:val="none"/>
                <w:lang w:val="en-US" w:eastAsia="zh-CN"/>
              </w:rPr>
              <w:t>隐蔽工程验收记录</w:t>
            </w:r>
            <w:r>
              <w:rPr>
                <w:rFonts w:hint="eastAsia" w:ascii="仿宋_GB2312" w:hAnsi="仿宋_GB2312" w:eastAsia="仿宋_GB2312" w:cs="仿宋_GB2312"/>
                <w:color w:val="auto"/>
                <w:szCs w:val="21"/>
                <w:highlight w:val="none"/>
                <w:u w:val="none"/>
              </w:rPr>
              <w:t>等资料</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lang w:val="en-US" w:eastAsia="zh-CN"/>
              </w:rPr>
              <w:t>并做好</w:t>
            </w:r>
            <w:r>
              <w:rPr>
                <w:rFonts w:hint="eastAsia" w:ascii="仿宋_GB2312" w:hAnsi="仿宋_GB2312" w:eastAsia="仿宋_GB2312" w:cs="仿宋_GB2312"/>
                <w:color w:val="auto"/>
                <w:szCs w:val="21"/>
                <w:highlight w:val="none"/>
                <w:u w:val="none"/>
              </w:rPr>
              <w:t>整理和归档</w:t>
            </w:r>
            <w:r>
              <w:rPr>
                <w:rFonts w:hint="eastAsia" w:ascii="仿宋_GB2312" w:hAnsi="仿宋_GB2312" w:eastAsia="仿宋_GB2312" w:cs="仿宋_GB2312"/>
                <w:color w:val="auto"/>
                <w:szCs w:val="21"/>
                <w:highlight w:val="none"/>
                <w:u w:val="none"/>
                <w:lang w:val="en-US" w:eastAsia="zh-CN"/>
              </w:rPr>
              <w:t>工作。</w:t>
            </w:r>
          </w:p>
          <w:p w14:paraId="5BF5579F">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lang w:val="en-US" w:eastAsia="zh-CN"/>
              </w:rPr>
              <w:t>4</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组织协调</w:t>
            </w:r>
          </w:p>
          <w:p w14:paraId="42E82F2E">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lang w:val="en-US" w:eastAsia="zh-CN"/>
              </w:rPr>
              <w:t>1）</w:t>
            </w:r>
            <w:r>
              <w:rPr>
                <w:rFonts w:hint="eastAsia" w:ascii="仿宋_GB2312" w:hAnsi="仿宋_GB2312" w:eastAsia="仿宋_GB2312" w:cs="仿宋_GB2312"/>
                <w:color w:val="auto"/>
                <w:szCs w:val="21"/>
                <w:highlight w:val="none"/>
                <w:u w:val="none"/>
              </w:rPr>
              <w:t>帮助</w:t>
            </w:r>
            <w:r>
              <w:rPr>
                <w:rFonts w:hint="eastAsia" w:ascii="仿宋_GB2312" w:hAnsi="仿宋_GB2312" w:eastAsia="仿宋_GB2312" w:cs="仿宋_GB2312"/>
                <w:color w:val="auto"/>
                <w:szCs w:val="21"/>
                <w:highlight w:val="none"/>
                <w:u w:val="none"/>
                <w:lang w:eastAsia="zh-CN"/>
              </w:rPr>
              <w:t>建设单位</w:t>
            </w:r>
            <w:r>
              <w:rPr>
                <w:rFonts w:hint="eastAsia" w:ascii="仿宋_GB2312" w:hAnsi="仿宋_GB2312" w:eastAsia="仿宋_GB2312" w:cs="仿宋_GB2312"/>
                <w:color w:val="auto"/>
                <w:szCs w:val="21"/>
                <w:highlight w:val="none"/>
                <w:u w:val="none"/>
              </w:rPr>
              <w:t>划分或澄清承建单位的工作范围和职责，在项目前期通过详细的工作界面划分，避免施工过程中的推诿扯皮现象，确保各方分工明确、协同高效。​</w:t>
            </w:r>
          </w:p>
          <w:p w14:paraId="3AEF17EA">
            <w:pPr>
              <w:shd w:val="clear"/>
              <w:ind w:firstLine="420" w:firstLineChars="200"/>
              <w:jc w:val="left"/>
              <w:rPr>
                <w:rFonts w:hint="eastAsia" w:ascii="仿宋_GB2312" w:hAnsi="仿宋_GB2312" w:eastAsia="仿宋_GB2312" w:cs="仿宋_GB2312"/>
                <w:color w:val="auto"/>
                <w:szCs w:val="21"/>
                <w:highlight w:val="none"/>
                <w:u w:val="none"/>
              </w:rPr>
            </w:pPr>
            <w:r>
              <w:rPr>
                <w:rFonts w:hint="eastAsia" w:ascii="仿宋_GB2312" w:hAnsi="仿宋_GB2312" w:eastAsia="仿宋_GB2312" w:cs="仿宋_GB2312"/>
                <w:color w:val="auto"/>
                <w:szCs w:val="21"/>
                <w:highlight w:val="none"/>
                <w:u w:val="none"/>
                <w:lang w:val="en-US" w:eastAsia="zh-CN"/>
              </w:rPr>
              <w:t>2）</w:t>
            </w:r>
            <w:r>
              <w:rPr>
                <w:rFonts w:hint="eastAsia" w:ascii="仿宋_GB2312" w:hAnsi="仿宋_GB2312" w:eastAsia="仿宋_GB2312" w:cs="仿宋_GB2312"/>
                <w:color w:val="auto"/>
                <w:szCs w:val="21"/>
                <w:highlight w:val="none"/>
                <w:u w:val="none"/>
              </w:rPr>
              <w:t>监督本项目各方履行职责，定期巡查施工现场，检查各方人员到岗、任务执行情况，对失职行为及时纠正，保障项目有序推进。​</w:t>
            </w:r>
          </w:p>
          <w:p w14:paraId="147FC4A6">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u w:val="none"/>
                <w:lang w:val="en-US" w:eastAsia="zh-CN"/>
              </w:rPr>
              <w:t>3）</w:t>
            </w:r>
            <w:r>
              <w:rPr>
                <w:rFonts w:hint="eastAsia" w:ascii="仿宋_GB2312" w:hAnsi="仿宋_GB2312" w:eastAsia="仿宋_GB2312" w:cs="仿宋_GB2312"/>
                <w:color w:val="auto"/>
                <w:szCs w:val="21"/>
                <w:highlight w:val="none"/>
                <w:u w:val="none"/>
              </w:rPr>
              <w:t>建立畅通的沟通平台和沟通渠道，组织定期项目例会</w:t>
            </w:r>
            <w:r>
              <w:rPr>
                <w:rFonts w:hint="eastAsia" w:ascii="仿宋_GB2312" w:hAnsi="仿宋_GB2312" w:eastAsia="仿宋_GB2312" w:cs="仿宋_GB2312"/>
                <w:color w:val="auto"/>
                <w:szCs w:val="21"/>
                <w:highlight w:val="none"/>
                <w:u w:val="none"/>
                <w:lang w:eastAsia="zh-CN"/>
              </w:rPr>
              <w:t>，</w:t>
            </w:r>
            <w:r>
              <w:rPr>
                <w:rFonts w:hint="eastAsia" w:ascii="仿宋_GB2312" w:hAnsi="仿宋_GB2312" w:eastAsia="仿宋_GB2312" w:cs="仿宋_GB2312"/>
                <w:color w:val="auto"/>
                <w:szCs w:val="21"/>
                <w:highlight w:val="none"/>
                <w:u w:val="none"/>
              </w:rPr>
              <w:t>采用现场</w:t>
            </w:r>
            <w:r>
              <w:rPr>
                <w:rFonts w:hint="eastAsia" w:ascii="仿宋_GB2312" w:hAnsi="仿宋_GB2312" w:eastAsia="仿宋_GB2312" w:cs="仿宋_GB2312"/>
                <w:color w:val="auto"/>
                <w:szCs w:val="21"/>
                <w:highlight w:val="none"/>
                <w:u w:val="none"/>
                <w:lang w:val="en-US" w:eastAsia="zh-CN"/>
              </w:rPr>
              <w:t>或线上</w:t>
            </w:r>
            <w:r>
              <w:rPr>
                <w:rFonts w:hint="eastAsia" w:ascii="仿宋_GB2312" w:hAnsi="仿宋_GB2312" w:eastAsia="仿宋_GB2312" w:cs="仿宋_GB2312"/>
                <w:color w:val="auto"/>
                <w:szCs w:val="21"/>
                <w:highlight w:val="none"/>
                <w:u w:val="none"/>
              </w:rPr>
              <w:t>沟通等多种方式，确保项目信息在建设单位、承建单位、监理单位以及设计单位等各方之间快速、准确传递，积极协调各方关系，及时解决项目实施过程中出现的问题。</w:t>
            </w:r>
          </w:p>
        </w:tc>
      </w:tr>
      <w:tr w14:paraId="0D900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60" w:type="dxa"/>
            <w:vAlign w:val="center"/>
          </w:tcPr>
          <w:p w14:paraId="10CE59B0">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商务需求</w:t>
            </w:r>
          </w:p>
        </w:tc>
        <w:tc>
          <w:tcPr>
            <w:tcW w:w="7407" w:type="dxa"/>
            <w:gridSpan w:val="8"/>
          </w:tcPr>
          <w:p w14:paraId="3011219D">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项目概况</w:t>
            </w:r>
          </w:p>
          <w:p w14:paraId="4428524D">
            <w:pPr>
              <w:shd w:val="clear"/>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福田红树林科普长廊提升工程项目建设范围位于深圳市福田区红树林自然保护区内，主要建设内容为对原有科普长廊实施改造升级，旨在通过系统性改造提升，构建国际化与互动化相结合的科普教育示范空间。监理服务范围包括施工前期准备阶段、施工阶段、竣工验收阶段及售后责任期阶段，重点加强施工质量、进度、投资管控目标及生态环保要求执行情况的监督管理。</w:t>
            </w:r>
          </w:p>
          <w:p w14:paraId="4769B8E9">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项目所依据及参考的标准</w:t>
            </w:r>
          </w:p>
          <w:p w14:paraId="6A0BD7BD">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国家和地方现行有关工程建设的法律、法规、规章及政策</w:t>
            </w:r>
            <w:r>
              <w:rPr>
                <w:rFonts w:hint="eastAsia" w:ascii="仿宋_GB2312" w:hAnsi="仿宋_GB2312" w:eastAsia="仿宋_GB2312" w:cs="仿宋_GB2312"/>
                <w:color w:val="auto"/>
                <w:szCs w:val="21"/>
                <w:highlight w:val="none"/>
                <w:lang w:eastAsia="zh-CN"/>
              </w:rPr>
              <w:t>，如《自然保护区工程项目建设标准》（建标195－2018）《中</w:t>
            </w:r>
            <w:bookmarkStart w:id="1" w:name="_GoBack"/>
            <w:bookmarkEnd w:id="1"/>
            <w:r>
              <w:rPr>
                <w:rFonts w:hint="eastAsia" w:ascii="仿宋_GB2312" w:hAnsi="仿宋_GB2312" w:eastAsia="仿宋_GB2312" w:cs="仿宋_GB2312"/>
                <w:color w:val="auto"/>
                <w:szCs w:val="21"/>
                <w:highlight w:val="none"/>
                <w:lang w:eastAsia="zh-CN"/>
              </w:rPr>
              <w:t>华人民共和国建筑法》《建设工程质量管理条例》《建设工程安全生产管理条例》等，</w:t>
            </w:r>
            <w:r>
              <w:rPr>
                <w:rFonts w:hint="eastAsia" w:ascii="仿宋_GB2312" w:hAnsi="仿宋_GB2312" w:eastAsia="仿宋_GB2312" w:cs="仿宋_GB2312"/>
                <w:color w:val="auto"/>
                <w:szCs w:val="21"/>
                <w:highlight w:val="none"/>
                <w:lang w:val="en-US" w:eastAsia="zh-CN"/>
              </w:rPr>
              <w:t>以及其他与本项目适用的法律、法规和标准。</w:t>
            </w:r>
          </w:p>
          <w:p w14:paraId="6D819ED0">
            <w:pPr>
              <w:shd w:val="clear"/>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部颁及地方政府建设工程监理的管理办法和规定，</w:t>
            </w:r>
            <w:r>
              <w:rPr>
                <w:rFonts w:hint="eastAsia" w:ascii="仿宋_GB2312" w:hAnsi="仿宋_GB2312" w:eastAsia="仿宋_GB2312" w:cs="仿宋_GB2312"/>
                <w:color w:val="auto"/>
                <w:szCs w:val="21"/>
                <w:highlight w:val="none"/>
                <w:lang w:val="en-US" w:eastAsia="zh-CN"/>
              </w:rPr>
              <w:t>如《建设工程监理规范》《工程监理企业资质管理规定》《深圳市建设工程监理管理办法》等。</w:t>
            </w:r>
          </w:p>
          <w:p w14:paraId="567617DC">
            <w:pPr>
              <w:shd w:val="clear"/>
              <w:ind w:firstLine="420" w:firstLineChars="200"/>
              <w:jc w:val="left"/>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福田红树林科普长廊提升工程项目</w:t>
            </w:r>
            <w:r>
              <w:rPr>
                <w:rFonts w:hint="eastAsia" w:ascii="仿宋_GB2312" w:hAnsi="仿宋_GB2312" w:eastAsia="仿宋_GB2312" w:cs="仿宋_GB2312"/>
                <w:color w:val="auto"/>
                <w:szCs w:val="21"/>
                <w:highlight w:val="none"/>
              </w:rPr>
              <w:t>的设计文件、施工图纸、招标文件、投标文</w:t>
            </w:r>
            <w:r>
              <w:rPr>
                <w:rFonts w:hint="eastAsia" w:ascii="仿宋_GB2312" w:hAnsi="仿宋_GB2312" w:eastAsia="仿宋_GB2312" w:cs="仿宋_GB2312"/>
                <w:color w:val="auto"/>
                <w:szCs w:val="21"/>
                <w:highlight w:val="none"/>
                <w:lang w:eastAsia="zh-CN"/>
              </w:rPr>
              <w:t>件及</w:t>
            </w:r>
            <w:r>
              <w:rPr>
                <w:rFonts w:hint="eastAsia" w:ascii="仿宋_GB2312" w:hAnsi="仿宋_GB2312" w:eastAsia="仿宋_GB2312" w:cs="仿宋_GB2312"/>
                <w:color w:val="auto"/>
                <w:szCs w:val="21"/>
                <w:highlight w:val="none"/>
              </w:rPr>
              <w:t>建设单位与承建单位签订的承包服务合同</w:t>
            </w:r>
            <w:r>
              <w:rPr>
                <w:rFonts w:hint="eastAsia" w:ascii="仿宋_GB2312" w:hAnsi="仿宋_GB2312" w:eastAsia="仿宋_GB2312" w:cs="仿宋_GB2312"/>
                <w:color w:val="auto"/>
                <w:szCs w:val="21"/>
                <w:highlight w:val="none"/>
                <w:lang w:val="en-US" w:eastAsia="zh-CN"/>
              </w:rPr>
              <w:t>和签订的委托监理合同</w:t>
            </w:r>
            <w:r>
              <w:rPr>
                <w:rFonts w:hint="eastAsia" w:ascii="仿宋_GB2312" w:hAnsi="仿宋_GB2312" w:eastAsia="仿宋_GB2312" w:cs="仿宋_GB2312"/>
                <w:color w:val="auto"/>
                <w:szCs w:val="21"/>
                <w:highlight w:val="none"/>
              </w:rPr>
              <w:t>文件等。</w:t>
            </w:r>
          </w:p>
          <w:p w14:paraId="02275377">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项目采购范围</w:t>
            </w:r>
          </w:p>
          <w:p w14:paraId="5D7DB335">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lang w:eastAsia="zh-CN"/>
              </w:rPr>
              <w:t>）服务范围</w:t>
            </w:r>
          </w:p>
          <w:p w14:paraId="79B1652D">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lang w:eastAsia="zh-CN"/>
              </w:rPr>
              <w:t>全过程监理：涵盖施工</w:t>
            </w:r>
            <w:r>
              <w:rPr>
                <w:rFonts w:hint="eastAsia" w:ascii="仿宋_GB2312" w:hAnsi="仿宋_GB2312" w:eastAsia="仿宋_GB2312" w:cs="仿宋_GB2312"/>
                <w:color w:val="auto"/>
                <w:szCs w:val="21"/>
                <w:highlight w:val="none"/>
                <w:lang w:val="en-US" w:eastAsia="zh-CN"/>
              </w:rPr>
              <w:t>前期</w:t>
            </w:r>
            <w:r>
              <w:rPr>
                <w:rFonts w:hint="eastAsia" w:ascii="仿宋_GB2312" w:hAnsi="仿宋_GB2312" w:eastAsia="仿宋_GB2312" w:cs="仿宋_GB2312"/>
                <w:color w:val="auto"/>
                <w:szCs w:val="21"/>
                <w:highlight w:val="none"/>
                <w:lang w:eastAsia="zh-CN"/>
              </w:rPr>
              <w:t>准备</w:t>
            </w:r>
            <w:r>
              <w:rPr>
                <w:rFonts w:hint="eastAsia" w:ascii="仿宋_GB2312" w:hAnsi="仿宋_GB2312" w:eastAsia="仿宋_GB2312" w:cs="仿宋_GB2312"/>
                <w:color w:val="auto"/>
                <w:szCs w:val="21"/>
                <w:highlight w:val="none"/>
                <w:lang w:val="en-US" w:eastAsia="zh-CN"/>
              </w:rPr>
              <w:t>阶段</w:t>
            </w:r>
            <w:r>
              <w:rPr>
                <w:rFonts w:hint="eastAsia" w:ascii="仿宋_GB2312" w:hAnsi="仿宋_GB2312" w:eastAsia="仿宋_GB2312" w:cs="仿宋_GB2312"/>
                <w:color w:val="auto"/>
                <w:szCs w:val="21"/>
                <w:highlight w:val="none"/>
                <w:lang w:eastAsia="zh-CN"/>
              </w:rPr>
              <w:t>、施工阶段、竣工验收</w:t>
            </w:r>
            <w:r>
              <w:rPr>
                <w:rFonts w:hint="eastAsia" w:ascii="仿宋_GB2312" w:hAnsi="仿宋_GB2312" w:eastAsia="仿宋_GB2312" w:cs="仿宋_GB2312"/>
                <w:color w:val="auto"/>
                <w:szCs w:val="21"/>
                <w:highlight w:val="none"/>
                <w:lang w:val="en-US" w:eastAsia="zh-CN"/>
              </w:rPr>
              <w:t>阶段</w:t>
            </w:r>
            <w:r>
              <w:rPr>
                <w:rFonts w:hint="eastAsia" w:ascii="仿宋_GB2312" w:hAnsi="仿宋_GB2312" w:eastAsia="仿宋_GB2312" w:cs="仿宋_GB2312"/>
                <w:color w:val="auto"/>
                <w:szCs w:val="21"/>
                <w:highlight w:val="none"/>
                <w:lang w:eastAsia="zh-CN"/>
              </w:rPr>
              <w:t>及</w:t>
            </w:r>
            <w:r>
              <w:rPr>
                <w:rFonts w:hint="eastAsia" w:ascii="仿宋_GB2312" w:hAnsi="仿宋_GB2312" w:eastAsia="仿宋_GB2312" w:cs="仿宋_GB2312"/>
                <w:color w:val="auto"/>
                <w:szCs w:val="21"/>
                <w:highlight w:val="none"/>
                <w:lang w:val="en-US" w:eastAsia="zh-CN"/>
              </w:rPr>
              <w:t>工程质量保修期阶段</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壹</w:t>
            </w:r>
            <w:r>
              <w:rPr>
                <w:rFonts w:hint="eastAsia" w:ascii="仿宋_GB2312" w:hAnsi="仿宋_GB2312" w:eastAsia="仿宋_GB2312" w:cs="仿宋_GB2312"/>
                <w:color w:val="auto"/>
                <w:szCs w:val="21"/>
                <w:highlight w:val="none"/>
                <w:lang w:eastAsia="zh-CN"/>
              </w:rPr>
              <w:t>年）的全周期服务；</w:t>
            </w:r>
          </w:p>
          <w:p w14:paraId="75C17061">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核心职责：对施工单位施工质量、进度、投资、安全及生态保护进行全方位监督；根据现场实况提出施工优化建议，审核设计变更的合理性与可行性。</w:t>
            </w:r>
          </w:p>
          <w:p w14:paraId="695F3C6C">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具体服务内容</w:t>
            </w:r>
          </w:p>
          <w:p w14:paraId="693627D9">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1）施工</w:t>
            </w:r>
            <w:r>
              <w:rPr>
                <w:rFonts w:hint="eastAsia" w:ascii="仿宋_GB2312" w:hAnsi="仿宋_GB2312" w:eastAsia="仿宋_GB2312" w:cs="仿宋_GB2312"/>
                <w:color w:val="auto"/>
                <w:szCs w:val="21"/>
                <w:highlight w:val="none"/>
                <w:lang w:val="en-US" w:eastAsia="zh-CN"/>
              </w:rPr>
              <w:t>前期</w:t>
            </w:r>
            <w:r>
              <w:rPr>
                <w:rFonts w:hint="eastAsia" w:ascii="仿宋_GB2312" w:hAnsi="仿宋_GB2312" w:eastAsia="仿宋_GB2312" w:cs="仿宋_GB2312"/>
                <w:color w:val="auto"/>
                <w:szCs w:val="21"/>
                <w:highlight w:val="none"/>
                <w:lang w:eastAsia="zh-CN"/>
              </w:rPr>
              <w:t>准备阶段：审核施工组织设计、专项施工方案；核查施工单位资质、人员配备及设备进场计划；参与设计交底与图纸会审，提出环保与施工可行性建议。</w:t>
            </w:r>
          </w:p>
          <w:p w14:paraId="3574CAB6">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2）施工阶段</w:t>
            </w:r>
          </w:p>
          <w:p w14:paraId="6E73C325">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①质量控制：</w:t>
            </w:r>
          </w:p>
          <w:p w14:paraId="2A5AD95E">
            <w:pPr>
              <w:shd w:val="clear"/>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eastAsia="zh-CN"/>
              </w:rPr>
              <w:t>对进场材料（如环保涂料、耐候钢材）进行抽样检测</w:t>
            </w:r>
            <w:r>
              <w:rPr>
                <w:rFonts w:hint="eastAsia" w:ascii="仿宋_GB2312" w:hAnsi="仿宋_GB2312" w:eastAsia="仿宋_GB2312" w:cs="仿宋_GB2312"/>
                <w:color w:val="auto"/>
                <w:szCs w:val="21"/>
                <w:highlight w:val="none"/>
                <w:lang w:val="en-US" w:eastAsia="zh-CN"/>
              </w:rPr>
              <w:t>及验收</w:t>
            </w:r>
            <w:r>
              <w:rPr>
                <w:rFonts w:hint="eastAsia" w:ascii="仿宋_GB2312" w:hAnsi="仿宋_GB2312" w:eastAsia="仿宋_GB2312" w:cs="仿宋_GB2312"/>
                <w:color w:val="auto"/>
                <w:szCs w:val="21"/>
                <w:highlight w:val="none"/>
                <w:lang w:eastAsia="zh-CN"/>
              </w:rPr>
              <w:t>，确保符合《室内装饰装修材料有害物质限量》；隐蔽工程（如地下管线、基础结构）验收</w:t>
            </w:r>
            <w:r>
              <w:rPr>
                <w:rFonts w:hint="eastAsia" w:ascii="仿宋_GB2312" w:hAnsi="仿宋_GB2312" w:eastAsia="仿宋_GB2312" w:cs="仿宋_GB2312"/>
                <w:color w:val="auto"/>
                <w:szCs w:val="21"/>
                <w:highlight w:val="none"/>
                <w:lang w:val="en-US" w:eastAsia="zh-CN"/>
              </w:rPr>
              <w:t>并</w:t>
            </w:r>
            <w:r>
              <w:rPr>
                <w:rFonts w:hint="eastAsia" w:ascii="仿宋_GB2312" w:hAnsi="仿宋_GB2312" w:eastAsia="仿宋_GB2312" w:cs="仿宋_GB2312"/>
                <w:color w:val="auto"/>
                <w:szCs w:val="21"/>
                <w:highlight w:val="none"/>
                <w:lang w:eastAsia="zh-CN"/>
              </w:rPr>
              <w:t>留存影像资料。</w:t>
            </w:r>
            <w:r>
              <w:rPr>
                <w:rFonts w:hint="eastAsia" w:ascii="仿宋_GB2312" w:hAnsi="仿宋_GB2312" w:eastAsia="仿宋_GB2312" w:cs="仿宋_GB2312"/>
                <w:color w:val="auto"/>
                <w:szCs w:val="21"/>
                <w:highlight w:val="none"/>
                <w:lang w:val="en-US" w:eastAsia="zh-CN"/>
              </w:rPr>
              <w:t>进场材料验收、隐蔽工程验收及关键施工节点验收，须建设、施工、监理、设计共同现场验收并确认签字，确保工程质量合格，资料完整</w:t>
            </w:r>
            <w:r>
              <w:rPr>
                <w:rFonts w:hint="eastAsia" w:ascii="仿宋_GB2312" w:hAnsi="仿宋_GB2312" w:eastAsia="仿宋_GB2312" w:cs="仿宋_GB2312"/>
                <w:color w:val="auto"/>
                <w:szCs w:val="21"/>
                <w:highlight w:val="none"/>
                <w:lang w:eastAsia="zh-CN"/>
              </w:rPr>
              <w:t>。</w:t>
            </w:r>
          </w:p>
          <w:p w14:paraId="3B2DE9D8">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②进度控制：</w:t>
            </w:r>
          </w:p>
          <w:p w14:paraId="353C5B4A">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审核月进度计划，监督关键节点按期完成；发现进度偏差时，要求施工单位提交纠偏方案并跟踪落实。</w:t>
            </w:r>
          </w:p>
          <w:p w14:paraId="6A1FD38C">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③投资控制：</w:t>
            </w:r>
          </w:p>
          <w:p w14:paraId="1D18A383">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审核工程变更及签证费用，签署监理意见；按</w:t>
            </w:r>
            <w:r>
              <w:rPr>
                <w:rFonts w:hint="eastAsia" w:ascii="仿宋_GB2312" w:hAnsi="仿宋_GB2312" w:eastAsia="仿宋_GB2312" w:cs="仿宋_GB2312"/>
                <w:color w:val="auto"/>
                <w:szCs w:val="21"/>
                <w:highlight w:val="none"/>
                <w:lang w:val="en-US" w:eastAsia="zh-CN"/>
              </w:rPr>
              <w:t>合同要求</w:t>
            </w:r>
            <w:r>
              <w:rPr>
                <w:rFonts w:hint="eastAsia" w:ascii="仿宋_GB2312" w:hAnsi="仿宋_GB2312" w:eastAsia="仿宋_GB2312" w:cs="仿宋_GB2312"/>
                <w:color w:val="auto"/>
                <w:szCs w:val="21"/>
                <w:highlight w:val="none"/>
                <w:lang w:eastAsia="zh-CN"/>
              </w:rPr>
              <w:t>审核工程进度款支付申请。</w:t>
            </w:r>
          </w:p>
          <w:p w14:paraId="61680E90">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④安全与环保管理：</w:t>
            </w:r>
          </w:p>
          <w:p w14:paraId="30BE1B93">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监督施工单位落实安全生产措施（如脚手架搭设、临时用电规范）；确保施工废弃物100%合规处理。</w:t>
            </w:r>
          </w:p>
          <w:p w14:paraId="6CA77402">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lang w:eastAsia="zh-CN"/>
              </w:rPr>
              <w:t>）验收</w:t>
            </w:r>
            <w:r>
              <w:rPr>
                <w:rFonts w:hint="eastAsia" w:ascii="仿宋_GB2312" w:hAnsi="仿宋_GB2312" w:eastAsia="仿宋_GB2312" w:cs="仿宋_GB2312"/>
                <w:color w:val="auto"/>
                <w:szCs w:val="21"/>
                <w:highlight w:val="none"/>
                <w:lang w:val="en-US" w:eastAsia="zh-CN"/>
              </w:rPr>
              <w:t>阶段</w:t>
            </w:r>
            <w:r>
              <w:rPr>
                <w:rFonts w:hint="eastAsia" w:ascii="仿宋_GB2312" w:hAnsi="仿宋_GB2312" w:eastAsia="仿宋_GB2312" w:cs="仿宋_GB2312"/>
                <w:color w:val="auto"/>
                <w:szCs w:val="21"/>
                <w:highlight w:val="none"/>
                <w:lang w:eastAsia="zh-CN"/>
              </w:rPr>
              <w:t>与缺陷责任期</w:t>
            </w:r>
          </w:p>
          <w:p w14:paraId="5B35240E">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组织分部分项工程验收，签署验收意见；监督施工单位整改质量缺陷，审核竣工验收报告；缺陷责任期内定期回访，协调解决使用问题。</w:t>
            </w:r>
          </w:p>
          <w:p w14:paraId="57F86582">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服务要求：监理单位应严格按照相关标准、规范及合同要求开展工作，确保项目质量、进度、投资等目标的实现，同时做好安全监理工作，防范事故发生，及时、准确地向</w:t>
            </w:r>
            <w:r>
              <w:rPr>
                <w:rFonts w:hint="eastAsia" w:ascii="仿宋_GB2312" w:hAnsi="仿宋_GB2312" w:eastAsia="仿宋_GB2312" w:cs="仿宋_GB2312"/>
                <w:color w:val="auto"/>
                <w:szCs w:val="21"/>
                <w:highlight w:val="none"/>
                <w:lang w:eastAsia="zh-CN"/>
              </w:rPr>
              <w:t>建设单位</w:t>
            </w:r>
            <w:r>
              <w:rPr>
                <w:rFonts w:hint="eastAsia" w:ascii="仿宋_GB2312" w:hAnsi="仿宋_GB2312" w:eastAsia="仿宋_GB2312" w:cs="仿宋_GB2312"/>
                <w:color w:val="auto"/>
                <w:szCs w:val="21"/>
                <w:highlight w:val="none"/>
              </w:rPr>
              <w:t>汇报项目进展情况，提供专业的监理意见和建议。</w:t>
            </w:r>
          </w:p>
          <w:p w14:paraId="207FCF73">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项目服务期限</w:t>
            </w:r>
          </w:p>
          <w:p w14:paraId="2A3470C9">
            <w:pPr>
              <w:shd w:val="clear"/>
              <w:ind w:firstLine="420" w:firstLineChars="200"/>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本项目监理服务期限自合同签订之日起计算，至本工程项目完成整体竣工验收及工程结算审核，并涵盖工程质量保修期（壹年）为止。</w:t>
            </w:r>
          </w:p>
          <w:p w14:paraId="2CF8F312">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成果要求</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维护要求</w:t>
            </w:r>
          </w:p>
          <w:p w14:paraId="6F0460C5">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成果要求：</w:t>
            </w:r>
          </w:p>
          <w:p w14:paraId="256B901C">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rPr>
              <w:t>过程文件：监理规划、实施细则、监理月报；质量/安全/环保巡查记录、整改通知单及闭环报告；隐蔽工程验收</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影像资料及台账（电子版存档）。</w:t>
            </w:r>
          </w:p>
          <w:p w14:paraId="337A4812">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验收文件：分部分项工程验收报告、竣工验收评估报告</w:t>
            </w:r>
            <w:r>
              <w:rPr>
                <w:rFonts w:hint="eastAsia" w:ascii="仿宋_GB2312" w:hAnsi="仿宋_GB2312" w:eastAsia="仿宋_GB2312" w:cs="仿宋_GB2312"/>
                <w:color w:val="auto"/>
                <w:szCs w:val="21"/>
                <w:highlight w:val="none"/>
                <w:lang w:eastAsia="zh-CN"/>
              </w:rPr>
              <w:t>。</w:t>
            </w:r>
          </w:p>
          <w:p w14:paraId="6590B5F0">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rPr>
              <w:t>维护要求：</w:t>
            </w:r>
          </w:p>
          <w:p w14:paraId="1F77F8C8">
            <w:pPr>
              <w:shd w:val="clear"/>
              <w:ind w:firstLine="420" w:firstLineChars="200"/>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在质保期内，监理单位应协助</w:t>
            </w:r>
            <w:r>
              <w:rPr>
                <w:rFonts w:hint="eastAsia" w:ascii="仿宋_GB2312" w:hAnsi="仿宋_GB2312" w:eastAsia="仿宋_GB2312" w:cs="仿宋_GB2312"/>
                <w:color w:val="auto"/>
                <w:szCs w:val="21"/>
                <w:highlight w:val="none"/>
                <w:lang w:eastAsia="zh-CN"/>
              </w:rPr>
              <w:t>建设单位</w:t>
            </w:r>
            <w:r>
              <w:rPr>
                <w:rFonts w:hint="eastAsia" w:ascii="仿宋_GB2312" w:hAnsi="仿宋_GB2312" w:eastAsia="仿宋_GB2312" w:cs="仿宋_GB2312"/>
                <w:color w:val="auto"/>
                <w:szCs w:val="21"/>
                <w:highlight w:val="none"/>
              </w:rPr>
              <w:t>处理工程质量遗留问题，监督施工单位履行质保义务</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rPr>
              <w:t>并督促其整改落实。</w:t>
            </w:r>
          </w:p>
          <w:p w14:paraId="7D53B107">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6.</w:t>
            </w:r>
            <w:r>
              <w:rPr>
                <w:rFonts w:hint="eastAsia" w:ascii="仿宋_GB2312" w:hAnsi="仿宋_GB2312" w:eastAsia="仿宋_GB2312" w:cs="仿宋_GB2312"/>
                <w:color w:val="auto"/>
                <w:szCs w:val="21"/>
                <w:highlight w:val="none"/>
              </w:rPr>
              <w:t>项目人员安排要求</w:t>
            </w:r>
          </w:p>
          <w:p w14:paraId="6870A4E3">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（1）</w:t>
            </w:r>
            <w:r>
              <w:rPr>
                <w:rFonts w:hint="eastAsia" w:ascii="仿宋_GB2312" w:hAnsi="仿宋_GB2312" w:eastAsia="仿宋_GB2312" w:cs="仿宋_GB2312"/>
                <w:color w:val="auto"/>
                <w:szCs w:val="21"/>
                <w:highlight w:val="none"/>
                <w:lang w:eastAsia="zh-CN"/>
              </w:rPr>
              <w:t>拟派</w:t>
            </w:r>
            <w:r>
              <w:rPr>
                <w:rFonts w:hint="eastAsia" w:ascii="仿宋_GB2312" w:hAnsi="仿宋_GB2312" w:eastAsia="仿宋_GB2312" w:cs="仿宋_GB2312"/>
                <w:color w:val="auto"/>
                <w:szCs w:val="21"/>
                <w:highlight w:val="none"/>
                <w:lang w:val="en-US" w:eastAsia="zh-CN"/>
              </w:rPr>
              <w:t>1名</w:t>
            </w:r>
            <w:r>
              <w:rPr>
                <w:rFonts w:hint="eastAsia" w:ascii="仿宋_GB2312" w:hAnsi="仿宋_GB2312" w:eastAsia="仿宋_GB2312" w:cs="仿宋_GB2312"/>
                <w:color w:val="auto"/>
                <w:szCs w:val="21"/>
                <w:highlight w:val="none"/>
                <w:lang w:eastAsia="zh-CN"/>
              </w:rPr>
              <w:t>项目总监理工程师，须具备国家注册监理工程师资格，具有</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lang w:eastAsia="zh-CN"/>
              </w:rPr>
              <w:t>年以上同类项目监理经验，熟悉工程建设法律法规、标准规范及监理工作流程，具备较强的组织协调能力和领导能力。</w:t>
            </w:r>
          </w:p>
          <w:p w14:paraId="61E761C4">
            <w:pPr>
              <w:shd w:val="clear"/>
              <w:ind w:firstLine="420" w:firstLineChars="20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投标人应建立项目监理小组，根据建设单位需求提供全程现场监理工作。</w:t>
            </w:r>
            <w:r>
              <w:rPr>
                <w:rFonts w:hint="eastAsia" w:ascii="仿宋_GB2312" w:hAnsi="仿宋_GB2312" w:eastAsia="仿宋_GB2312" w:cs="仿宋_GB2312"/>
                <w:color w:val="auto"/>
                <w:szCs w:val="21"/>
                <w:highlight w:val="none"/>
                <w:lang w:val="en-US" w:eastAsia="zh-CN"/>
              </w:rPr>
              <w:t>建设单位</w:t>
            </w:r>
            <w:r>
              <w:rPr>
                <w:rFonts w:hint="eastAsia" w:ascii="仿宋_GB2312" w:hAnsi="仿宋_GB2312" w:eastAsia="仿宋_GB2312" w:cs="仿宋_GB2312"/>
                <w:color w:val="auto"/>
                <w:szCs w:val="21"/>
                <w:highlight w:val="none"/>
                <w:lang w:eastAsia="zh-CN"/>
              </w:rPr>
              <w:t>提出更换监理人员要求，监理公司需无条件一个月内完成更换，监理人员的确定和变更，须事先经建设单位同意。监理人员必须奉公守法，并具有高度的责任心。</w:t>
            </w:r>
          </w:p>
          <w:p w14:paraId="5DDB1714">
            <w:pPr>
              <w:shd w:val="clear"/>
              <w:ind w:firstLine="420" w:firstLineChars="200"/>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投标人须派驻至少1名</w:t>
            </w:r>
            <w:r>
              <w:rPr>
                <w:rFonts w:hint="eastAsia" w:ascii="仿宋_GB2312" w:hAnsi="仿宋_GB2312" w:eastAsia="仿宋_GB2312" w:cs="仿宋_GB2312"/>
                <w:color w:val="auto"/>
                <w:szCs w:val="21"/>
                <w:highlight w:val="none"/>
                <w:lang w:val="en-US" w:eastAsia="zh-CN"/>
              </w:rPr>
              <w:t>专业监理人员全程</w:t>
            </w:r>
            <w:r>
              <w:rPr>
                <w:rFonts w:hint="eastAsia" w:ascii="仿宋_GB2312" w:hAnsi="仿宋_GB2312" w:eastAsia="仿宋_GB2312" w:cs="仿宋_GB2312"/>
                <w:color w:val="auto"/>
                <w:szCs w:val="21"/>
                <w:highlight w:val="none"/>
              </w:rPr>
              <w:t>驻场（重大施工节点</w:t>
            </w:r>
            <w:r>
              <w:rPr>
                <w:rFonts w:hint="eastAsia" w:ascii="仿宋_GB2312" w:hAnsi="仿宋_GB2312" w:eastAsia="仿宋_GB2312" w:cs="仿宋_GB2312"/>
                <w:color w:val="auto"/>
                <w:szCs w:val="21"/>
                <w:highlight w:val="none"/>
                <w:lang w:val="en-US" w:eastAsia="zh-CN"/>
              </w:rPr>
              <w:t>必须</w:t>
            </w:r>
            <w:r>
              <w:rPr>
                <w:rFonts w:hint="eastAsia" w:ascii="仿宋_GB2312" w:hAnsi="仿宋_GB2312" w:eastAsia="仿宋_GB2312" w:cs="仿宋_GB2312"/>
                <w:color w:val="auto"/>
                <w:szCs w:val="21"/>
                <w:highlight w:val="none"/>
              </w:rPr>
              <w:t>旁站</w:t>
            </w:r>
            <w:r>
              <w:rPr>
                <w:rFonts w:hint="eastAsia" w:ascii="仿宋_GB2312" w:hAnsi="仿宋_GB2312" w:eastAsia="仿宋_GB2312" w:cs="仿宋_GB2312"/>
                <w:color w:val="auto"/>
                <w:szCs w:val="21"/>
                <w:highlight w:val="none"/>
                <w:lang w:val="en-US" w:eastAsia="zh-CN"/>
              </w:rPr>
              <w:t>监理</w:t>
            </w:r>
            <w:r>
              <w:rPr>
                <w:rFonts w:hint="eastAsia" w:ascii="仿宋_GB2312" w:hAnsi="仿宋_GB2312" w:eastAsia="仿宋_GB2312" w:cs="仿宋_GB2312"/>
                <w:color w:val="auto"/>
                <w:szCs w:val="21"/>
                <w:highlight w:val="none"/>
              </w:rPr>
              <w:t>），人员变更需提前7日报批，工程竣工验收</w:t>
            </w:r>
            <w:r>
              <w:rPr>
                <w:rFonts w:hint="eastAsia" w:ascii="仿宋_GB2312" w:hAnsi="仿宋_GB2312" w:eastAsia="仿宋_GB2312" w:cs="仿宋_GB2312"/>
                <w:color w:val="auto"/>
                <w:szCs w:val="21"/>
                <w:highlight w:val="none"/>
                <w:lang w:val="en-US" w:eastAsia="zh-CN"/>
              </w:rPr>
              <w:t>完成</w:t>
            </w:r>
            <w:r>
              <w:rPr>
                <w:rFonts w:hint="eastAsia" w:ascii="仿宋_GB2312" w:hAnsi="仿宋_GB2312" w:eastAsia="仿宋_GB2312" w:cs="仿宋_GB2312"/>
                <w:color w:val="auto"/>
                <w:szCs w:val="21"/>
                <w:highlight w:val="none"/>
              </w:rPr>
              <w:t>后方可撤场。</w:t>
            </w:r>
            <w:r>
              <w:rPr>
                <w:rFonts w:hint="eastAsia" w:ascii="仿宋_GB2312" w:hAnsi="仿宋_GB2312" w:eastAsia="仿宋_GB2312" w:cs="仿宋_GB2312"/>
                <w:color w:val="auto"/>
                <w:szCs w:val="21"/>
                <w:highlight w:val="none"/>
                <w:lang w:eastAsia="zh-CN"/>
              </w:rPr>
              <w:t>监理过程如需车辆，要求投标单位自行保障车辆用于项目日常监理工作，直至项目完成结束。</w:t>
            </w:r>
          </w:p>
        </w:tc>
      </w:tr>
      <w:tr w14:paraId="249B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1560" w:type="dxa"/>
            <w:vMerge w:val="restart"/>
          </w:tcPr>
          <w:p w14:paraId="03D7AB58">
            <w:pPr>
              <w:shd w:val="clear"/>
              <w:jc w:val="center"/>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color w:val="auto"/>
                <w:kern w:val="0"/>
                <w:szCs w:val="21"/>
                <w:highlight w:val="none"/>
              </w:rPr>
              <w:t>其他要求</w:t>
            </w:r>
          </w:p>
        </w:tc>
        <w:tc>
          <w:tcPr>
            <w:tcW w:w="7407" w:type="dxa"/>
            <w:gridSpan w:val="8"/>
          </w:tcPr>
          <w:p w14:paraId="603AFD66">
            <w:pPr>
              <w:shd w:val="clear"/>
              <w:jc w:val="left"/>
              <w:rPr>
                <w:rFonts w:hint="eastAsia" w:ascii="仿宋_GB2312" w:hAnsi="仿宋_GB2312" w:eastAsia="仿宋_GB2312" w:cs="仿宋_GB2312"/>
                <w:color w:val="auto"/>
                <w:kern w:val="0"/>
                <w:szCs w:val="21"/>
                <w:highlight w:val="none"/>
              </w:rPr>
            </w:pPr>
            <w:r>
              <w:rPr>
                <w:rFonts w:hint="eastAsia" w:ascii="仿宋_GB2312" w:hAnsi="仿宋_GB2312" w:eastAsia="仿宋_GB2312" w:cs="仿宋_GB2312"/>
                <w:b/>
                <w:color w:val="auto"/>
                <w:szCs w:val="21"/>
                <w:highlight w:val="none"/>
              </w:rPr>
              <w:t>特定供应商的名称、项目负责人及联系方式</w:t>
            </w:r>
          </w:p>
        </w:tc>
      </w:tr>
      <w:tr w14:paraId="55678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60" w:type="dxa"/>
            <w:vMerge w:val="continue"/>
          </w:tcPr>
          <w:p w14:paraId="50E69799">
            <w:pPr>
              <w:shd w:val="clear"/>
              <w:jc w:val="left"/>
              <w:rPr>
                <w:rFonts w:hint="eastAsia" w:ascii="仿宋_GB2312" w:hAnsi="仿宋_GB2312" w:eastAsia="仿宋_GB2312" w:cs="仿宋_GB2312"/>
                <w:color w:val="auto"/>
                <w:kern w:val="0"/>
                <w:szCs w:val="21"/>
                <w:highlight w:val="none"/>
              </w:rPr>
            </w:pPr>
          </w:p>
        </w:tc>
        <w:tc>
          <w:tcPr>
            <w:tcW w:w="850" w:type="dxa"/>
            <w:vMerge w:val="restart"/>
          </w:tcPr>
          <w:p w14:paraId="54B2E192">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特定供应商</w:t>
            </w:r>
          </w:p>
        </w:tc>
        <w:tc>
          <w:tcPr>
            <w:tcW w:w="6557" w:type="dxa"/>
            <w:gridSpan w:val="7"/>
          </w:tcPr>
          <w:p w14:paraId="39C6AEA0">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单位名称：</w:t>
            </w:r>
          </w:p>
        </w:tc>
      </w:tr>
      <w:tr w14:paraId="0BC6A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560" w:type="dxa"/>
            <w:vMerge w:val="continue"/>
          </w:tcPr>
          <w:p w14:paraId="74BA3B0E">
            <w:pPr>
              <w:shd w:val="clear"/>
              <w:jc w:val="left"/>
              <w:rPr>
                <w:rFonts w:hint="eastAsia" w:ascii="仿宋_GB2312" w:hAnsi="仿宋_GB2312" w:eastAsia="仿宋_GB2312" w:cs="仿宋_GB2312"/>
                <w:color w:val="auto"/>
                <w:kern w:val="0"/>
                <w:szCs w:val="21"/>
                <w:highlight w:val="none"/>
              </w:rPr>
            </w:pPr>
          </w:p>
        </w:tc>
        <w:tc>
          <w:tcPr>
            <w:tcW w:w="850" w:type="dxa"/>
            <w:vMerge w:val="continue"/>
          </w:tcPr>
          <w:p w14:paraId="2254203B">
            <w:pPr>
              <w:shd w:val="clear"/>
              <w:jc w:val="left"/>
              <w:rPr>
                <w:rFonts w:hint="eastAsia" w:ascii="仿宋_GB2312" w:hAnsi="仿宋_GB2312" w:eastAsia="仿宋_GB2312" w:cs="仿宋_GB2312"/>
                <w:bCs/>
                <w:color w:val="auto"/>
                <w:kern w:val="0"/>
                <w:szCs w:val="21"/>
                <w:highlight w:val="none"/>
              </w:rPr>
            </w:pPr>
          </w:p>
        </w:tc>
        <w:tc>
          <w:tcPr>
            <w:tcW w:w="6557" w:type="dxa"/>
            <w:gridSpan w:val="7"/>
          </w:tcPr>
          <w:p w14:paraId="1CACE792">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项目经办人：</w:t>
            </w:r>
          </w:p>
        </w:tc>
      </w:tr>
      <w:tr w14:paraId="4BF2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560" w:type="dxa"/>
            <w:vMerge w:val="continue"/>
          </w:tcPr>
          <w:p w14:paraId="20A97D91">
            <w:pPr>
              <w:shd w:val="clear"/>
              <w:jc w:val="left"/>
              <w:rPr>
                <w:rFonts w:hint="eastAsia" w:ascii="仿宋_GB2312" w:hAnsi="仿宋_GB2312" w:eastAsia="仿宋_GB2312" w:cs="仿宋_GB2312"/>
                <w:color w:val="auto"/>
                <w:kern w:val="0"/>
                <w:szCs w:val="21"/>
                <w:highlight w:val="none"/>
              </w:rPr>
            </w:pPr>
          </w:p>
        </w:tc>
        <w:tc>
          <w:tcPr>
            <w:tcW w:w="850" w:type="dxa"/>
            <w:vMerge w:val="continue"/>
          </w:tcPr>
          <w:p w14:paraId="17F7D187">
            <w:pPr>
              <w:shd w:val="clear"/>
              <w:jc w:val="left"/>
              <w:rPr>
                <w:rFonts w:hint="eastAsia" w:ascii="仿宋_GB2312" w:hAnsi="仿宋_GB2312" w:eastAsia="仿宋_GB2312" w:cs="仿宋_GB2312"/>
                <w:bCs/>
                <w:color w:val="auto"/>
                <w:kern w:val="0"/>
                <w:szCs w:val="21"/>
                <w:highlight w:val="none"/>
              </w:rPr>
            </w:pPr>
          </w:p>
        </w:tc>
        <w:tc>
          <w:tcPr>
            <w:tcW w:w="6557" w:type="dxa"/>
            <w:gridSpan w:val="7"/>
          </w:tcPr>
          <w:p w14:paraId="227E16D3">
            <w:pPr>
              <w:shd w:val="clear"/>
              <w:jc w:val="left"/>
              <w:rPr>
                <w:rFonts w:hint="eastAsia" w:ascii="仿宋_GB2312" w:hAnsi="仿宋_GB2312" w:eastAsia="仿宋_GB2312" w:cs="仿宋_GB2312"/>
                <w:bCs/>
                <w:color w:val="auto"/>
                <w:kern w:val="0"/>
                <w:szCs w:val="21"/>
                <w:highlight w:val="none"/>
              </w:rPr>
            </w:pPr>
            <w:r>
              <w:rPr>
                <w:rFonts w:hint="eastAsia" w:ascii="仿宋_GB2312" w:hAnsi="仿宋_GB2312" w:eastAsia="仿宋_GB2312" w:cs="仿宋_GB2312"/>
                <w:bCs/>
                <w:color w:val="auto"/>
                <w:szCs w:val="21"/>
                <w:highlight w:val="none"/>
              </w:rPr>
              <w:t>联系电话：</w:t>
            </w:r>
          </w:p>
        </w:tc>
      </w:tr>
      <w:tr w14:paraId="6EC7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jc w:val="center"/>
        </w:trPr>
        <w:tc>
          <w:tcPr>
            <w:tcW w:w="1560" w:type="dxa"/>
            <w:vMerge w:val="restart"/>
            <w:tcBorders>
              <w:top w:val="single" w:color="auto" w:sz="4" w:space="0"/>
              <w:left w:val="single" w:color="auto" w:sz="4" w:space="0"/>
              <w:right w:val="single" w:color="auto" w:sz="4" w:space="0"/>
            </w:tcBorders>
          </w:tcPr>
          <w:p w14:paraId="7D734CD6">
            <w:pPr>
              <w:shd w:val="clear"/>
              <w:jc w:val="cente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评标信息</w:t>
            </w:r>
          </w:p>
        </w:tc>
        <w:tc>
          <w:tcPr>
            <w:tcW w:w="7371" w:type="dxa"/>
            <w:gridSpan w:val="7"/>
            <w:tcBorders>
              <w:top w:val="single" w:color="auto" w:sz="4" w:space="0"/>
              <w:left w:val="single" w:color="auto" w:sz="4" w:space="0"/>
              <w:bottom w:val="single" w:color="auto" w:sz="4" w:space="0"/>
              <w:right w:val="single" w:color="auto" w:sz="4" w:space="0"/>
            </w:tcBorders>
          </w:tcPr>
          <w:p w14:paraId="66A54EA5">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综合评分法，是指投标文件满足招标文件全部实质性要求，且按照评审因素的量化指标评审得分最高的投标人为中标候选人的评标方法。 </w:t>
            </w:r>
          </w:p>
          <w:p w14:paraId="48F7B58C">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价格分计算方法：</w:t>
            </w:r>
          </w:p>
          <w:p w14:paraId="12366524">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采用低价优先法计算，即满足招标文件要求且投标价格最低的投标报价为评标基准价，其价格分为满分。其他投标人的价格分统一按照下列公式计算： </w:t>
            </w:r>
          </w:p>
          <w:p w14:paraId="27107363">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投标报价得分=(评标基准价／投标报价)×100 </w:t>
            </w:r>
          </w:p>
          <w:p w14:paraId="27E9E1C4">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评标总得分＝F1×A1＋F2×A2＋……＋Fn×An </w:t>
            </w:r>
          </w:p>
          <w:p w14:paraId="61B8A1A8">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F1、F2……Fn分别为各项评审因素的得分； </w:t>
            </w:r>
          </w:p>
          <w:p w14:paraId="304E739D">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A1、A2、……An 分别为各项评审因素所占的权重</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 xml:space="preserve">A1＋A2＋……＋An＝1)。 </w:t>
            </w:r>
          </w:p>
          <w:p w14:paraId="5197F58D">
            <w:pPr>
              <w:shd w:val="clear"/>
              <w:jc w:val="left"/>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评标过程中，不得去掉报价中的最高报价和最低报价。 </w:t>
            </w:r>
          </w:p>
          <w:p w14:paraId="5BD43ABC">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 xml:space="preserve">    此方法适用于货物类、服务类、工程类项目。 </w:t>
            </w:r>
          </w:p>
        </w:tc>
      </w:tr>
      <w:tr w14:paraId="2758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jc w:val="center"/>
        </w:trPr>
        <w:tc>
          <w:tcPr>
            <w:tcW w:w="1560" w:type="dxa"/>
            <w:vMerge w:val="continue"/>
            <w:tcBorders>
              <w:left w:val="single" w:color="auto" w:sz="4" w:space="0"/>
              <w:right w:val="single" w:color="auto" w:sz="4" w:space="0"/>
            </w:tcBorders>
          </w:tcPr>
          <w:p w14:paraId="65640A8E">
            <w:pPr>
              <w:pStyle w:val="4"/>
              <w:shd w:val="clear"/>
              <w:rPr>
                <w:rFonts w:hint="eastAsia" w:ascii="仿宋_GB2312" w:hAnsi="仿宋_GB2312" w:eastAsia="仿宋_GB2312" w:cs="仿宋_GB2312"/>
                <w:color w:val="auto"/>
                <w:szCs w:val="21"/>
                <w:highlight w:val="none"/>
                <w:lang w:eastAsia="zh-CN"/>
              </w:rPr>
            </w:pPr>
          </w:p>
        </w:tc>
        <w:tc>
          <w:tcPr>
            <w:tcW w:w="7371" w:type="dxa"/>
            <w:gridSpan w:val="7"/>
            <w:tcBorders>
              <w:top w:val="single" w:color="auto" w:sz="4" w:space="0"/>
              <w:left w:val="single" w:color="auto" w:sz="4" w:space="0"/>
              <w:bottom w:val="single" w:color="auto" w:sz="4" w:space="0"/>
              <w:right w:val="single" w:color="auto" w:sz="4" w:space="0"/>
            </w:tcBorders>
          </w:tcPr>
          <w:p w14:paraId="2EA74F15">
            <w:pPr>
              <w:shd w:val="clear"/>
              <w:ind w:firstLine="210" w:firstLineChars="100"/>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评标优惠政策</w:t>
            </w:r>
          </w:p>
          <w:p w14:paraId="10575470">
            <w:pPr>
              <w:pStyle w:val="6"/>
              <w:shd w:val="clear"/>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rPr>
              <w:t xml:space="preserve">   </w:t>
            </w:r>
            <w:r>
              <w:rPr>
                <w:rFonts w:hint="eastAsia" w:ascii="仿宋_GB2312" w:hAnsi="仿宋_GB2312" w:eastAsia="仿宋_GB2312" w:cs="仿宋_GB2312"/>
                <w:color w:val="auto"/>
                <w:highlight w:val="none"/>
              </w:rPr>
              <w:t>1.根据《政府采购促进中小企业发展暂行办法》（财库</w:t>
            </w:r>
            <w:r>
              <w:rPr>
                <w:rFonts w:hint="eastAsia" w:ascii="仿宋_GB2312" w:hAnsi="仿宋_GB2312" w:eastAsia="仿宋_GB2312" w:cs="仿宋_GB2312"/>
                <w:color w:val="auto"/>
                <w:highlight w:val="none"/>
                <w:lang w:eastAsia="zh-CN"/>
              </w:rPr>
              <w:t>〔2011〕181号</w:t>
            </w:r>
            <w:r>
              <w:rPr>
                <w:rFonts w:hint="eastAsia" w:ascii="仿宋_GB2312" w:hAnsi="仿宋_GB2312" w:eastAsia="仿宋_GB2312" w:cs="仿宋_GB2312"/>
                <w:color w:val="auto"/>
                <w:highlight w:val="none"/>
              </w:rPr>
              <w:t>）、《财政部 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残疾人福利性单位声明函》或省级以上监狱管理局、戒毒管理局（含新疆生产建设兵团）出具的属于监狱企业的证明文件的投标人，其投标报价扣除</w:t>
            </w:r>
            <w:r>
              <w:rPr>
                <w:rFonts w:hint="eastAsia" w:ascii="仿宋_GB2312" w:hAnsi="仿宋_GB2312" w:eastAsia="仿宋_GB2312" w:cs="仿宋_GB2312"/>
                <w:color w:val="auto"/>
                <w:highlight w:val="none"/>
                <w:u w:val="single"/>
              </w:rPr>
              <w:t xml:space="preserve">  10  </w:t>
            </w:r>
            <w:r>
              <w:rPr>
                <w:rFonts w:hint="eastAsia" w:ascii="仿宋_GB2312" w:hAnsi="仿宋_GB2312" w:eastAsia="仿宋_GB2312" w:cs="仿宋_GB2312"/>
                <w:color w:val="auto"/>
                <w:highlight w:val="none"/>
              </w:rPr>
              <w:t>%后参与评审。对于同时属于小微企业、监狱企业或残疾人福利性单位的，不重复进行投标报价扣除。如</w:t>
            </w:r>
            <w:r>
              <w:rPr>
                <w:rFonts w:hint="eastAsia" w:ascii="仿宋_GB2312" w:hAnsi="仿宋_GB2312" w:eastAsia="仿宋_GB2312" w:cs="仿宋_GB2312"/>
                <w:color w:val="auto"/>
                <w:highlight w:val="none"/>
                <w:lang w:eastAsia="zh-CN"/>
              </w:rPr>
              <w:t>有其他</w:t>
            </w:r>
            <w:r>
              <w:rPr>
                <w:rFonts w:hint="eastAsia" w:ascii="仿宋_GB2312" w:hAnsi="仿宋_GB2312" w:eastAsia="仿宋_GB2312" w:cs="仿宋_GB2312"/>
                <w:color w:val="auto"/>
                <w:highlight w:val="none"/>
              </w:rPr>
              <w:t>政策支持因素（如鼓励创新等）需一并列出。</w:t>
            </w:r>
          </w:p>
          <w:p w14:paraId="4F3F9F2A">
            <w:pPr>
              <w:pStyle w:val="6"/>
              <w:shd w:val="clea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2.联合协议中约定，小型、微型企业和监狱企业的协议合同金额占到联合体协议合同总金额30%以上的，可给予联合体</w:t>
            </w:r>
            <w:r>
              <w:rPr>
                <w:rFonts w:hint="eastAsia" w:ascii="仿宋_GB2312" w:hAnsi="仿宋_GB2312" w:eastAsia="仿宋_GB2312" w:cs="仿宋_GB2312"/>
                <w:color w:val="auto"/>
                <w:highlight w:val="none"/>
                <w:u w:val="single"/>
              </w:rPr>
              <w:t xml:space="preserve">  4  </w:t>
            </w:r>
            <w:r>
              <w:rPr>
                <w:rFonts w:hint="eastAsia" w:ascii="仿宋_GB2312" w:hAnsi="仿宋_GB2312" w:eastAsia="仿宋_GB2312" w:cs="仿宋_GB2312"/>
                <w:color w:val="auto"/>
                <w:highlight w:val="none"/>
              </w:rPr>
              <w:t>% 的价格扣除。</w:t>
            </w:r>
          </w:p>
          <w:p w14:paraId="7A4584E0">
            <w:pPr>
              <w:shd w:val="clear"/>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xml:space="preserve">    联合体各方均为小型、微型企业和监狱企业的，联合体视同为小型、微型企业和监狱企业，均享受</w:t>
            </w:r>
            <w:r>
              <w:rPr>
                <w:rFonts w:hint="eastAsia" w:ascii="仿宋_GB2312" w:hAnsi="仿宋_GB2312" w:eastAsia="仿宋_GB2312" w:cs="仿宋_GB2312"/>
                <w:b/>
                <w:bCs/>
                <w:color w:val="auto"/>
                <w:highlight w:val="none"/>
              </w:rPr>
              <w:t>评标优惠政策</w:t>
            </w:r>
            <w:r>
              <w:rPr>
                <w:rFonts w:hint="eastAsia" w:ascii="仿宋_GB2312" w:hAnsi="仿宋_GB2312" w:eastAsia="仿宋_GB2312" w:cs="仿宋_GB2312"/>
                <w:color w:val="auto"/>
                <w:highlight w:val="none"/>
              </w:rPr>
              <w:t>第一款的优惠政策。</w:t>
            </w:r>
          </w:p>
          <w:p w14:paraId="42F16232">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highlight w:val="none"/>
              </w:rPr>
              <w:t xml:space="preserve">    3.如</w:t>
            </w:r>
            <w:r>
              <w:rPr>
                <w:rFonts w:hint="eastAsia" w:ascii="仿宋_GB2312" w:hAnsi="仿宋_GB2312" w:eastAsia="仿宋_GB2312" w:cs="仿宋_GB2312"/>
                <w:color w:val="auto"/>
                <w:highlight w:val="none"/>
                <w:lang w:eastAsia="zh-CN"/>
              </w:rPr>
              <w:t>建设单位</w:t>
            </w:r>
            <w:r>
              <w:rPr>
                <w:rFonts w:hint="eastAsia" w:ascii="仿宋_GB2312" w:hAnsi="仿宋_GB2312" w:eastAsia="仿宋_GB2312" w:cs="仿宋_GB2312"/>
                <w:color w:val="auto"/>
                <w:highlight w:val="none"/>
              </w:rPr>
              <w:t>所采购产品为政府强制采购的节能产品，投标人所投产品的品牌及型号必须为清单中有效期内产品并提供证明文件，否则其投标将被认定为投标无效。</w:t>
            </w:r>
          </w:p>
        </w:tc>
      </w:tr>
      <w:tr w14:paraId="55118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jc w:val="center"/>
        </w:trPr>
        <w:tc>
          <w:tcPr>
            <w:tcW w:w="1560" w:type="dxa"/>
            <w:vMerge w:val="continue"/>
            <w:tcBorders>
              <w:left w:val="single" w:color="auto" w:sz="4" w:space="0"/>
              <w:right w:val="single" w:color="auto" w:sz="4" w:space="0"/>
            </w:tcBorders>
          </w:tcPr>
          <w:p w14:paraId="6251605F">
            <w:pPr>
              <w:pStyle w:val="4"/>
              <w:shd w:val="clear"/>
              <w:rPr>
                <w:rFonts w:hint="eastAsia" w:ascii="仿宋_GB2312" w:hAnsi="仿宋_GB2312" w:eastAsia="仿宋_GB2312" w:cs="仿宋_GB2312"/>
                <w:color w:val="auto"/>
                <w:highlight w:val="none"/>
                <w:lang w:eastAsia="zh-CN"/>
              </w:rPr>
            </w:pPr>
          </w:p>
        </w:tc>
        <w:tc>
          <w:tcPr>
            <w:tcW w:w="850" w:type="dxa"/>
            <w:tcBorders>
              <w:top w:val="single" w:color="auto" w:sz="4" w:space="0"/>
              <w:left w:val="single" w:color="auto" w:sz="4" w:space="0"/>
              <w:bottom w:val="single" w:color="auto" w:sz="4" w:space="0"/>
              <w:right w:val="single" w:color="auto" w:sz="4" w:space="0"/>
            </w:tcBorders>
          </w:tcPr>
          <w:p w14:paraId="68F23B27">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3260" w:type="dxa"/>
            <w:gridSpan w:val="3"/>
            <w:tcBorders>
              <w:top w:val="single" w:color="auto" w:sz="4" w:space="0"/>
              <w:left w:val="single" w:color="auto" w:sz="4" w:space="0"/>
              <w:bottom w:val="single" w:color="auto" w:sz="4" w:space="0"/>
              <w:right w:val="single" w:color="auto" w:sz="4" w:space="0"/>
            </w:tcBorders>
          </w:tcPr>
          <w:p w14:paraId="37041B6E">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评分项</w:t>
            </w:r>
          </w:p>
        </w:tc>
        <w:tc>
          <w:tcPr>
            <w:tcW w:w="3261" w:type="dxa"/>
            <w:gridSpan w:val="3"/>
            <w:tcBorders>
              <w:top w:val="single" w:color="auto" w:sz="4" w:space="0"/>
              <w:left w:val="single" w:color="auto" w:sz="4" w:space="0"/>
              <w:bottom w:val="single" w:color="auto" w:sz="4" w:space="0"/>
              <w:right w:val="single" w:color="auto" w:sz="4" w:space="0"/>
            </w:tcBorders>
          </w:tcPr>
          <w:p w14:paraId="011B935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r>
      <w:tr w14:paraId="032C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jc w:val="center"/>
        </w:trPr>
        <w:tc>
          <w:tcPr>
            <w:tcW w:w="1560" w:type="dxa"/>
            <w:vMerge w:val="continue"/>
            <w:tcBorders>
              <w:left w:val="single" w:color="auto" w:sz="4" w:space="0"/>
              <w:right w:val="single" w:color="auto" w:sz="4" w:space="0"/>
            </w:tcBorders>
          </w:tcPr>
          <w:p w14:paraId="04724BB5">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6676F9EA">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3260" w:type="dxa"/>
            <w:gridSpan w:val="3"/>
            <w:tcBorders>
              <w:top w:val="single" w:color="auto" w:sz="4" w:space="0"/>
              <w:left w:val="single" w:color="auto" w:sz="4" w:space="0"/>
              <w:bottom w:val="single" w:color="auto" w:sz="4" w:space="0"/>
              <w:right w:val="single" w:color="auto" w:sz="4" w:space="0"/>
            </w:tcBorders>
          </w:tcPr>
          <w:p w14:paraId="2397B2BF">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价格</w:t>
            </w:r>
          </w:p>
        </w:tc>
        <w:tc>
          <w:tcPr>
            <w:tcW w:w="3261" w:type="dxa"/>
            <w:gridSpan w:val="3"/>
            <w:tcBorders>
              <w:top w:val="single" w:color="auto" w:sz="4" w:space="0"/>
              <w:left w:val="single" w:color="auto" w:sz="4" w:space="0"/>
              <w:bottom w:val="single" w:color="auto" w:sz="4" w:space="0"/>
              <w:right w:val="single" w:color="auto" w:sz="4" w:space="0"/>
            </w:tcBorders>
          </w:tcPr>
          <w:p w14:paraId="7949BCAD">
            <w:pPr>
              <w:shd w:val="clear"/>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20</w:t>
            </w:r>
          </w:p>
        </w:tc>
      </w:tr>
      <w:tr w14:paraId="6B29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jc w:val="center"/>
        </w:trPr>
        <w:tc>
          <w:tcPr>
            <w:tcW w:w="1560" w:type="dxa"/>
            <w:vMerge w:val="continue"/>
            <w:tcBorders>
              <w:left w:val="single" w:color="auto" w:sz="4" w:space="0"/>
              <w:right w:val="single" w:color="auto" w:sz="4" w:space="0"/>
            </w:tcBorders>
          </w:tcPr>
          <w:p w14:paraId="025B644B">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0391211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3260" w:type="dxa"/>
            <w:gridSpan w:val="3"/>
            <w:tcBorders>
              <w:top w:val="single" w:color="auto" w:sz="4" w:space="0"/>
              <w:left w:val="single" w:color="auto" w:sz="4" w:space="0"/>
              <w:bottom w:val="single" w:color="auto" w:sz="4" w:space="0"/>
              <w:right w:val="single" w:color="auto" w:sz="4" w:space="0"/>
            </w:tcBorders>
          </w:tcPr>
          <w:p w14:paraId="422091F0">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技术</w:t>
            </w:r>
          </w:p>
        </w:tc>
        <w:tc>
          <w:tcPr>
            <w:tcW w:w="3261" w:type="dxa"/>
            <w:gridSpan w:val="3"/>
            <w:tcBorders>
              <w:top w:val="single" w:color="auto" w:sz="4" w:space="0"/>
              <w:left w:val="single" w:color="auto" w:sz="4" w:space="0"/>
              <w:bottom w:val="single" w:color="auto" w:sz="4" w:space="0"/>
              <w:right w:val="single" w:color="auto" w:sz="4" w:space="0"/>
            </w:tcBorders>
          </w:tcPr>
          <w:p w14:paraId="2CCEFDB0">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40</w:t>
            </w:r>
          </w:p>
        </w:tc>
      </w:tr>
      <w:tr w14:paraId="2BE15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jc w:val="center"/>
        </w:trPr>
        <w:tc>
          <w:tcPr>
            <w:tcW w:w="1560" w:type="dxa"/>
            <w:vMerge w:val="continue"/>
            <w:tcBorders>
              <w:left w:val="single" w:color="auto" w:sz="4" w:space="0"/>
              <w:right w:val="single" w:color="auto" w:sz="4" w:space="0"/>
            </w:tcBorders>
          </w:tcPr>
          <w:p w14:paraId="502BFFA9">
            <w:pPr>
              <w:shd w:val="clear"/>
              <w:jc w:val="center"/>
              <w:rPr>
                <w:rFonts w:hint="eastAsia" w:ascii="仿宋_GB2312" w:hAnsi="仿宋_GB2312" w:eastAsia="仿宋_GB2312" w:cs="仿宋_GB2312"/>
                <w:color w:val="auto"/>
                <w:szCs w:val="21"/>
                <w:highlight w:val="none"/>
              </w:rPr>
            </w:pPr>
          </w:p>
        </w:tc>
        <w:tc>
          <w:tcPr>
            <w:tcW w:w="850" w:type="dxa"/>
            <w:vMerge w:val="restart"/>
            <w:tcBorders>
              <w:top w:val="single" w:color="auto" w:sz="4" w:space="0"/>
              <w:left w:val="single" w:color="auto" w:sz="4" w:space="0"/>
              <w:right w:val="single" w:color="auto" w:sz="4" w:space="0"/>
            </w:tcBorders>
          </w:tcPr>
          <w:p w14:paraId="12ED8853">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44868038">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行号</w:t>
            </w:r>
          </w:p>
        </w:tc>
        <w:tc>
          <w:tcPr>
            <w:tcW w:w="1701" w:type="dxa"/>
            <w:tcBorders>
              <w:top w:val="single" w:color="auto" w:sz="4" w:space="0"/>
              <w:left w:val="single" w:color="auto" w:sz="4" w:space="0"/>
              <w:bottom w:val="single" w:color="auto" w:sz="4" w:space="0"/>
              <w:right w:val="single" w:color="auto" w:sz="4" w:space="0"/>
            </w:tcBorders>
          </w:tcPr>
          <w:p w14:paraId="553BDB4E">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内容</w:t>
            </w:r>
          </w:p>
        </w:tc>
        <w:tc>
          <w:tcPr>
            <w:tcW w:w="850" w:type="dxa"/>
            <w:tcBorders>
              <w:top w:val="single" w:color="auto" w:sz="4" w:space="0"/>
              <w:left w:val="single" w:color="auto" w:sz="4" w:space="0"/>
              <w:bottom w:val="single" w:color="auto" w:sz="4" w:space="0"/>
              <w:right w:val="single" w:color="auto" w:sz="4" w:space="0"/>
            </w:tcBorders>
          </w:tcPr>
          <w:p w14:paraId="15E628E4">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c>
          <w:tcPr>
            <w:tcW w:w="3261" w:type="dxa"/>
            <w:gridSpan w:val="3"/>
            <w:tcBorders>
              <w:top w:val="single" w:color="auto" w:sz="4" w:space="0"/>
              <w:left w:val="single" w:color="auto" w:sz="4" w:space="0"/>
              <w:bottom w:val="single" w:color="auto" w:sz="4" w:space="0"/>
              <w:right w:val="single" w:color="auto" w:sz="4" w:space="0"/>
            </w:tcBorders>
          </w:tcPr>
          <w:p w14:paraId="354CE739">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25B1D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jc w:val="center"/>
        </w:trPr>
        <w:tc>
          <w:tcPr>
            <w:tcW w:w="1560" w:type="dxa"/>
            <w:vMerge w:val="continue"/>
            <w:tcBorders>
              <w:left w:val="single" w:color="auto" w:sz="4" w:space="0"/>
              <w:right w:val="single" w:color="auto" w:sz="4" w:space="0"/>
            </w:tcBorders>
            <w:vAlign w:val="center"/>
          </w:tcPr>
          <w:p w14:paraId="71B56657">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3BD1F726">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FEB5744">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38424A28">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rPr>
              <w:t>实施方案</w:t>
            </w:r>
            <w:r>
              <w:rPr>
                <w:rFonts w:hint="eastAsia" w:ascii="仿宋_GB2312" w:hAnsi="仿宋_GB2312" w:eastAsia="仿宋_GB2312" w:cs="仿宋_GB2312"/>
                <w:color w:val="auto"/>
                <w:szCs w:val="21"/>
                <w:highlight w:val="none"/>
                <w:lang w:eastAsia="zh-CN"/>
              </w:rPr>
              <w:t>（</w:t>
            </w:r>
            <w:r>
              <w:rPr>
                <w:rFonts w:hint="eastAsia" w:ascii="仿宋_GB2312" w:hAnsi="仿宋_GB2312" w:eastAsia="仿宋_GB2312" w:cs="仿宋_GB2312"/>
                <w:color w:val="auto"/>
                <w:szCs w:val="21"/>
                <w:highlight w:val="none"/>
                <w:lang w:val="en-US" w:eastAsia="zh-CN"/>
              </w:rPr>
              <w:t>工作措施、工作方法、工作手段、工作流程</w:t>
            </w:r>
            <w:r>
              <w:rPr>
                <w:rFonts w:hint="eastAsia" w:ascii="仿宋_GB2312" w:hAnsi="仿宋_GB2312" w:eastAsia="仿宋_GB2312" w:cs="仿宋_GB2312"/>
                <w:color w:val="auto"/>
                <w:szCs w:val="21"/>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vAlign w:val="center"/>
          </w:tcPr>
          <w:p w14:paraId="77AB92FA">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15</w:t>
            </w:r>
          </w:p>
        </w:tc>
        <w:tc>
          <w:tcPr>
            <w:tcW w:w="3261" w:type="dxa"/>
            <w:gridSpan w:val="3"/>
            <w:tcBorders>
              <w:top w:val="single" w:color="auto" w:sz="4" w:space="0"/>
              <w:left w:val="single" w:color="auto" w:sz="4" w:space="0"/>
              <w:bottom w:val="single" w:color="auto" w:sz="4" w:space="0"/>
              <w:right w:val="single" w:color="auto" w:sz="4" w:space="0"/>
            </w:tcBorders>
          </w:tcPr>
          <w:p w14:paraId="2E6C2F64">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1F24DA85">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投标人需按本项目要求提供实施方案，包括以下内容：</w:t>
            </w:r>
          </w:p>
          <w:p w14:paraId="2D4B1A83">
            <w:pPr>
              <w:numPr>
                <w:ilvl w:val="0"/>
                <w:numId w:val="1"/>
              </w:num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考核投标单位对本项目建设内容、范围、业务需求，以及对本项目建设过程的理解。</w:t>
            </w:r>
          </w:p>
          <w:p w14:paraId="3A2D09D3">
            <w:pPr>
              <w:numPr>
                <w:ilvl w:val="0"/>
                <w:numId w:val="1"/>
              </w:num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考核投标单位对项目监理实施方案中工作措施、工作方法、工作手段、工作流程和项目管理服务承诺情况。</w:t>
            </w:r>
          </w:p>
          <w:p w14:paraId="0B4C3D73">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根据招标文件的需求和投标文件响应情况进行比较。分档评分。</w:t>
            </w:r>
          </w:p>
          <w:p w14:paraId="2FCF0F9D">
            <w:pPr>
              <w:shd w:val="clear"/>
              <w:jc w:val="left"/>
              <w:rPr>
                <w:rFonts w:hint="default" w:ascii="仿宋_GB2312" w:hAnsi="仿宋_GB2312" w:eastAsia="仿宋_GB2312" w:cs="仿宋_GB2312"/>
                <w:b/>
                <w:bCs/>
                <w:color w:val="auto"/>
                <w:szCs w:val="21"/>
                <w:highlight w:val="none"/>
                <w:lang w:val="en-US"/>
              </w:rPr>
            </w:pPr>
            <w:r>
              <w:rPr>
                <w:rFonts w:hint="eastAsia" w:ascii="仿宋_GB2312" w:hAnsi="仿宋_GB2312" w:eastAsia="仿宋_GB2312" w:cs="仿宋_GB2312"/>
                <w:b/>
                <w:bCs/>
                <w:color w:val="auto"/>
                <w:szCs w:val="21"/>
                <w:highlight w:val="none"/>
                <w:lang w:val="en-US" w:eastAsia="zh-CN"/>
              </w:rPr>
              <w:t>评分依据：</w:t>
            </w:r>
          </w:p>
          <w:p w14:paraId="73FB84AB">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实施方案内容全面；</w:t>
            </w:r>
          </w:p>
          <w:p w14:paraId="6F82CE1B">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2.实施方案内容具体；</w:t>
            </w:r>
          </w:p>
          <w:p w14:paraId="2095A38D">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3.实施方案内容科学合理；</w:t>
            </w:r>
          </w:p>
          <w:p w14:paraId="7E7CF072">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4.实施方案内容针对性强；</w:t>
            </w:r>
          </w:p>
          <w:p w14:paraId="62EC3557">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5.实施方案内容可操作性强。</w:t>
            </w:r>
          </w:p>
          <w:p w14:paraId="24B23738">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满足以上五项要求的评价为优，得15分；</w:t>
            </w:r>
          </w:p>
          <w:p w14:paraId="25FB720B">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满足以上四项要求的评价为良，得11分；</w:t>
            </w:r>
          </w:p>
          <w:p w14:paraId="5D1ABC25">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满足以上三项要求的评价为中，得7分；</w:t>
            </w:r>
          </w:p>
          <w:p w14:paraId="2EDC8E7F">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其他情况的评价为差，不得分。</w:t>
            </w:r>
          </w:p>
        </w:tc>
      </w:tr>
      <w:tr w14:paraId="6E061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jc w:val="center"/>
        </w:trPr>
        <w:tc>
          <w:tcPr>
            <w:tcW w:w="1560" w:type="dxa"/>
            <w:vMerge w:val="continue"/>
            <w:tcBorders>
              <w:left w:val="single" w:color="auto" w:sz="4" w:space="0"/>
              <w:right w:val="single" w:color="auto" w:sz="4" w:space="0"/>
            </w:tcBorders>
            <w:vAlign w:val="center"/>
          </w:tcPr>
          <w:p w14:paraId="60761092">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62F21C7A">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B08DB0B">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2FEA43DF">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项目重点难点分析、应对措施及相关的合理化建议</w:t>
            </w:r>
          </w:p>
        </w:tc>
        <w:tc>
          <w:tcPr>
            <w:tcW w:w="850" w:type="dxa"/>
            <w:tcBorders>
              <w:top w:val="single" w:color="auto" w:sz="4" w:space="0"/>
              <w:left w:val="single" w:color="auto" w:sz="4" w:space="0"/>
              <w:bottom w:val="single" w:color="auto" w:sz="4" w:space="0"/>
              <w:right w:val="single" w:color="auto" w:sz="4" w:space="0"/>
            </w:tcBorders>
            <w:vAlign w:val="center"/>
          </w:tcPr>
          <w:p w14:paraId="5B402783">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10</w:t>
            </w:r>
          </w:p>
        </w:tc>
        <w:tc>
          <w:tcPr>
            <w:tcW w:w="3261" w:type="dxa"/>
            <w:gridSpan w:val="3"/>
            <w:tcBorders>
              <w:top w:val="single" w:color="auto" w:sz="4" w:space="0"/>
              <w:left w:val="single" w:color="auto" w:sz="4" w:space="0"/>
              <w:bottom w:val="single" w:color="auto" w:sz="4" w:space="0"/>
              <w:right w:val="single" w:color="auto" w:sz="4" w:space="0"/>
            </w:tcBorders>
          </w:tcPr>
          <w:p w14:paraId="6E786095">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760030F1">
            <w:pPr>
              <w:shd w:val="clear"/>
              <w:snapToGrid w:val="0"/>
              <w:rPr>
                <w:rFonts w:hint="eastAsia" w:ascii="仿宋_GB2312" w:hAnsi="仿宋_GB2312" w:eastAsia="仿宋_GB2312" w:cs="仿宋_GB2312"/>
                <w:b w:val="0"/>
                <w:bCs w:val="0"/>
                <w:color w:val="auto"/>
                <w:szCs w:val="21"/>
                <w:highlight w:val="none"/>
                <w:lang w:eastAsia="zh-CN"/>
              </w:rPr>
            </w:pPr>
            <w:r>
              <w:rPr>
                <w:rFonts w:hint="eastAsia" w:ascii="仿宋_GB2312" w:hAnsi="仿宋_GB2312" w:eastAsia="仿宋_GB2312" w:cs="仿宋_GB2312"/>
                <w:b w:val="0"/>
                <w:bCs w:val="0"/>
                <w:color w:val="auto"/>
                <w:szCs w:val="21"/>
                <w:highlight w:val="none"/>
                <w:lang w:val="en-US" w:eastAsia="zh-CN"/>
              </w:rPr>
              <w:t>考察投标单位针对本项目建设内容和建设过程中需求重点解决的问题，提出</w:t>
            </w:r>
            <w:r>
              <w:rPr>
                <w:rFonts w:hint="eastAsia" w:ascii="仿宋_GB2312" w:hAnsi="仿宋_GB2312" w:eastAsia="仿宋_GB2312" w:cs="仿宋_GB2312"/>
                <w:b w:val="0"/>
                <w:bCs w:val="0"/>
                <w:color w:val="auto"/>
                <w:szCs w:val="21"/>
                <w:highlight w:val="none"/>
              </w:rPr>
              <w:t>项目重难点分析、应对措施及相关的合理化建议</w:t>
            </w:r>
            <w:r>
              <w:rPr>
                <w:rFonts w:hint="eastAsia" w:ascii="仿宋_GB2312" w:hAnsi="仿宋_GB2312" w:eastAsia="仿宋_GB2312" w:cs="仿宋_GB2312"/>
                <w:b w:val="0"/>
                <w:bCs w:val="0"/>
                <w:color w:val="auto"/>
                <w:szCs w:val="21"/>
                <w:highlight w:val="none"/>
                <w:lang w:eastAsia="zh-CN"/>
              </w:rPr>
              <w:t>。</w:t>
            </w:r>
          </w:p>
          <w:p w14:paraId="4DD9F4B1">
            <w:pPr>
              <w:shd w:val="clear"/>
              <w:snapToGrid w:val="0"/>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根据招标文件的需求和投标文件响应情况进行比较，分档评分。</w:t>
            </w:r>
          </w:p>
          <w:p w14:paraId="5B291F6F">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评分依据</w:t>
            </w:r>
            <w:r>
              <w:rPr>
                <w:rFonts w:hint="eastAsia" w:ascii="仿宋_GB2312" w:hAnsi="仿宋_GB2312" w:eastAsia="仿宋_GB2312" w:cs="仿宋_GB2312"/>
                <w:b/>
                <w:bCs/>
                <w:color w:val="auto"/>
                <w:szCs w:val="21"/>
                <w:highlight w:val="none"/>
              </w:rPr>
              <w:t>：</w:t>
            </w:r>
          </w:p>
          <w:p w14:paraId="6E5218A9">
            <w:pPr>
              <w:shd w:val="clear"/>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rPr>
              <w:t>1.</w:t>
            </w:r>
            <w:r>
              <w:rPr>
                <w:rFonts w:hint="eastAsia" w:ascii="仿宋_GB2312" w:hAnsi="仿宋_GB2312" w:eastAsia="仿宋_GB2312" w:cs="仿宋_GB2312"/>
                <w:b w:val="0"/>
                <w:bCs w:val="0"/>
                <w:color w:val="auto"/>
                <w:szCs w:val="21"/>
                <w:highlight w:val="none"/>
                <w:lang w:val="en-US" w:eastAsia="zh-CN"/>
              </w:rPr>
              <w:t>合理化建议内容全面；</w:t>
            </w:r>
          </w:p>
          <w:p w14:paraId="2DFD86E1">
            <w:pPr>
              <w:shd w:val="clear"/>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2.合理化建议内容具体；</w:t>
            </w:r>
          </w:p>
          <w:p w14:paraId="12300BC3">
            <w:pPr>
              <w:shd w:val="clear"/>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3.合理化建议内容科学合理；</w:t>
            </w:r>
          </w:p>
          <w:p w14:paraId="6BB011D2">
            <w:pPr>
              <w:shd w:val="clear"/>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4.合理化建议内容针对性强；</w:t>
            </w:r>
          </w:p>
          <w:p w14:paraId="0678332B">
            <w:pPr>
              <w:shd w:val="clear"/>
              <w:jc w:val="left"/>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5.合理化建议内容可操作性强。</w:t>
            </w:r>
          </w:p>
          <w:p w14:paraId="1D006C82">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满足以上五项要求的评价为优，得10分；</w:t>
            </w:r>
          </w:p>
          <w:p w14:paraId="566B2E1D">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满足以上四项要求的评价为良，得7分；</w:t>
            </w:r>
          </w:p>
          <w:p w14:paraId="1D89CF4C">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满足以上三项要求的评价为中，得4分；</w:t>
            </w:r>
          </w:p>
          <w:p w14:paraId="10CC94D6">
            <w:pPr>
              <w:shd w:val="clea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其他情况的评价为差，不得分。</w:t>
            </w:r>
          </w:p>
        </w:tc>
      </w:tr>
      <w:tr w14:paraId="7504C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jc w:val="center"/>
        </w:trPr>
        <w:tc>
          <w:tcPr>
            <w:tcW w:w="1560" w:type="dxa"/>
            <w:vMerge w:val="continue"/>
            <w:tcBorders>
              <w:left w:val="single" w:color="auto" w:sz="4" w:space="0"/>
              <w:right w:val="single" w:color="auto" w:sz="4" w:space="0"/>
            </w:tcBorders>
            <w:vAlign w:val="center"/>
          </w:tcPr>
          <w:p w14:paraId="62DBDEF4">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188A671E">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F2081CB">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1701" w:type="dxa"/>
            <w:tcBorders>
              <w:top w:val="single" w:color="auto" w:sz="4" w:space="0"/>
              <w:left w:val="single" w:color="auto" w:sz="4" w:space="0"/>
              <w:bottom w:val="single" w:color="auto" w:sz="4" w:space="0"/>
              <w:right w:val="single" w:color="auto" w:sz="4" w:space="0"/>
            </w:tcBorders>
            <w:vAlign w:val="center"/>
          </w:tcPr>
          <w:p w14:paraId="1E4A843D">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质量（完成时间、安全、环保）保障措施及方案</w:t>
            </w:r>
          </w:p>
        </w:tc>
        <w:tc>
          <w:tcPr>
            <w:tcW w:w="850" w:type="dxa"/>
            <w:tcBorders>
              <w:top w:val="single" w:color="auto" w:sz="4" w:space="0"/>
              <w:left w:val="single" w:color="auto" w:sz="4" w:space="0"/>
              <w:bottom w:val="single" w:color="auto" w:sz="4" w:space="0"/>
              <w:right w:val="single" w:color="auto" w:sz="4" w:space="0"/>
            </w:tcBorders>
            <w:vAlign w:val="center"/>
          </w:tcPr>
          <w:p w14:paraId="2444440A">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10</w:t>
            </w:r>
          </w:p>
        </w:tc>
        <w:tc>
          <w:tcPr>
            <w:tcW w:w="3261" w:type="dxa"/>
            <w:gridSpan w:val="3"/>
            <w:tcBorders>
              <w:top w:val="single" w:color="auto" w:sz="4" w:space="0"/>
              <w:left w:val="single" w:color="auto" w:sz="4" w:space="0"/>
              <w:bottom w:val="single" w:color="auto" w:sz="4" w:space="0"/>
              <w:right w:val="single" w:color="auto" w:sz="4" w:space="0"/>
            </w:tcBorders>
          </w:tcPr>
          <w:p w14:paraId="6A003794">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032EF4FF">
            <w:pPr>
              <w:shd w:val="clear"/>
              <w:snapToGrid w:val="0"/>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rPr>
              <w:t>投标人</w:t>
            </w:r>
            <w:r>
              <w:rPr>
                <w:rFonts w:hint="eastAsia" w:ascii="仿宋_GB2312" w:hAnsi="仿宋_GB2312" w:eastAsia="仿宋_GB2312" w:cs="仿宋_GB2312"/>
                <w:b w:val="0"/>
                <w:bCs w:val="0"/>
                <w:color w:val="auto"/>
                <w:szCs w:val="21"/>
                <w:highlight w:val="none"/>
                <w:lang w:val="en-US" w:eastAsia="zh-CN"/>
              </w:rPr>
              <w:t>阐述项目资料、保证服务人员的稳定、保证服务的质量、成果、安全性保障等措施及方案。</w:t>
            </w:r>
          </w:p>
          <w:p w14:paraId="5072F251">
            <w:pPr>
              <w:shd w:val="clear"/>
              <w:snapToGrid w:val="0"/>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根据招标文件的需求和招标文件响应情况进行比较，分档评分。</w:t>
            </w:r>
          </w:p>
          <w:p w14:paraId="27718545">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lang w:val="en-US" w:eastAsia="zh-CN"/>
              </w:rPr>
              <w:t>评分依据：</w:t>
            </w:r>
          </w:p>
          <w:p w14:paraId="6CBB83AF">
            <w:pPr>
              <w:shd w:val="clear"/>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rPr>
              <w:t>1.</w:t>
            </w:r>
            <w:r>
              <w:rPr>
                <w:rFonts w:hint="eastAsia" w:ascii="仿宋_GB2312" w:hAnsi="仿宋_GB2312" w:eastAsia="仿宋_GB2312" w:cs="仿宋_GB2312"/>
                <w:b w:val="0"/>
                <w:bCs w:val="0"/>
                <w:color w:val="auto"/>
                <w:szCs w:val="21"/>
                <w:highlight w:val="none"/>
                <w:lang w:val="en-US" w:eastAsia="zh-CN"/>
              </w:rPr>
              <w:t>保障措施及方案内容全面；</w:t>
            </w:r>
          </w:p>
          <w:p w14:paraId="545598BE">
            <w:pPr>
              <w:shd w:val="clear"/>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2.保障措施及方案内容具体；</w:t>
            </w:r>
          </w:p>
          <w:p w14:paraId="5031A454">
            <w:pPr>
              <w:shd w:val="clear"/>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3.保障措施及方案内容科学合理；</w:t>
            </w:r>
          </w:p>
          <w:p w14:paraId="063421C4">
            <w:pPr>
              <w:shd w:val="clear"/>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4.保障措施及方案内容针对性强；</w:t>
            </w:r>
          </w:p>
          <w:p w14:paraId="4BB5BA35">
            <w:pPr>
              <w:shd w:val="clear"/>
              <w:jc w:val="left"/>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5.保障措施及方案内容可操作性强。</w:t>
            </w:r>
          </w:p>
          <w:p w14:paraId="7976362E">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满足以上五项要求的评价为优，得10分；</w:t>
            </w:r>
          </w:p>
          <w:p w14:paraId="2E1ECF47">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满足以上四项要求的评价为良，得7分；</w:t>
            </w:r>
          </w:p>
          <w:p w14:paraId="10285249">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满足以上三项要求的评价为中，得4分；</w:t>
            </w:r>
          </w:p>
          <w:p w14:paraId="1DA3BE1D">
            <w:pPr>
              <w:shd w:val="clea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其他情况的评价为差，不得分。</w:t>
            </w:r>
          </w:p>
        </w:tc>
      </w:tr>
      <w:tr w14:paraId="604C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63" w:hRule="atLeast"/>
          <w:jc w:val="center"/>
        </w:trPr>
        <w:tc>
          <w:tcPr>
            <w:tcW w:w="1560" w:type="dxa"/>
            <w:vMerge w:val="continue"/>
            <w:tcBorders>
              <w:left w:val="single" w:color="auto" w:sz="4" w:space="0"/>
              <w:right w:val="single" w:color="auto" w:sz="4" w:space="0"/>
            </w:tcBorders>
            <w:vAlign w:val="center"/>
          </w:tcPr>
          <w:p w14:paraId="7D6D3F1F">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7E7AE3AD">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293FD04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4</w:t>
            </w:r>
          </w:p>
        </w:tc>
        <w:tc>
          <w:tcPr>
            <w:tcW w:w="1701" w:type="dxa"/>
            <w:tcBorders>
              <w:top w:val="single" w:color="auto" w:sz="4" w:space="0"/>
              <w:left w:val="single" w:color="auto" w:sz="4" w:space="0"/>
              <w:bottom w:val="single" w:color="auto" w:sz="4" w:space="0"/>
              <w:right w:val="single" w:color="auto" w:sz="4" w:space="0"/>
            </w:tcBorders>
            <w:vAlign w:val="center"/>
          </w:tcPr>
          <w:p w14:paraId="5B799492">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项目完成（服务期满）后的服务承诺</w:t>
            </w:r>
          </w:p>
        </w:tc>
        <w:tc>
          <w:tcPr>
            <w:tcW w:w="850" w:type="dxa"/>
            <w:tcBorders>
              <w:top w:val="single" w:color="auto" w:sz="4" w:space="0"/>
              <w:left w:val="single" w:color="auto" w:sz="4" w:space="0"/>
              <w:bottom w:val="single" w:color="auto" w:sz="4" w:space="0"/>
              <w:right w:val="single" w:color="auto" w:sz="4" w:space="0"/>
            </w:tcBorders>
            <w:vAlign w:val="center"/>
          </w:tcPr>
          <w:p w14:paraId="33197B95">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3</w:t>
            </w:r>
          </w:p>
        </w:tc>
        <w:tc>
          <w:tcPr>
            <w:tcW w:w="3261" w:type="dxa"/>
            <w:gridSpan w:val="3"/>
            <w:tcBorders>
              <w:top w:val="single" w:color="auto" w:sz="4" w:space="0"/>
              <w:left w:val="single" w:color="auto" w:sz="4" w:space="0"/>
              <w:bottom w:val="single" w:color="auto" w:sz="4" w:space="0"/>
              <w:right w:val="single" w:color="auto" w:sz="4" w:space="0"/>
            </w:tcBorders>
          </w:tcPr>
          <w:p w14:paraId="3AA9D537">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（一）评审内容：</w:t>
            </w:r>
            <w:r>
              <w:rPr>
                <w:rFonts w:hint="eastAsia" w:ascii="仿宋_GB2312" w:hAnsi="仿宋_GB2312" w:eastAsia="仿宋_GB2312" w:cs="仿宋_GB2312"/>
                <w:color w:val="auto"/>
                <w:szCs w:val="21"/>
                <w:highlight w:val="none"/>
              </w:rPr>
              <w:t xml:space="preserve"> </w:t>
            </w:r>
          </w:p>
          <w:p w14:paraId="00AD88CC">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投标人需按本项目要求提供项目完成（服务期满）后的服务承诺，包括以下内容：</w:t>
            </w:r>
          </w:p>
          <w:p w14:paraId="4288A17E">
            <w:pPr>
              <w:shd w:val="clear"/>
              <w:wordWrap w:val="0"/>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.提供相应的总结报告和资料等，积极协助建设单位交接完整的项目建设文档资料的归档要求</w:t>
            </w:r>
            <w:r>
              <w:rPr>
                <w:rFonts w:hint="eastAsia" w:ascii="仿宋_GB2312" w:hAnsi="仿宋_GB2312" w:eastAsia="仿宋_GB2312" w:cs="仿宋_GB2312"/>
                <w:color w:val="auto"/>
                <w:szCs w:val="21"/>
                <w:highlight w:val="none"/>
              </w:rPr>
              <w:t>；</w:t>
            </w:r>
          </w:p>
          <w:p w14:paraId="49050F18">
            <w:pPr>
              <w:shd w:val="clear"/>
              <w:wordWrap w:val="0"/>
              <w:rPr>
                <w:rFonts w:hint="eastAsia" w:ascii="仿宋_GB2312" w:hAnsi="仿宋_GB2312" w:eastAsia="仿宋_GB2312" w:cs="仿宋_GB2312"/>
                <w:color w:val="auto"/>
                <w:sz w:val="18"/>
                <w:szCs w:val="18"/>
                <w:highlight w:val="none"/>
                <w:u w:val="single"/>
                <w:lang w:eastAsia="zh-CN"/>
              </w:rPr>
            </w:pPr>
            <w:r>
              <w:rPr>
                <w:rFonts w:hint="eastAsia" w:ascii="仿宋_GB2312" w:hAnsi="仿宋_GB2312" w:eastAsia="仿宋_GB2312" w:cs="仿宋_GB2312"/>
                <w:color w:val="auto"/>
                <w:szCs w:val="21"/>
                <w:highlight w:val="none"/>
              </w:rPr>
              <w:t>2</w:t>
            </w:r>
            <w:r>
              <w:rPr>
                <w:rFonts w:hint="eastAsia" w:ascii="仿宋_GB2312" w:hAnsi="仿宋_GB2312" w:eastAsia="仿宋_GB2312" w:cs="仿宋_GB2312"/>
                <w:color w:val="auto"/>
                <w:szCs w:val="21"/>
                <w:highlight w:val="none"/>
                <w:lang w:val="en-US" w:eastAsia="zh-CN"/>
              </w:rPr>
              <w:t>.</w:t>
            </w:r>
            <w:r>
              <w:rPr>
                <w:rFonts w:hint="eastAsia" w:ascii="仿宋_GB2312" w:hAnsi="仿宋_GB2312" w:eastAsia="仿宋_GB2312" w:cs="仿宋_GB2312"/>
                <w:color w:val="auto"/>
                <w:szCs w:val="21"/>
                <w:highlight w:val="none"/>
              </w:rPr>
              <w:t>服务期满，协助</w:t>
            </w:r>
            <w:r>
              <w:rPr>
                <w:rFonts w:hint="eastAsia" w:ascii="仿宋_GB2312" w:hAnsi="仿宋_GB2312" w:eastAsia="仿宋_GB2312" w:cs="仿宋_GB2312"/>
                <w:color w:val="auto"/>
                <w:szCs w:val="21"/>
                <w:highlight w:val="none"/>
                <w:lang w:eastAsia="zh-CN"/>
              </w:rPr>
              <w:t>建设单位</w:t>
            </w:r>
            <w:r>
              <w:rPr>
                <w:rFonts w:hint="eastAsia" w:ascii="仿宋_GB2312" w:hAnsi="仿宋_GB2312" w:eastAsia="仿宋_GB2312" w:cs="仿宋_GB2312"/>
                <w:color w:val="auto"/>
                <w:szCs w:val="21"/>
                <w:highlight w:val="none"/>
              </w:rPr>
              <w:t>进行后续审计工作。</w:t>
            </w:r>
          </w:p>
          <w:p w14:paraId="3A2B8EAE">
            <w:pPr>
              <w:shd w:val="clear"/>
              <w:snapToGrid w:val="0"/>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rPr>
              <w:t>（二）</w:t>
            </w:r>
            <w:r>
              <w:rPr>
                <w:rFonts w:hint="eastAsia" w:ascii="仿宋_GB2312" w:hAnsi="仿宋_GB2312" w:eastAsia="仿宋_GB2312" w:cs="仿宋_GB2312"/>
                <w:b/>
                <w:bCs/>
                <w:color w:val="auto"/>
                <w:szCs w:val="21"/>
                <w:highlight w:val="none"/>
                <w:lang w:val="en-US" w:eastAsia="zh-CN"/>
              </w:rPr>
              <w:t>评分标准</w:t>
            </w:r>
          </w:p>
          <w:p w14:paraId="6C15C8A0">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要求提供承诺函（格式自定）作为得分依据，</w:t>
            </w:r>
            <w:r>
              <w:rPr>
                <w:rFonts w:hint="eastAsia" w:ascii="仿宋_GB2312" w:hAnsi="仿宋_GB2312" w:eastAsia="仿宋_GB2312" w:cs="仿宋_GB2312"/>
                <w:color w:val="auto"/>
                <w:szCs w:val="21"/>
                <w:highlight w:val="none"/>
              </w:rPr>
              <w:t>投标人承诺以</w:t>
            </w:r>
            <w:r>
              <w:rPr>
                <w:rFonts w:hint="eastAsia" w:ascii="仿宋_GB2312" w:hAnsi="仿宋_GB2312" w:eastAsia="仿宋_GB2312" w:cs="仿宋_GB2312"/>
                <w:color w:val="auto"/>
                <w:szCs w:val="21"/>
                <w:highlight w:val="none"/>
                <w:lang w:val="en-US" w:eastAsia="zh-CN"/>
              </w:rPr>
              <w:t>上</w:t>
            </w:r>
            <w:r>
              <w:rPr>
                <w:rFonts w:hint="eastAsia" w:ascii="仿宋_GB2312" w:hAnsi="仿宋_GB2312" w:eastAsia="仿宋_GB2312" w:cs="仿宋_GB2312"/>
                <w:color w:val="auto"/>
                <w:szCs w:val="21"/>
                <w:highlight w:val="none"/>
              </w:rPr>
              <w:t>全部两项的得</w:t>
            </w:r>
            <w:r>
              <w:rPr>
                <w:rFonts w:hint="eastAsia" w:ascii="仿宋_GB2312" w:hAnsi="仿宋_GB2312" w:eastAsia="仿宋_GB2312" w:cs="仿宋_GB2312"/>
                <w:color w:val="auto"/>
                <w:szCs w:val="21"/>
                <w:highlight w:val="none"/>
                <w:lang w:val="en-US" w:eastAsia="zh-CN"/>
              </w:rPr>
              <w:t>3</w:t>
            </w:r>
            <w:r>
              <w:rPr>
                <w:rFonts w:hint="eastAsia" w:ascii="仿宋_GB2312" w:hAnsi="仿宋_GB2312" w:eastAsia="仿宋_GB2312" w:cs="仿宋_GB2312"/>
                <w:color w:val="auto"/>
                <w:szCs w:val="21"/>
                <w:highlight w:val="none"/>
              </w:rPr>
              <w:t>分，否则不得分</w:t>
            </w:r>
            <w:r>
              <w:rPr>
                <w:rFonts w:hint="eastAsia" w:ascii="仿宋_GB2312" w:hAnsi="仿宋_GB2312" w:eastAsia="仿宋_GB2312" w:cs="仿宋_GB2312"/>
                <w:color w:val="auto"/>
                <w:szCs w:val="21"/>
                <w:highlight w:val="none"/>
                <w:lang w:eastAsia="zh-CN"/>
              </w:rPr>
              <w:t>。</w:t>
            </w:r>
          </w:p>
          <w:p w14:paraId="6B0510DE">
            <w:pPr>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b/>
                <w:bCs/>
                <w:color w:val="auto"/>
                <w:szCs w:val="21"/>
                <w:highlight w:val="none"/>
              </w:rPr>
              <w:t>备注：不提供或</w:t>
            </w:r>
            <w:r>
              <w:rPr>
                <w:rFonts w:hint="eastAsia" w:ascii="仿宋_GB2312" w:hAnsi="仿宋_GB2312" w:eastAsia="仿宋_GB2312" w:cs="仿宋_GB2312"/>
                <w:b/>
                <w:bCs/>
                <w:color w:val="auto"/>
                <w:szCs w:val="21"/>
                <w:highlight w:val="none"/>
                <w:lang w:val="en-US" w:eastAsia="zh-CN"/>
              </w:rPr>
              <w:t>承诺内容不满足要求</w:t>
            </w:r>
            <w:r>
              <w:rPr>
                <w:rFonts w:hint="eastAsia" w:ascii="仿宋_GB2312" w:hAnsi="仿宋_GB2312" w:eastAsia="仿宋_GB2312" w:cs="仿宋_GB2312"/>
                <w:b/>
                <w:bCs/>
                <w:color w:val="auto"/>
                <w:szCs w:val="21"/>
                <w:highlight w:val="none"/>
              </w:rPr>
              <w:t>的不得分。</w:t>
            </w:r>
          </w:p>
        </w:tc>
      </w:tr>
      <w:tr w14:paraId="4DD5B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90" w:hRule="atLeast"/>
          <w:jc w:val="center"/>
        </w:trPr>
        <w:tc>
          <w:tcPr>
            <w:tcW w:w="1560" w:type="dxa"/>
            <w:vMerge w:val="continue"/>
            <w:tcBorders>
              <w:left w:val="single" w:color="auto" w:sz="4" w:space="0"/>
              <w:right w:val="single" w:color="auto" w:sz="4" w:space="0"/>
            </w:tcBorders>
            <w:vAlign w:val="center"/>
          </w:tcPr>
          <w:p w14:paraId="1B9FAFAD">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08371DB6">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479DB065">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1701" w:type="dxa"/>
            <w:tcBorders>
              <w:top w:val="single" w:color="auto" w:sz="4" w:space="0"/>
              <w:left w:val="single" w:color="auto" w:sz="4" w:space="0"/>
              <w:bottom w:val="single" w:color="auto" w:sz="4" w:space="0"/>
              <w:right w:val="single" w:color="auto" w:sz="4" w:space="0"/>
            </w:tcBorders>
            <w:vAlign w:val="center"/>
          </w:tcPr>
          <w:p w14:paraId="5E618294">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违约承诺</w:t>
            </w:r>
          </w:p>
        </w:tc>
        <w:tc>
          <w:tcPr>
            <w:tcW w:w="850" w:type="dxa"/>
            <w:tcBorders>
              <w:top w:val="single" w:color="auto" w:sz="4" w:space="0"/>
              <w:left w:val="single" w:color="auto" w:sz="4" w:space="0"/>
              <w:bottom w:val="single" w:color="auto" w:sz="4" w:space="0"/>
              <w:right w:val="single" w:color="auto" w:sz="4" w:space="0"/>
            </w:tcBorders>
            <w:vAlign w:val="center"/>
          </w:tcPr>
          <w:p w14:paraId="6F4DFD82">
            <w:pPr>
              <w:shd w:val="clear"/>
              <w:jc w:val="center"/>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val="en-US" w:eastAsia="zh-CN"/>
              </w:rPr>
              <w:t>2</w:t>
            </w:r>
          </w:p>
        </w:tc>
        <w:tc>
          <w:tcPr>
            <w:tcW w:w="3261" w:type="dxa"/>
            <w:gridSpan w:val="3"/>
            <w:tcBorders>
              <w:top w:val="single" w:color="auto" w:sz="4" w:space="0"/>
              <w:left w:val="single" w:color="auto" w:sz="4" w:space="0"/>
              <w:bottom w:val="single" w:color="auto" w:sz="4" w:space="0"/>
              <w:right w:val="single" w:color="auto" w:sz="4" w:space="0"/>
            </w:tcBorders>
          </w:tcPr>
          <w:p w14:paraId="64646169">
            <w:pPr>
              <w:shd w:val="clear"/>
              <w:snapToGrid w:val="0"/>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（一）评审内容：</w:t>
            </w:r>
          </w:p>
          <w:p w14:paraId="37CB680D">
            <w:pPr>
              <w:shd w:val="clear"/>
              <w:snapToGrid w:val="0"/>
              <w:jc w:val="left"/>
              <w:rPr>
                <w:rFonts w:hint="eastAsia" w:ascii="仿宋_GB2312" w:hAnsi="仿宋_GB2312" w:eastAsia="仿宋_GB2312" w:cs="仿宋_GB2312"/>
                <w:bCs/>
                <w:iCs/>
                <w:color w:val="auto"/>
                <w:szCs w:val="21"/>
                <w:highlight w:val="none"/>
              </w:rPr>
            </w:pPr>
            <w:r>
              <w:rPr>
                <w:rFonts w:hint="eastAsia" w:ascii="仿宋_GB2312" w:hAnsi="仿宋_GB2312" w:eastAsia="仿宋_GB2312" w:cs="仿宋_GB2312"/>
                <w:b/>
                <w:bCs/>
                <w:color w:val="auto"/>
                <w:szCs w:val="21"/>
                <w:highlight w:val="none"/>
              </w:rPr>
              <w:t>投标人需以本项目要求提供“违约承诺</w:t>
            </w:r>
            <w:r>
              <w:rPr>
                <w:rFonts w:hint="eastAsia" w:ascii="仿宋_GB2312" w:hAnsi="仿宋_GB2312" w:eastAsia="仿宋_GB2312" w:cs="仿宋_GB2312"/>
                <w:b/>
                <w:bCs/>
                <w:color w:val="auto"/>
                <w:szCs w:val="21"/>
                <w:highlight w:val="none"/>
                <w:lang w:eastAsia="zh-CN"/>
              </w:rPr>
              <w:t>”，</w:t>
            </w:r>
            <w:r>
              <w:rPr>
                <w:rFonts w:hint="eastAsia" w:ascii="仿宋_GB2312" w:hAnsi="仿宋_GB2312" w:eastAsia="仿宋_GB2312" w:cs="仿宋_GB2312"/>
                <w:b/>
                <w:bCs/>
                <w:color w:val="auto"/>
                <w:szCs w:val="21"/>
                <w:highlight w:val="none"/>
              </w:rPr>
              <w:t>包括以下内容：</w:t>
            </w:r>
          </w:p>
          <w:p w14:paraId="5BEC40A6">
            <w:pPr>
              <w:shd w:val="clear"/>
              <w:snapToGrid w:val="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1.人员配置情况；</w:t>
            </w:r>
          </w:p>
          <w:p w14:paraId="06EB8395">
            <w:pPr>
              <w:shd w:val="clear"/>
              <w:snapToGrid w:val="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2.项目技术要求的具体响应情况；</w:t>
            </w:r>
          </w:p>
          <w:p w14:paraId="5C6D17AD">
            <w:pPr>
              <w:shd w:val="clear"/>
              <w:snapToGrid w:val="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3.</w:t>
            </w:r>
            <w:r>
              <w:rPr>
                <w:rFonts w:hint="eastAsia" w:ascii="仿宋_GB2312" w:hAnsi="仿宋_GB2312" w:eastAsia="仿宋_GB2312" w:cs="仿宋_GB2312"/>
                <w:color w:val="auto"/>
                <w:szCs w:val="21"/>
                <w:highlight w:val="none"/>
                <w:lang w:val="en-US" w:eastAsia="zh-CN"/>
              </w:rPr>
              <w:t>按售后服务承诺履行义务</w:t>
            </w:r>
            <w:r>
              <w:rPr>
                <w:rFonts w:hint="eastAsia" w:ascii="仿宋_GB2312" w:hAnsi="仿宋_GB2312" w:eastAsia="仿宋_GB2312" w:cs="仿宋_GB2312"/>
                <w:color w:val="auto"/>
                <w:szCs w:val="21"/>
                <w:highlight w:val="none"/>
                <w:lang w:eastAsia="zh-CN"/>
              </w:rPr>
              <w:t>；</w:t>
            </w:r>
          </w:p>
          <w:p w14:paraId="145AD2D2">
            <w:pPr>
              <w:shd w:val="clear"/>
              <w:snapToGrid w:val="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4.对未能达到的招标文件要求或投标承诺自愿承担责任。</w:t>
            </w:r>
          </w:p>
          <w:p w14:paraId="5D7369F8">
            <w:pPr>
              <w:shd w:val="clear"/>
              <w:snapToGrid w:val="0"/>
              <w:jc w:val="left"/>
              <w:rPr>
                <w:rFonts w:hint="eastAsia" w:ascii="仿宋_GB2312" w:hAnsi="仿宋_GB2312" w:eastAsia="仿宋_GB2312" w:cs="仿宋_GB2312"/>
                <w:b w:val="0"/>
                <w:bCs w:val="0"/>
                <w:color w:val="auto"/>
                <w:szCs w:val="21"/>
                <w:highlight w:val="none"/>
              </w:rPr>
            </w:pPr>
            <w:r>
              <w:rPr>
                <w:rFonts w:hint="eastAsia" w:ascii="仿宋_GB2312" w:hAnsi="仿宋_GB2312" w:eastAsia="仿宋_GB2312" w:cs="仿宋_GB2312"/>
                <w:b w:val="0"/>
                <w:bCs w:val="0"/>
                <w:color w:val="auto"/>
                <w:szCs w:val="21"/>
                <w:highlight w:val="none"/>
              </w:rPr>
              <w:t>（二）</w:t>
            </w:r>
            <w:r>
              <w:rPr>
                <w:rFonts w:hint="eastAsia" w:ascii="仿宋_GB2312" w:hAnsi="仿宋_GB2312" w:eastAsia="仿宋_GB2312" w:cs="仿宋_GB2312"/>
                <w:b w:val="0"/>
                <w:bCs w:val="0"/>
                <w:color w:val="auto"/>
                <w:szCs w:val="21"/>
                <w:highlight w:val="none"/>
                <w:lang w:val="en-US" w:eastAsia="zh-CN"/>
              </w:rPr>
              <w:t>评分标准</w:t>
            </w:r>
          </w:p>
          <w:p w14:paraId="1AC1DA18">
            <w:pPr>
              <w:shd w:val="clear"/>
              <w:snapToGrid w:val="0"/>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要求提供《违约承诺函》（格式自定）作为得分依据。投标人提供项目违约承诺，承诺以</w:t>
            </w:r>
            <w:r>
              <w:rPr>
                <w:rFonts w:hint="eastAsia" w:ascii="仿宋_GB2312" w:hAnsi="仿宋_GB2312" w:eastAsia="仿宋_GB2312" w:cs="仿宋_GB2312"/>
                <w:color w:val="auto"/>
                <w:szCs w:val="21"/>
                <w:highlight w:val="none"/>
                <w:lang w:val="en-US" w:eastAsia="zh-CN"/>
              </w:rPr>
              <w:t>上</w:t>
            </w:r>
            <w:r>
              <w:rPr>
                <w:rFonts w:hint="eastAsia" w:ascii="仿宋_GB2312" w:hAnsi="仿宋_GB2312" w:eastAsia="仿宋_GB2312" w:cs="仿宋_GB2312"/>
                <w:color w:val="auto"/>
                <w:szCs w:val="21"/>
                <w:highlight w:val="none"/>
                <w:lang w:eastAsia="zh-CN"/>
              </w:rPr>
              <w:t>全部</w:t>
            </w:r>
            <w:r>
              <w:rPr>
                <w:rFonts w:hint="eastAsia" w:ascii="仿宋_GB2312" w:hAnsi="仿宋_GB2312" w:eastAsia="仿宋_GB2312" w:cs="仿宋_GB2312"/>
                <w:color w:val="auto"/>
                <w:szCs w:val="21"/>
                <w:highlight w:val="none"/>
                <w:lang w:val="en-US" w:eastAsia="zh-CN"/>
              </w:rPr>
              <w:t>四</w:t>
            </w:r>
            <w:r>
              <w:rPr>
                <w:rFonts w:hint="eastAsia" w:ascii="仿宋_GB2312" w:hAnsi="仿宋_GB2312" w:eastAsia="仿宋_GB2312" w:cs="仿宋_GB2312"/>
                <w:color w:val="auto"/>
                <w:szCs w:val="21"/>
                <w:highlight w:val="none"/>
                <w:lang w:eastAsia="zh-CN"/>
              </w:rPr>
              <w:t xml:space="preserve">项的得 </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 xml:space="preserve"> 分，否则不得分。</w:t>
            </w:r>
          </w:p>
          <w:p w14:paraId="387B5830">
            <w:pPr>
              <w:shd w:val="clear"/>
              <w:snapToGrid w:val="0"/>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highlight w:val="none"/>
              </w:rPr>
              <w:t>备注：不提供</w:t>
            </w:r>
            <w:r>
              <w:rPr>
                <w:rFonts w:hint="eastAsia" w:ascii="仿宋_GB2312" w:hAnsi="仿宋_GB2312" w:eastAsia="仿宋_GB2312" w:cs="仿宋_GB2312"/>
                <w:b/>
                <w:bCs/>
                <w:color w:val="auto"/>
                <w:highlight w:val="none"/>
                <w:lang w:val="en-US" w:eastAsia="zh-CN"/>
              </w:rPr>
              <w:t>承诺</w:t>
            </w:r>
            <w:r>
              <w:rPr>
                <w:rFonts w:hint="eastAsia" w:ascii="仿宋_GB2312" w:hAnsi="仿宋_GB2312" w:eastAsia="仿宋_GB2312" w:cs="仿宋_GB2312"/>
                <w:b/>
                <w:bCs/>
                <w:color w:val="auto"/>
                <w:highlight w:val="none"/>
              </w:rPr>
              <w:t>或</w:t>
            </w:r>
            <w:r>
              <w:rPr>
                <w:rFonts w:hint="eastAsia" w:ascii="仿宋_GB2312" w:hAnsi="仿宋_GB2312" w:eastAsia="仿宋_GB2312" w:cs="仿宋_GB2312"/>
                <w:b/>
                <w:bCs/>
                <w:color w:val="auto"/>
                <w:highlight w:val="none"/>
                <w:lang w:val="en-US" w:eastAsia="zh-CN"/>
              </w:rPr>
              <w:t>承诺内容不满足要求</w:t>
            </w:r>
            <w:r>
              <w:rPr>
                <w:rFonts w:hint="eastAsia" w:ascii="仿宋_GB2312" w:hAnsi="仿宋_GB2312" w:eastAsia="仿宋_GB2312" w:cs="仿宋_GB2312"/>
                <w:b/>
                <w:bCs/>
                <w:color w:val="auto"/>
                <w:highlight w:val="none"/>
              </w:rPr>
              <w:t>不得分。</w:t>
            </w:r>
          </w:p>
        </w:tc>
      </w:tr>
      <w:tr w14:paraId="1AB7B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jc w:val="center"/>
        </w:trPr>
        <w:tc>
          <w:tcPr>
            <w:tcW w:w="1560" w:type="dxa"/>
            <w:vMerge w:val="continue"/>
            <w:tcBorders>
              <w:left w:val="single" w:color="auto" w:sz="4" w:space="0"/>
              <w:right w:val="single" w:color="auto" w:sz="4" w:space="0"/>
            </w:tcBorders>
          </w:tcPr>
          <w:p w14:paraId="48DF9841">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2442F866">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3</w:t>
            </w:r>
          </w:p>
        </w:tc>
        <w:tc>
          <w:tcPr>
            <w:tcW w:w="2410" w:type="dxa"/>
            <w:gridSpan w:val="2"/>
            <w:tcBorders>
              <w:top w:val="single" w:color="auto" w:sz="4" w:space="0"/>
              <w:left w:val="single" w:color="auto" w:sz="4" w:space="0"/>
              <w:bottom w:val="single" w:color="auto" w:sz="4" w:space="0"/>
              <w:right w:val="single" w:color="auto" w:sz="4" w:space="0"/>
            </w:tcBorders>
          </w:tcPr>
          <w:p w14:paraId="03AABE54">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综合实力</w:t>
            </w:r>
          </w:p>
        </w:tc>
        <w:tc>
          <w:tcPr>
            <w:tcW w:w="4111" w:type="dxa"/>
            <w:gridSpan w:val="4"/>
            <w:tcBorders>
              <w:top w:val="single" w:color="auto" w:sz="4" w:space="0"/>
              <w:left w:val="single" w:color="auto" w:sz="4" w:space="0"/>
              <w:bottom w:val="single" w:color="auto" w:sz="4" w:space="0"/>
              <w:right w:val="single" w:color="auto" w:sz="4" w:space="0"/>
            </w:tcBorders>
          </w:tcPr>
          <w:p w14:paraId="3C629B90">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35</w:t>
            </w:r>
          </w:p>
        </w:tc>
      </w:tr>
      <w:tr w14:paraId="7CD9E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81" w:hRule="atLeast"/>
          <w:jc w:val="center"/>
        </w:trPr>
        <w:tc>
          <w:tcPr>
            <w:tcW w:w="1560" w:type="dxa"/>
            <w:vMerge w:val="continue"/>
            <w:tcBorders>
              <w:left w:val="single" w:color="auto" w:sz="4" w:space="0"/>
              <w:right w:val="single" w:color="auto" w:sz="4" w:space="0"/>
            </w:tcBorders>
          </w:tcPr>
          <w:p w14:paraId="05DFCF93">
            <w:pPr>
              <w:shd w:val="clear"/>
              <w:jc w:val="center"/>
              <w:rPr>
                <w:rFonts w:hint="eastAsia" w:ascii="仿宋_GB2312" w:hAnsi="仿宋_GB2312" w:eastAsia="仿宋_GB2312" w:cs="仿宋_GB2312"/>
                <w:color w:val="auto"/>
                <w:szCs w:val="21"/>
                <w:highlight w:val="none"/>
              </w:rPr>
            </w:pPr>
          </w:p>
        </w:tc>
        <w:tc>
          <w:tcPr>
            <w:tcW w:w="850" w:type="dxa"/>
            <w:vMerge w:val="restart"/>
            <w:tcBorders>
              <w:top w:val="single" w:color="auto" w:sz="4" w:space="0"/>
              <w:left w:val="single" w:color="auto" w:sz="4" w:space="0"/>
              <w:right w:val="single" w:color="auto" w:sz="4" w:space="0"/>
            </w:tcBorders>
          </w:tcPr>
          <w:p w14:paraId="2DF770B1">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tcPr>
          <w:p w14:paraId="1BB67A2C">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行号</w:t>
            </w:r>
          </w:p>
        </w:tc>
        <w:tc>
          <w:tcPr>
            <w:tcW w:w="1701" w:type="dxa"/>
            <w:tcBorders>
              <w:top w:val="single" w:color="auto" w:sz="4" w:space="0"/>
              <w:left w:val="single" w:color="auto" w:sz="4" w:space="0"/>
              <w:bottom w:val="single" w:color="auto" w:sz="4" w:space="0"/>
              <w:right w:val="single" w:color="auto" w:sz="4" w:space="0"/>
            </w:tcBorders>
          </w:tcPr>
          <w:p w14:paraId="7FFE1BE4">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内容</w:t>
            </w:r>
          </w:p>
        </w:tc>
        <w:tc>
          <w:tcPr>
            <w:tcW w:w="850" w:type="dxa"/>
            <w:tcBorders>
              <w:top w:val="single" w:color="auto" w:sz="4" w:space="0"/>
              <w:left w:val="single" w:color="auto" w:sz="4" w:space="0"/>
              <w:bottom w:val="single" w:color="auto" w:sz="4" w:space="0"/>
              <w:right w:val="single" w:color="auto" w:sz="4" w:space="0"/>
            </w:tcBorders>
          </w:tcPr>
          <w:p w14:paraId="0EF9824C">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c>
          <w:tcPr>
            <w:tcW w:w="3261" w:type="dxa"/>
            <w:gridSpan w:val="3"/>
            <w:tcBorders>
              <w:top w:val="single" w:color="auto" w:sz="4" w:space="0"/>
              <w:left w:val="single" w:color="auto" w:sz="4" w:space="0"/>
              <w:bottom w:val="single" w:color="auto" w:sz="4" w:space="0"/>
              <w:right w:val="single" w:color="auto" w:sz="4" w:space="0"/>
            </w:tcBorders>
          </w:tcPr>
          <w:p w14:paraId="4075F43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7140A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jc w:val="center"/>
        </w:trPr>
        <w:tc>
          <w:tcPr>
            <w:tcW w:w="1560" w:type="dxa"/>
            <w:vMerge w:val="continue"/>
            <w:tcBorders>
              <w:left w:val="single" w:color="auto" w:sz="4" w:space="0"/>
              <w:right w:val="single" w:color="auto" w:sz="4" w:space="0"/>
            </w:tcBorders>
            <w:vAlign w:val="center"/>
          </w:tcPr>
          <w:p w14:paraId="70053FA3">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76E12263">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3F30576E">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18BC9D74">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投标人通过相关认证情况</w:t>
            </w:r>
          </w:p>
        </w:tc>
        <w:tc>
          <w:tcPr>
            <w:tcW w:w="850" w:type="dxa"/>
            <w:tcBorders>
              <w:top w:val="single" w:color="auto" w:sz="4" w:space="0"/>
              <w:left w:val="single" w:color="auto" w:sz="4" w:space="0"/>
              <w:bottom w:val="single" w:color="auto" w:sz="4" w:space="0"/>
              <w:right w:val="single" w:color="auto" w:sz="4" w:space="0"/>
            </w:tcBorders>
            <w:vAlign w:val="center"/>
          </w:tcPr>
          <w:p w14:paraId="245B3655">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3261" w:type="dxa"/>
            <w:gridSpan w:val="3"/>
            <w:tcBorders>
              <w:top w:val="single" w:color="auto" w:sz="4" w:space="0"/>
              <w:left w:val="single" w:color="auto" w:sz="4" w:space="0"/>
              <w:bottom w:val="single" w:color="auto" w:sz="4" w:space="0"/>
              <w:right w:val="single" w:color="auto" w:sz="4" w:space="0"/>
            </w:tcBorders>
          </w:tcPr>
          <w:p w14:paraId="393A3836">
            <w:pPr>
              <w:shd w:val="clear"/>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b/>
                <w:bCs/>
                <w:color w:val="auto"/>
                <w:szCs w:val="21"/>
                <w:highlight w:val="none"/>
              </w:rPr>
              <w:t>（一）评分内容：</w:t>
            </w:r>
            <w:r>
              <w:rPr>
                <w:rFonts w:hint="eastAsia" w:ascii="仿宋_GB2312" w:hAnsi="仿宋_GB2312" w:eastAsia="仿宋_GB2312" w:cs="仿宋_GB2312"/>
                <w:color w:val="auto"/>
                <w:szCs w:val="21"/>
                <w:highlight w:val="none"/>
                <w:lang w:eastAsia="zh-CN"/>
              </w:rPr>
              <w:t>对投标人具有相关认证情况进行评审。</w:t>
            </w:r>
          </w:p>
          <w:p w14:paraId="38B28D5F">
            <w:pPr>
              <w:shd w:val="clear"/>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1.投标人具有质量管理体系认证证书的，得</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分；</w:t>
            </w:r>
          </w:p>
          <w:p w14:paraId="45183616">
            <w:pPr>
              <w:shd w:val="clear"/>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2.投标人具有环境管理体系认证证书的，得</w:t>
            </w:r>
            <w:r>
              <w:rPr>
                <w:rFonts w:hint="eastAsia" w:ascii="仿宋_GB2312" w:hAnsi="仿宋_GB2312" w:eastAsia="仿宋_GB2312" w:cs="仿宋_GB2312"/>
                <w:color w:val="auto"/>
                <w:szCs w:val="21"/>
                <w:highlight w:val="none"/>
                <w:lang w:val="en-US" w:eastAsia="zh-CN"/>
              </w:rPr>
              <w:t>1.5</w:t>
            </w:r>
            <w:r>
              <w:rPr>
                <w:rFonts w:hint="eastAsia" w:ascii="仿宋_GB2312" w:hAnsi="仿宋_GB2312" w:eastAsia="仿宋_GB2312" w:cs="仿宋_GB2312"/>
                <w:color w:val="auto"/>
                <w:szCs w:val="21"/>
                <w:highlight w:val="none"/>
                <w:lang w:eastAsia="zh-CN"/>
              </w:rPr>
              <w:t>分；</w:t>
            </w:r>
          </w:p>
          <w:p w14:paraId="40AA14F2">
            <w:pPr>
              <w:shd w:val="clear"/>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3.投标人具有职业健康安全管理体系认证证书的，得</w:t>
            </w:r>
            <w:r>
              <w:rPr>
                <w:rFonts w:hint="eastAsia" w:ascii="仿宋_GB2312" w:hAnsi="仿宋_GB2312" w:eastAsia="仿宋_GB2312" w:cs="仿宋_GB2312"/>
                <w:color w:val="auto"/>
                <w:szCs w:val="21"/>
                <w:highlight w:val="none"/>
                <w:lang w:val="en-US" w:eastAsia="zh-CN"/>
              </w:rPr>
              <w:t>1.5</w:t>
            </w:r>
            <w:r>
              <w:rPr>
                <w:rFonts w:hint="eastAsia" w:ascii="仿宋_GB2312" w:hAnsi="仿宋_GB2312" w:eastAsia="仿宋_GB2312" w:cs="仿宋_GB2312"/>
                <w:color w:val="auto"/>
                <w:szCs w:val="21"/>
                <w:highlight w:val="none"/>
                <w:lang w:eastAsia="zh-CN"/>
              </w:rPr>
              <w:t>分</w:t>
            </w:r>
          </w:p>
          <w:p w14:paraId="1D866DE6">
            <w:pPr>
              <w:shd w:val="clear"/>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本项累计得分不超过</w:t>
            </w:r>
            <w:r>
              <w:rPr>
                <w:rFonts w:hint="eastAsia" w:ascii="仿宋_GB2312" w:hAnsi="仿宋_GB2312" w:eastAsia="仿宋_GB2312" w:cs="仿宋_GB2312"/>
                <w:color w:val="auto"/>
                <w:szCs w:val="21"/>
                <w:highlight w:val="none"/>
                <w:lang w:val="en-US" w:eastAsia="zh-CN"/>
              </w:rPr>
              <w:t>5</w:t>
            </w:r>
            <w:r>
              <w:rPr>
                <w:rFonts w:hint="eastAsia" w:ascii="仿宋_GB2312" w:hAnsi="仿宋_GB2312" w:eastAsia="仿宋_GB2312" w:cs="仿宋_GB2312"/>
                <w:color w:val="auto"/>
                <w:szCs w:val="21"/>
                <w:highlight w:val="none"/>
                <w:lang w:eastAsia="zh-CN"/>
              </w:rPr>
              <w:t>分。</w:t>
            </w:r>
          </w:p>
          <w:p w14:paraId="40365230">
            <w:pPr>
              <w:shd w:val="clear"/>
              <w:spacing w:after="160" w:line="240" w:lineRule="exac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（二）评分依据：</w:t>
            </w:r>
          </w:p>
          <w:p w14:paraId="3733093D">
            <w:pPr>
              <w:shd w:val="clear"/>
              <w:jc w:val="left"/>
              <w:rPr>
                <w:rFonts w:hint="eastAsia" w:ascii="仿宋_GB2312" w:hAnsi="仿宋_GB2312" w:eastAsia="仿宋_GB2312" w:cs="仿宋_GB2312"/>
                <w:color w:val="auto"/>
                <w:szCs w:val="21"/>
                <w:highlight w:val="none"/>
                <w:lang w:eastAsia="zh-CN"/>
              </w:rPr>
            </w:pPr>
            <w:r>
              <w:rPr>
                <w:rFonts w:hint="eastAsia" w:ascii="仿宋_GB2312" w:hAnsi="仿宋_GB2312" w:eastAsia="仿宋_GB2312" w:cs="仿宋_GB2312"/>
                <w:color w:val="auto"/>
                <w:szCs w:val="21"/>
                <w:highlight w:val="none"/>
                <w:lang w:eastAsia="zh-CN"/>
              </w:rPr>
              <w:t>1.要求提供有效的认证证书作为得分依据。</w:t>
            </w:r>
          </w:p>
          <w:p w14:paraId="74180906">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eastAsia="zh-CN"/>
              </w:rPr>
              <w:t>2.以上资料均要求提供扫描件，原件备查。</w:t>
            </w:r>
          </w:p>
        </w:tc>
      </w:tr>
      <w:tr w14:paraId="3091A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jc w:val="center"/>
        </w:trPr>
        <w:tc>
          <w:tcPr>
            <w:tcW w:w="1560" w:type="dxa"/>
            <w:vMerge w:val="continue"/>
            <w:tcBorders>
              <w:left w:val="single" w:color="auto" w:sz="4" w:space="0"/>
              <w:right w:val="single" w:color="auto" w:sz="4" w:space="0"/>
            </w:tcBorders>
            <w:vAlign w:val="center"/>
          </w:tcPr>
          <w:p w14:paraId="19832916">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4869F5E1">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B93133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2</w:t>
            </w:r>
          </w:p>
        </w:tc>
        <w:tc>
          <w:tcPr>
            <w:tcW w:w="1701" w:type="dxa"/>
            <w:tcBorders>
              <w:top w:val="single" w:color="auto" w:sz="4" w:space="0"/>
              <w:left w:val="single" w:color="auto" w:sz="4" w:space="0"/>
              <w:bottom w:val="single" w:color="auto" w:sz="4" w:space="0"/>
              <w:right w:val="single" w:color="auto" w:sz="4" w:space="0"/>
            </w:tcBorders>
            <w:vAlign w:val="center"/>
          </w:tcPr>
          <w:p w14:paraId="1E82891B">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投标人同类项目业绩情况</w:t>
            </w:r>
          </w:p>
        </w:tc>
        <w:tc>
          <w:tcPr>
            <w:tcW w:w="850" w:type="dxa"/>
            <w:tcBorders>
              <w:top w:val="single" w:color="auto" w:sz="4" w:space="0"/>
              <w:left w:val="single" w:color="auto" w:sz="4" w:space="0"/>
              <w:bottom w:val="single" w:color="auto" w:sz="4" w:space="0"/>
              <w:right w:val="single" w:color="auto" w:sz="4" w:space="0"/>
            </w:tcBorders>
            <w:vAlign w:val="center"/>
          </w:tcPr>
          <w:p w14:paraId="519A7DBF">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10</w:t>
            </w:r>
          </w:p>
        </w:tc>
        <w:tc>
          <w:tcPr>
            <w:tcW w:w="3261" w:type="dxa"/>
            <w:gridSpan w:val="3"/>
            <w:tcBorders>
              <w:top w:val="single" w:color="auto" w:sz="4" w:space="0"/>
              <w:left w:val="single" w:color="auto" w:sz="4" w:space="0"/>
              <w:bottom w:val="single" w:color="auto" w:sz="4" w:space="0"/>
              <w:right w:val="single" w:color="auto" w:sz="4" w:space="0"/>
            </w:tcBorders>
          </w:tcPr>
          <w:p w14:paraId="6C3C05F2">
            <w:pPr>
              <w:shd w:val="clear"/>
              <w:spacing w:after="160" w:line="240" w:lineRule="exac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（一）评分内容：</w:t>
            </w:r>
          </w:p>
          <w:p w14:paraId="374DE7A6">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eastAsia="zh-CN"/>
              </w:rPr>
              <w:t>1.投标人提供自202</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年</w:t>
            </w:r>
            <w:r>
              <w:rPr>
                <w:rFonts w:hint="eastAsia" w:ascii="仿宋_GB2312" w:hAnsi="仿宋_GB2312" w:eastAsia="仿宋_GB2312" w:cs="仿宋_GB2312"/>
                <w:color w:val="auto"/>
                <w:szCs w:val="21"/>
                <w:highlight w:val="none"/>
                <w:lang w:val="en-US" w:eastAsia="zh-CN"/>
              </w:rPr>
              <w:t>4</w:t>
            </w:r>
            <w:r>
              <w:rPr>
                <w:rFonts w:hint="eastAsia" w:ascii="仿宋_GB2312" w:hAnsi="仿宋_GB2312" w:eastAsia="仿宋_GB2312" w:cs="仿宋_GB2312"/>
                <w:color w:val="auto"/>
                <w:szCs w:val="21"/>
                <w:highlight w:val="none"/>
                <w:lang w:eastAsia="zh-CN"/>
              </w:rPr>
              <w:t>月1日至本项目开标之日，以合同签订日期为准，完成</w:t>
            </w:r>
            <w:r>
              <w:rPr>
                <w:rFonts w:hint="eastAsia" w:ascii="仿宋_GB2312" w:hAnsi="仿宋_GB2312" w:eastAsia="仿宋_GB2312" w:cs="仿宋_GB2312"/>
                <w:color w:val="auto"/>
                <w:szCs w:val="21"/>
                <w:highlight w:val="none"/>
                <w:lang w:val="en-US" w:eastAsia="zh-CN"/>
              </w:rPr>
              <w:t>同类</w:t>
            </w:r>
            <w:r>
              <w:rPr>
                <w:rFonts w:hint="eastAsia" w:ascii="仿宋_GB2312" w:hAnsi="仿宋_GB2312" w:eastAsia="仿宋_GB2312" w:cs="仿宋_GB2312"/>
                <w:color w:val="auto"/>
                <w:szCs w:val="21"/>
                <w:highlight w:val="none"/>
                <w:lang w:eastAsia="zh-CN"/>
              </w:rPr>
              <w:t>项目监理业绩。每提供1项业绩得</w:t>
            </w:r>
            <w:r>
              <w:rPr>
                <w:rFonts w:hint="eastAsia" w:ascii="仿宋_GB2312" w:hAnsi="仿宋_GB2312" w:eastAsia="仿宋_GB2312" w:cs="仿宋_GB2312"/>
                <w:color w:val="auto"/>
                <w:szCs w:val="21"/>
                <w:highlight w:val="none"/>
                <w:lang w:val="en-US" w:eastAsia="zh-CN"/>
              </w:rPr>
              <w:t>2</w:t>
            </w:r>
            <w:r>
              <w:rPr>
                <w:rFonts w:hint="eastAsia" w:ascii="仿宋_GB2312" w:hAnsi="仿宋_GB2312" w:eastAsia="仿宋_GB2312" w:cs="仿宋_GB2312"/>
                <w:color w:val="auto"/>
                <w:szCs w:val="21"/>
                <w:highlight w:val="none"/>
                <w:lang w:eastAsia="zh-CN"/>
              </w:rPr>
              <w:t>分，最高得</w:t>
            </w:r>
            <w:r>
              <w:rPr>
                <w:rFonts w:hint="eastAsia" w:ascii="仿宋_GB2312" w:hAnsi="仿宋_GB2312" w:eastAsia="仿宋_GB2312" w:cs="仿宋_GB2312"/>
                <w:color w:val="auto"/>
                <w:szCs w:val="21"/>
                <w:highlight w:val="none"/>
                <w:lang w:val="en-US" w:eastAsia="zh-CN"/>
              </w:rPr>
              <w:t>10</w:t>
            </w:r>
            <w:r>
              <w:rPr>
                <w:rFonts w:hint="eastAsia" w:ascii="仿宋_GB2312" w:hAnsi="仿宋_GB2312" w:eastAsia="仿宋_GB2312" w:cs="仿宋_GB2312"/>
                <w:color w:val="auto"/>
                <w:szCs w:val="21"/>
                <w:highlight w:val="none"/>
                <w:lang w:eastAsia="zh-CN"/>
              </w:rPr>
              <w:t>分。</w:t>
            </w:r>
          </w:p>
          <w:p w14:paraId="25982F61">
            <w:pPr>
              <w:shd w:val="clear"/>
              <w:spacing w:after="160" w:line="240" w:lineRule="exac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（二）评分依据：</w:t>
            </w:r>
          </w:p>
          <w:p w14:paraId="6FFD5811">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1.要求同时提供合同关键信息（须能体现投标人信息，关键页包括签订合同双方的单位名称、项目名称、双方盖章、签订日期）和项目履约（验收）合格评价证明文件作为得分依据。</w:t>
            </w:r>
          </w:p>
          <w:p w14:paraId="6A65DF19">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2.通过合同关键信息无法判断是否得分的，也可以提供能证明得分的其他证明资料，如项目报告或合同甲方出具的证明文件等。</w:t>
            </w:r>
          </w:p>
          <w:p w14:paraId="56A3047B">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3.以上资料均要求提供扫描件，原件备查。评分中出现无证明资料或专家无法凭所提供资料判断是否得分的情况，一律作不得分处理。</w:t>
            </w:r>
          </w:p>
        </w:tc>
      </w:tr>
      <w:tr w14:paraId="2563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jc w:val="center"/>
        </w:trPr>
        <w:tc>
          <w:tcPr>
            <w:tcW w:w="1560" w:type="dxa"/>
            <w:vMerge w:val="continue"/>
            <w:tcBorders>
              <w:left w:val="single" w:color="auto" w:sz="4" w:space="0"/>
              <w:right w:val="single" w:color="auto" w:sz="4" w:space="0"/>
            </w:tcBorders>
            <w:vAlign w:val="center"/>
          </w:tcPr>
          <w:p w14:paraId="25125059">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5A6264E4">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1792B57">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3</w:t>
            </w:r>
          </w:p>
        </w:tc>
        <w:tc>
          <w:tcPr>
            <w:tcW w:w="1701" w:type="dxa"/>
            <w:tcBorders>
              <w:top w:val="single" w:color="auto" w:sz="4" w:space="0"/>
              <w:left w:val="single" w:color="auto" w:sz="4" w:space="0"/>
              <w:bottom w:val="single" w:color="auto" w:sz="4" w:space="0"/>
              <w:right w:val="single" w:color="auto" w:sz="4" w:space="0"/>
            </w:tcBorders>
            <w:vAlign w:val="center"/>
          </w:tcPr>
          <w:p w14:paraId="6151DC95">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拟安排的项目负责人情况（仅限一人）</w:t>
            </w:r>
          </w:p>
        </w:tc>
        <w:tc>
          <w:tcPr>
            <w:tcW w:w="850" w:type="dxa"/>
            <w:tcBorders>
              <w:top w:val="single" w:color="auto" w:sz="4" w:space="0"/>
              <w:left w:val="single" w:color="auto" w:sz="4" w:space="0"/>
              <w:bottom w:val="single" w:color="auto" w:sz="4" w:space="0"/>
              <w:right w:val="single" w:color="auto" w:sz="4" w:space="0"/>
            </w:tcBorders>
            <w:vAlign w:val="center"/>
          </w:tcPr>
          <w:p w14:paraId="4B85B950">
            <w:pPr>
              <w:shd w:val="clear"/>
              <w:jc w:val="center"/>
              <w:rPr>
                <w:rFonts w:hint="default"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10</w:t>
            </w:r>
          </w:p>
        </w:tc>
        <w:tc>
          <w:tcPr>
            <w:tcW w:w="3261" w:type="dxa"/>
            <w:gridSpan w:val="3"/>
            <w:tcBorders>
              <w:top w:val="single" w:color="auto" w:sz="4" w:space="0"/>
              <w:left w:val="single" w:color="auto" w:sz="4" w:space="0"/>
              <w:bottom w:val="single" w:color="auto" w:sz="4" w:space="0"/>
              <w:right w:val="single" w:color="auto" w:sz="4" w:space="0"/>
            </w:tcBorders>
          </w:tcPr>
          <w:p w14:paraId="2EC850ED">
            <w:pPr>
              <w:shd w:val="clear"/>
              <w:spacing w:after="0" w:line="240" w:lineRule="auto"/>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评分内容：</w:t>
            </w:r>
          </w:p>
          <w:p w14:paraId="7E6DA9AE">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对拟安排的项目负责人（仅限一人）为自有员工进行审查评分：</w:t>
            </w:r>
          </w:p>
          <w:p w14:paraId="53428D40">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1.项目负责人具有国家注册监理工程师资格证书得5分；</w:t>
            </w:r>
          </w:p>
          <w:p w14:paraId="6DABA00B">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 xml:space="preserve"> 2.项目负责人具有工程师职称证书得5分。</w:t>
            </w:r>
          </w:p>
          <w:p w14:paraId="4D4C9824">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以上评分项累加得分，最高不超过10分。</w:t>
            </w:r>
          </w:p>
          <w:p w14:paraId="1057E427">
            <w:pPr>
              <w:shd w:val="clear"/>
              <w:spacing w:after="0" w:line="240" w:lineRule="auto"/>
              <w:jc w:val="lef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评分依据：</w:t>
            </w:r>
          </w:p>
          <w:p w14:paraId="4B09807E">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负责人必须为投标人自有员工，提供相关人员(学位/职称/资格证书)及开标日前由投标人为其缴交的载有社保部门公章的近三个月(自投标截止日当月倒算)社保缴交证明材料或银行工资流水原件扫描件，(已退休返聘人员需提供聘用合同)，如开标日上一个月的社保材料因社保部门原因暂时无法取得，则可以往前顺延一个月;社保资料必须至少显示缴交养老保险信息，未显示该信息的该社保资料则不符合要求，原件备查。未按要求提供或提供不清晰导致专家无法判断的不得分。</w:t>
            </w:r>
          </w:p>
        </w:tc>
      </w:tr>
      <w:tr w14:paraId="1C6E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jc w:val="center"/>
        </w:trPr>
        <w:tc>
          <w:tcPr>
            <w:tcW w:w="1560" w:type="dxa"/>
            <w:vMerge w:val="continue"/>
            <w:tcBorders>
              <w:left w:val="single" w:color="auto" w:sz="4" w:space="0"/>
              <w:right w:val="single" w:color="auto" w:sz="4" w:space="0"/>
            </w:tcBorders>
            <w:vAlign w:val="center"/>
          </w:tcPr>
          <w:p w14:paraId="68609FCE">
            <w:pPr>
              <w:shd w:val="clea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vAlign w:val="center"/>
          </w:tcPr>
          <w:p w14:paraId="715E2449">
            <w:pPr>
              <w:shd w:val="clea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128E915C">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lang w:val="en-US" w:eastAsia="zh-CN"/>
              </w:rPr>
              <w:t>4</w:t>
            </w:r>
          </w:p>
        </w:tc>
        <w:tc>
          <w:tcPr>
            <w:tcW w:w="1701" w:type="dxa"/>
            <w:tcBorders>
              <w:top w:val="single" w:color="auto" w:sz="4" w:space="0"/>
              <w:left w:val="single" w:color="auto" w:sz="4" w:space="0"/>
              <w:bottom w:val="single" w:color="auto" w:sz="4" w:space="0"/>
              <w:right w:val="single" w:color="auto" w:sz="4" w:space="0"/>
            </w:tcBorders>
            <w:vAlign w:val="center"/>
          </w:tcPr>
          <w:p w14:paraId="5C5883BA">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拟安排的项目主要团队成员（主要技术人员）情况（项目负责人除外）</w:t>
            </w:r>
          </w:p>
        </w:tc>
        <w:tc>
          <w:tcPr>
            <w:tcW w:w="850" w:type="dxa"/>
            <w:tcBorders>
              <w:top w:val="single" w:color="auto" w:sz="4" w:space="0"/>
              <w:left w:val="single" w:color="auto" w:sz="4" w:space="0"/>
              <w:bottom w:val="single" w:color="auto" w:sz="4" w:space="0"/>
              <w:right w:val="single" w:color="auto" w:sz="4" w:space="0"/>
            </w:tcBorders>
            <w:vAlign w:val="center"/>
          </w:tcPr>
          <w:p w14:paraId="76690581">
            <w:pPr>
              <w:shd w:val="clear"/>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rPr>
              <w:t>1</w:t>
            </w:r>
            <w:r>
              <w:rPr>
                <w:rFonts w:hint="eastAsia" w:ascii="仿宋_GB2312" w:hAnsi="仿宋_GB2312" w:eastAsia="仿宋_GB2312" w:cs="仿宋_GB2312"/>
                <w:color w:val="auto"/>
                <w:szCs w:val="21"/>
                <w:highlight w:val="none"/>
                <w:lang w:val="en-US" w:eastAsia="zh-CN"/>
              </w:rPr>
              <w:t>0</w:t>
            </w:r>
          </w:p>
        </w:tc>
        <w:tc>
          <w:tcPr>
            <w:tcW w:w="3261" w:type="dxa"/>
            <w:gridSpan w:val="3"/>
            <w:tcBorders>
              <w:top w:val="single" w:color="auto" w:sz="4" w:space="0"/>
              <w:left w:val="single" w:color="auto" w:sz="4" w:space="0"/>
              <w:bottom w:val="single" w:color="auto" w:sz="4" w:space="0"/>
              <w:right w:val="single" w:color="auto" w:sz="4" w:space="0"/>
            </w:tcBorders>
          </w:tcPr>
          <w:p w14:paraId="5294D74C">
            <w:pPr>
              <w:shd w:val="clear"/>
              <w:jc w:val="left"/>
              <w:rPr>
                <w:rFonts w:hint="eastAsia" w:ascii="仿宋_GB2312" w:hAnsi="仿宋_GB2312" w:eastAsia="仿宋_GB2312" w:cs="仿宋_GB2312"/>
                <w:b/>
                <w:bCs/>
                <w:color w:val="auto"/>
                <w:szCs w:val="21"/>
                <w:highlight w:val="none"/>
                <w:lang w:val="en-US" w:eastAsia="zh-CN"/>
              </w:rPr>
            </w:pPr>
            <w:r>
              <w:rPr>
                <w:rFonts w:hint="eastAsia" w:ascii="仿宋_GB2312" w:hAnsi="仿宋_GB2312" w:eastAsia="仿宋_GB2312" w:cs="仿宋_GB2312"/>
                <w:b/>
                <w:bCs/>
                <w:color w:val="auto"/>
                <w:szCs w:val="21"/>
                <w:highlight w:val="none"/>
                <w:lang w:val="en-US" w:eastAsia="zh-CN"/>
              </w:rPr>
              <w:t>（一）评分内容：</w:t>
            </w:r>
          </w:p>
          <w:p w14:paraId="6C88754C">
            <w:pPr>
              <w:shd w:val="clear"/>
              <w:jc w:val="left"/>
              <w:rPr>
                <w:rFonts w:hint="eastAsia" w:ascii="仿宋_GB2312" w:hAnsi="仿宋_GB2312" w:eastAsia="仿宋_GB2312" w:cs="仿宋_GB2312"/>
                <w:b w:val="0"/>
                <w:bCs w:val="0"/>
                <w:color w:val="auto"/>
                <w:szCs w:val="21"/>
                <w:highlight w:val="none"/>
                <w:lang w:val="en-US" w:eastAsia="zh-CN"/>
              </w:rPr>
            </w:pPr>
            <w:r>
              <w:rPr>
                <w:rFonts w:hint="eastAsia" w:ascii="仿宋_GB2312" w:hAnsi="仿宋_GB2312" w:eastAsia="仿宋_GB2312" w:cs="仿宋_GB2312"/>
                <w:b w:val="0"/>
                <w:bCs w:val="0"/>
                <w:color w:val="auto"/>
                <w:szCs w:val="21"/>
                <w:highlight w:val="none"/>
                <w:lang w:val="en-US" w:eastAsia="zh-CN"/>
              </w:rPr>
              <w:t>投标人拟安排的项目团队成员为本投标单位正式员工，团队成员均具有监理师资格证书，不能满足的，本项得0分，在满足以上条件的基础上进行评分。</w:t>
            </w:r>
          </w:p>
          <w:p w14:paraId="14F3D7CA">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1.提供1名驻场监理服务人员，具有工程师职称、专业监理工程师证书得5分，不满足不得分。</w:t>
            </w:r>
          </w:p>
          <w:p w14:paraId="042EA05A">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2.提供1名资料服务人员，具有监理员证书得5分，不满足不得分。</w:t>
            </w:r>
          </w:p>
          <w:p w14:paraId="20ADD294">
            <w:pPr>
              <w:shd w:val="clear"/>
              <w:jc w:val="left"/>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以上 2项累加得分，最高不超过10分。</w:t>
            </w:r>
          </w:p>
          <w:p w14:paraId="376AA717">
            <w:pPr>
              <w:shd w:val="clear"/>
              <w:spacing w:after="160" w:line="240" w:lineRule="exact"/>
              <w:rPr>
                <w:rFonts w:hint="eastAsia" w:ascii="仿宋_GB2312" w:hAnsi="仿宋_GB2312" w:eastAsia="仿宋_GB2312" w:cs="仿宋_GB2312"/>
                <w:b/>
                <w:bCs/>
                <w:color w:val="auto"/>
                <w:szCs w:val="21"/>
                <w:highlight w:val="none"/>
              </w:rPr>
            </w:pPr>
            <w:r>
              <w:rPr>
                <w:rFonts w:hint="eastAsia" w:ascii="仿宋_GB2312" w:hAnsi="仿宋_GB2312" w:eastAsia="仿宋_GB2312" w:cs="仿宋_GB2312"/>
                <w:b/>
                <w:bCs/>
                <w:color w:val="auto"/>
                <w:szCs w:val="21"/>
                <w:highlight w:val="none"/>
              </w:rPr>
              <w:t>评分依据：</w:t>
            </w:r>
          </w:p>
          <w:p w14:paraId="503DCEAA">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项目团队成员必须为投标人自有员工，提供评分项相关人员(资格证书)及开标日前由投标人为其缴交的载有社保部门公章的近三个月(自投标截止日当月倒算)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p>
          <w:p w14:paraId="2EE4049D">
            <w:pPr>
              <w:shd w:val="clear"/>
              <w:jc w:val="left"/>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未按要求提供或提供不清晰导致专家无法判断的不得分</w:t>
            </w:r>
          </w:p>
        </w:tc>
      </w:tr>
      <w:tr w14:paraId="2B3C2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jc w:val="center"/>
        </w:trPr>
        <w:tc>
          <w:tcPr>
            <w:tcW w:w="1560" w:type="dxa"/>
            <w:vMerge w:val="continue"/>
            <w:tcBorders>
              <w:left w:val="single" w:color="auto" w:sz="4" w:space="0"/>
              <w:right w:val="single" w:color="auto" w:sz="4" w:space="0"/>
            </w:tcBorders>
          </w:tcPr>
          <w:p w14:paraId="36D6531E">
            <w:pPr>
              <w:shd w:val="clear"/>
              <w:jc w:val="center"/>
              <w:rPr>
                <w:rFonts w:hint="eastAsia" w:ascii="仿宋_GB2312" w:hAnsi="仿宋_GB2312" w:eastAsia="仿宋_GB2312" w:cs="仿宋_GB2312"/>
                <w:color w:val="auto"/>
                <w:szCs w:val="21"/>
                <w:highlight w:val="none"/>
              </w:rPr>
            </w:pPr>
          </w:p>
        </w:tc>
        <w:tc>
          <w:tcPr>
            <w:tcW w:w="850" w:type="dxa"/>
            <w:tcBorders>
              <w:top w:val="single" w:color="auto" w:sz="4" w:space="0"/>
              <w:left w:val="single" w:color="auto" w:sz="4" w:space="0"/>
              <w:bottom w:val="single" w:color="auto" w:sz="4" w:space="0"/>
              <w:right w:val="single" w:color="auto" w:sz="4" w:space="0"/>
            </w:tcBorders>
          </w:tcPr>
          <w:p w14:paraId="3D4DD042">
            <w:pPr>
              <w:shd w:val="clear"/>
              <w:jc w:val="center"/>
              <w:rPr>
                <w:rFonts w:hint="eastAsia" w:ascii="仿宋_GB2312" w:hAnsi="仿宋_GB2312" w:eastAsia="仿宋_GB2312" w:cs="仿宋_GB2312"/>
                <w:color w:val="auto"/>
                <w:szCs w:val="21"/>
                <w:highlight w:val="none"/>
                <w:lang w:val="en-US" w:eastAsia="zh-CN"/>
              </w:rPr>
            </w:pPr>
            <w:r>
              <w:rPr>
                <w:rFonts w:hint="eastAsia" w:ascii="仿宋_GB2312" w:hAnsi="仿宋_GB2312" w:eastAsia="仿宋_GB2312" w:cs="仿宋_GB2312"/>
                <w:color w:val="auto"/>
                <w:szCs w:val="21"/>
                <w:highlight w:val="none"/>
                <w:lang w:val="en-US" w:eastAsia="zh-CN"/>
              </w:rPr>
              <w:t>4</w:t>
            </w:r>
          </w:p>
        </w:tc>
        <w:tc>
          <w:tcPr>
            <w:tcW w:w="2410" w:type="dxa"/>
            <w:gridSpan w:val="2"/>
            <w:tcBorders>
              <w:top w:val="single" w:color="auto" w:sz="4" w:space="0"/>
              <w:left w:val="single" w:color="auto" w:sz="4" w:space="0"/>
              <w:bottom w:val="single" w:color="auto" w:sz="4" w:space="0"/>
              <w:right w:val="single" w:color="auto" w:sz="4" w:space="0"/>
            </w:tcBorders>
          </w:tcPr>
          <w:p w14:paraId="6CD4C821">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诚信情况</w:t>
            </w:r>
          </w:p>
        </w:tc>
        <w:tc>
          <w:tcPr>
            <w:tcW w:w="4111" w:type="dxa"/>
            <w:gridSpan w:val="4"/>
            <w:tcBorders>
              <w:top w:val="single" w:color="auto" w:sz="4" w:space="0"/>
              <w:left w:val="single" w:color="auto" w:sz="4" w:space="0"/>
              <w:bottom w:val="single" w:color="auto" w:sz="4" w:space="0"/>
              <w:right w:val="single" w:color="auto" w:sz="4" w:space="0"/>
            </w:tcBorders>
          </w:tcPr>
          <w:p w14:paraId="14C8A893">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r>
      <w:tr w14:paraId="26FFE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78" w:hRule="atLeast"/>
          <w:jc w:val="center"/>
        </w:trPr>
        <w:tc>
          <w:tcPr>
            <w:tcW w:w="1560" w:type="dxa"/>
            <w:vMerge w:val="continue"/>
            <w:tcBorders>
              <w:left w:val="single" w:color="auto" w:sz="4" w:space="0"/>
              <w:right w:val="single" w:color="auto" w:sz="4" w:space="0"/>
            </w:tcBorders>
          </w:tcPr>
          <w:p w14:paraId="03921802">
            <w:pPr>
              <w:shd w:val="clear"/>
              <w:jc w:val="center"/>
              <w:rPr>
                <w:rFonts w:hint="eastAsia" w:ascii="仿宋_GB2312" w:hAnsi="仿宋_GB2312" w:eastAsia="仿宋_GB2312" w:cs="仿宋_GB2312"/>
                <w:color w:val="auto"/>
                <w:szCs w:val="21"/>
                <w:highlight w:val="none"/>
              </w:rPr>
            </w:pPr>
          </w:p>
        </w:tc>
        <w:tc>
          <w:tcPr>
            <w:tcW w:w="850" w:type="dxa"/>
            <w:vMerge w:val="restart"/>
            <w:tcBorders>
              <w:top w:val="single" w:color="auto" w:sz="4" w:space="0"/>
              <w:left w:val="single" w:color="auto" w:sz="4" w:space="0"/>
              <w:right w:val="single" w:color="auto" w:sz="4" w:space="0"/>
            </w:tcBorders>
          </w:tcPr>
          <w:p w14:paraId="49F97009">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5088E7F6">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序号</w:t>
            </w:r>
          </w:p>
        </w:tc>
        <w:tc>
          <w:tcPr>
            <w:tcW w:w="1701" w:type="dxa"/>
            <w:tcBorders>
              <w:top w:val="single" w:color="auto" w:sz="4" w:space="0"/>
              <w:left w:val="single" w:color="auto" w:sz="4" w:space="0"/>
              <w:bottom w:val="single" w:color="auto" w:sz="4" w:space="0"/>
              <w:right w:val="single" w:color="auto" w:sz="4" w:space="0"/>
            </w:tcBorders>
            <w:vAlign w:val="center"/>
          </w:tcPr>
          <w:p w14:paraId="309426F3">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评分因素</w:t>
            </w:r>
          </w:p>
        </w:tc>
        <w:tc>
          <w:tcPr>
            <w:tcW w:w="850" w:type="dxa"/>
            <w:tcBorders>
              <w:top w:val="single" w:color="auto" w:sz="4" w:space="0"/>
              <w:left w:val="single" w:color="auto" w:sz="4" w:space="0"/>
              <w:bottom w:val="single" w:color="auto" w:sz="4" w:space="0"/>
              <w:right w:val="single" w:color="auto" w:sz="4" w:space="0"/>
            </w:tcBorders>
            <w:vAlign w:val="center"/>
          </w:tcPr>
          <w:p w14:paraId="276477E7">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权重</w:t>
            </w:r>
          </w:p>
        </w:tc>
        <w:tc>
          <w:tcPr>
            <w:tcW w:w="3261" w:type="dxa"/>
            <w:gridSpan w:val="3"/>
            <w:tcBorders>
              <w:top w:val="single" w:color="auto" w:sz="4" w:space="0"/>
              <w:left w:val="single" w:color="auto" w:sz="4" w:space="0"/>
              <w:bottom w:val="single" w:color="auto" w:sz="4" w:space="0"/>
              <w:right w:val="single" w:color="auto" w:sz="4" w:space="0"/>
            </w:tcBorders>
            <w:vAlign w:val="center"/>
          </w:tcPr>
          <w:p w14:paraId="3F68A49D">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评分准则</w:t>
            </w:r>
          </w:p>
        </w:tc>
      </w:tr>
      <w:tr w14:paraId="53FE7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6" w:type="dxa"/>
          <w:trHeight w:val="2830" w:hRule="atLeast"/>
          <w:jc w:val="center"/>
        </w:trPr>
        <w:tc>
          <w:tcPr>
            <w:tcW w:w="1560" w:type="dxa"/>
            <w:vMerge w:val="continue"/>
            <w:tcBorders>
              <w:left w:val="single" w:color="auto" w:sz="4" w:space="0"/>
              <w:right w:val="single" w:color="auto" w:sz="4" w:space="0"/>
            </w:tcBorders>
          </w:tcPr>
          <w:p w14:paraId="661766AC">
            <w:pPr>
              <w:shd w:val="clear"/>
              <w:jc w:val="center"/>
              <w:rPr>
                <w:rFonts w:hint="eastAsia" w:ascii="仿宋_GB2312" w:hAnsi="仿宋_GB2312" w:eastAsia="仿宋_GB2312" w:cs="仿宋_GB2312"/>
                <w:color w:val="auto"/>
                <w:szCs w:val="21"/>
                <w:highlight w:val="none"/>
              </w:rPr>
            </w:pPr>
          </w:p>
        </w:tc>
        <w:tc>
          <w:tcPr>
            <w:tcW w:w="850" w:type="dxa"/>
            <w:vMerge w:val="continue"/>
            <w:tcBorders>
              <w:left w:val="single" w:color="auto" w:sz="4" w:space="0"/>
              <w:right w:val="single" w:color="auto" w:sz="4" w:space="0"/>
            </w:tcBorders>
          </w:tcPr>
          <w:p w14:paraId="026AC91A">
            <w:pPr>
              <w:shd w:val="clear"/>
              <w:jc w:val="center"/>
              <w:rPr>
                <w:rFonts w:hint="eastAsia" w:ascii="仿宋_GB2312" w:hAnsi="仿宋_GB2312" w:eastAsia="仿宋_GB2312" w:cs="仿宋_GB2312"/>
                <w:color w:val="auto"/>
                <w:szCs w:val="21"/>
                <w:highlight w:val="none"/>
              </w:rPr>
            </w:pPr>
          </w:p>
        </w:tc>
        <w:tc>
          <w:tcPr>
            <w:tcW w:w="709" w:type="dxa"/>
            <w:tcBorders>
              <w:top w:val="single" w:color="auto" w:sz="4" w:space="0"/>
              <w:left w:val="single" w:color="auto" w:sz="4" w:space="0"/>
              <w:bottom w:val="single" w:color="auto" w:sz="4" w:space="0"/>
              <w:right w:val="single" w:color="auto" w:sz="4" w:space="0"/>
            </w:tcBorders>
            <w:vAlign w:val="center"/>
          </w:tcPr>
          <w:p w14:paraId="7A953324">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1</w:t>
            </w:r>
          </w:p>
        </w:tc>
        <w:tc>
          <w:tcPr>
            <w:tcW w:w="1701" w:type="dxa"/>
            <w:tcBorders>
              <w:top w:val="single" w:color="auto" w:sz="4" w:space="0"/>
              <w:left w:val="single" w:color="auto" w:sz="4" w:space="0"/>
              <w:bottom w:val="single" w:color="auto" w:sz="4" w:space="0"/>
              <w:right w:val="single" w:color="auto" w:sz="4" w:space="0"/>
            </w:tcBorders>
            <w:vAlign w:val="center"/>
          </w:tcPr>
          <w:p w14:paraId="46B264C7">
            <w:pPr>
              <w:shd w:val="clear"/>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市财政委员会诚信管理情况</w:t>
            </w:r>
          </w:p>
        </w:tc>
        <w:tc>
          <w:tcPr>
            <w:tcW w:w="850" w:type="dxa"/>
            <w:tcBorders>
              <w:top w:val="single" w:color="auto" w:sz="4" w:space="0"/>
              <w:left w:val="single" w:color="auto" w:sz="4" w:space="0"/>
              <w:bottom w:val="single" w:color="auto" w:sz="4" w:space="0"/>
              <w:right w:val="single" w:color="auto" w:sz="4" w:space="0"/>
            </w:tcBorders>
            <w:vAlign w:val="center"/>
          </w:tcPr>
          <w:p w14:paraId="1407275C">
            <w:pPr>
              <w:shd w:val="clear"/>
              <w:wordWrap w:val="0"/>
              <w:jc w:val="cente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5</w:t>
            </w:r>
          </w:p>
        </w:tc>
        <w:tc>
          <w:tcPr>
            <w:tcW w:w="3261" w:type="dxa"/>
            <w:gridSpan w:val="3"/>
            <w:tcBorders>
              <w:top w:val="single" w:color="auto" w:sz="4" w:space="0"/>
              <w:left w:val="single" w:color="auto" w:sz="4" w:space="0"/>
              <w:bottom w:val="single" w:color="auto" w:sz="4" w:space="0"/>
              <w:right w:val="single" w:color="auto" w:sz="4" w:space="0"/>
            </w:tcBorders>
          </w:tcPr>
          <w:p w14:paraId="19FF6729">
            <w:pPr>
              <w:pStyle w:val="6"/>
              <w:shd w:val="clear"/>
              <w:rPr>
                <w:rFonts w:hint="eastAsia" w:ascii="仿宋_GB2312" w:hAnsi="仿宋_GB2312" w:eastAsia="仿宋_GB2312" w:cs="仿宋_GB2312"/>
                <w:color w:val="auto"/>
                <w:szCs w:val="21"/>
                <w:highlight w:val="none"/>
              </w:rPr>
            </w:pPr>
            <w:r>
              <w:rPr>
                <w:rFonts w:hint="eastAsia" w:ascii="仿宋_GB2312" w:hAnsi="仿宋_GB2312" w:eastAsia="仿宋_GB2312" w:cs="仿宋_GB2312"/>
                <w:color w:val="auto"/>
                <w:szCs w:val="21"/>
                <w:highlight w:val="none"/>
              </w:rPr>
              <w:t>投标人在参与政府采购活动中存在诚信相关问题且在主管部门相关处理措施实施期限内的，本项不得分，否则得满分。投标人无需提供任何证明材料，由工作人员向评审委员会提供相关信息。</w:t>
            </w:r>
          </w:p>
        </w:tc>
      </w:tr>
    </w:tbl>
    <w:p w14:paraId="2F4F109E">
      <w:pPr>
        <w:shd w:val="clear"/>
        <w:spacing w:line="360" w:lineRule="exact"/>
        <w:jc w:val="left"/>
        <w:rPr>
          <w:rFonts w:hint="eastAsia" w:ascii="仿宋_GB2312" w:hAnsi="仿宋_GB2312" w:eastAsia="仿宋_GB2312" w:cs="仿宋_GB2312"/>
          <w:bCs/>
          <w:color w:val="auto"/>
          <w:szCs w:val="21"/>
          <w:highlight w:val="none"/>
        </w:rPr>
      </w:pPr>
      <w:bookmarkStart w:id="0" w:name="InsertEnd"/>
      <w:bookmarkEnd w:id="0"/>
      <w:r>
        <w:rPr>
          <w:rFonts w:hint="eastAsia" w:ascii="仿宋_GB2312" w:hAnsi="仿宋_GB2312" w:eastAsia="仿宋_GB2312" w:cs="仿宋_GB2312"/>
          <w:bCs/>
          <w:color w:val="auto"/>
          <w:szCs w:val="21"/>
          <w:highlight w:val="none"/>
        </w:rPr>
        <w:t>注：1、带“*”号的为必填表内容，其他内容可根据项目</w:t>
      </w:r>
      <w:r>
        <w:rPr>
          <w:rFonts w:hint="eastAsia" w:ascii="仿宋_GB2312" w:hAnsi="仿宋_GB2312" w:eastAsia="仿宋_GB2312" w:cs="仿宋_GB2312"/>
          <w:bCs/>
          <w:color w:val="auto"/>
          <w:szCs w:val="21"/>
          <w:highlight w:val="none"/>
          <w:lang w:eastAsia="zh-CN"/>
        </w:rPr>
        <w:t>做</w:t>
      </w:r>
      <w:r>
        <w:rPr>
          <w:rFonts w:hint="eastAsia" w:ascii="仿宋_GB2312" w:hAnsi="仿宋_GB2312" w:eastAsia="仿宋_GB2312" w:cs="仿宋_GB2312"/>
          <w:bCs/>
          <w:color w:val="auto"/>
          <w:szCs w:val="21"/>
          <w:highlight w:val="none"/>
        </w:rPr>
        <w:t>适当增减。</w:t>
      </w:r>
    </w:p>
    <w:p w14:paraId="4821BBF6">
      <w:pPr>
        <w:shd w:val="clear"/>
        <w:spacing w:line="360" w:lineRule="exact"/>
        <w:ind w:firstLine="420" w:firstLineChars="200"/>
        <w:jc w:val="lef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2、其他要求栏目仅适用非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5C5E857A">
      <w:pPr>
        <w:shd w:val="clear"/>
        <w:spacing w:line="360" w:lineRule="exact"/>
        <w:rPr>
          <w:rFonts w:hint="eastAsia" w:ascii="仿宋_GB2312" w:hAnsi="仿宋_GB2312" w:eastAsia="仿宋_GB2312" w:cs="仿宋_GB2312"/>
          <w:bCs/>
          <w:color w:val="auto"/>
          <w:szCs w:val="21"/>
          <w:highlight w:val="none"/>
        </w:rPr>
      </w:pPr>
      <w:r>
        <w:rPr>
          <w:rFonts w:hint="eastAsia" w:ascii="仿宋_GB2312" w:hAnsi="仿宋_GB2312" w:eastAsia="仿宋_GB2312" w:cs="仿宋_GB2312"/>
          <w:bCs/>
          <w:color w:val="auto"/>
          <w:szCs w:val="21"/>
          <w:highlight w:val="none"/>
        </w:rPr>
        <w:t>3、采购单位以上填报的商务条款、技术条款若存在倾向性或不公正性条款，由此引起的不良后果将由采购单位自行承担。</w:t>
      </w:r>
    </w:p>
    <w:p w14:paraId="666F5C97">
      <w:pPr>
        <w:pStyle w:val="12"/>
        <w:adjustRightInd w:val="0"/>
        <w:spacing w:line="580" w:lineRule="exact"/>
        <w:ind w:firstLine="0" w:firstLineChars="0"/>
        <w:rPr>
          <w:rFonts w:hint="eastAsia" w:ascii="仿宋" w:hAnsi="仿宋" w:eastAsia="仿宋" w:cs="仿宋"/>
          <w:b/>
          <w:bCs/>
          <w:sz w:val="32"/>
          <w:szCs w:val="32"/>
          <w:highlight w:val="none"/>
        </w:rPr>
        <w:sectPr>
          <w:footerReference r:id="rId5" w:type="first"/>
          <w:footerReference r:id="rId3" w:type="default"/>
          <w:footerReference r:id="rId4" w:type="even"/>
          <w:pgSz w:w="11906" w:h="16838"/>
          <w:pgMar w:top="2041" w:right="1531" w:bottom="2041" w:left="1531" w:header="3118" w:footer="992" w:gutter="0"/>
          <w:pgNumType w:fmt="decimal"/>
          <w:cols w:space="0" w:num="1"/>
          <w:titlePg/>
          <w:rtlGutter w:val="0"/>
          <w:docGrid w:type="linesAndChars" w:linePitch="386" w:charSpace="0"/>
        </w:sectPr>
      </w:pPr>
    </w:p>
    <w:p w14:paraId="2282CEAB">
      <w:pPr>
        <w:pStyle w:val="12"/>
        <w:adjustRightInd w:val="0"/>
        <w:spacing w:line="580" w:lineRule="exact"/>
        <w:ind w:firstLine="0" w:firstLineChars="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附件：</w:t>
      </w:r>
    </w:p>
    <w:p w14:paraId="63F17D44">
      <w:pPr>
        <w:spacing w:line="360" w:lineRule="auto"/>
        <w:jc w:val="center"/>
        <w:rPr>
          <w:rFonts w:hint="eastAsia" w:ascii="仿宋" w:hAnsi="仿宋" w:eastAsia="仿宋" w:cs="仿宋"/>
          <w:sz w:val="32"/>
          <w:szCs w:val="32"/>
          <w:highlight w:val="none"/>
        </w:rPr>
      </w:pPr>
      <w:r>
        <w:rPr>
          <w:rFonts w:hint="eastAsia" w:ascii="仿宋" w:hAnsi="仿宋" w:eastAsia="仿宋" w:cs="仿宋"/>
          <w:b/>
          <w:bCs/>
          <w:kern w:val="0"/>
          <w:sz w:val="32"/>
          <w:szCs w:val="32"/>
          <w:highlight w:val="none"/>
        </w:rPr>
        <w:t>政府采购投标及履约承诺函</w:t>
      </w:r>
    </w:p>
    <w:p w14:paraId="644F6F55">
      <w:pPr>
        <w:spacing w:line="500" w:lineRule="exac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广东内伶仃福田国家级自然保护区管理局</w:t>
      </w:r>
      <w:r>
        <w:rPr>
          <w:rFonts w:hint="eastAsia" w:ascii="仿宋" w:hAnsi="仿宋" w:eastAsia="仿宋" w:cs="仿宋"/>
          <w:color w:val="000000"/>
          <w:sz w:val="28"/>
          <w:szCs w:val="28"/>
          <w:highlight w:val="none"/>
        </w:rPr>
        <w:t>：</w:t>
      </w:r>
    </w:p>
    <w:p w14:paraId="73D0B8BC">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我单位深知本项目对贵局的重要性和紧迫性，亦了解贵局对廉政建设的相关要求，因此我单位承诺如下：</w:t>
      </w:r>
    </w:p>
    <w:p w14:paraId="7DCA0E4A">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1.我单位本招标项目所提供的货物或服务未侵犯知识产权。</w:t>
      </w:r>
    </w:p>
    <w:p w14:paraId="615C82F9">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2.我单位参与本项目投标前三年内，在经营活动中没有违法记录。</w:t>
      </w:r>
    </w:p>
    <w:p w14:paraId="1CB13A34">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3.我单位参与本项目政府采购活动时不存在被有关部门禁止参与政府采购活动且在有效期内的情况。</w:t>
      </w:r>
    </w:p>
    <w:p w14:paraId="1E8D7261">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4.我单位具备《中华人民共和国政府采购法》第二十二条第一款的条件。</w:t>
      </w:r>
    </w:p>
    <w:p w14:paraId="665ED574">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5.我单位未被列入失信被执行人、税收违法案件当事人名单、政府采购严重违法失信行为记录名单。</w:t>
      </w:r>
    </w:p>
    <w:p w14:paraId="5C9C629D">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6.我单位参与该项目投标，严格遵循公平竞争的原则，不恶意串通，不妨碍其他投标人的竞争行为，不损害</w:t>
      </w:r>
      <w:r>
        <w:rPr>
          <w:rFonts w:hint="eastAsia" w:ascii="仿宋" w:hAnsi="仿宋" w:eastAsia="仿宋" w:cs="仿宋"/>
          <w:sz w:val="28"/>
          <w:szCs w:val="28"/>
          <w:highlight w:val="none"/>
          <w:lang w:eastAsia="zh-CN"/>
        </w:rPr>
        <w:t>建设单位</w:t>
      </w:r>
      <w:r>
        <w:rPr>
          <w:rFonts w:hint="eastAsia" w:ascii="仿宋" w:hAnsi="仿宋" w:eastAsia="仿宋" w:cs="仿宋"/>
          <w:sz w:val="28"/>
          <w:szCs w:val="28"/>
          <w:highlight w:val="none"/>
        </w:rPr>
        <w:t>或者其他投标人的合法权益。我单位已清楚，如违反上述要求，将作投标无效处理，并自动放弃贵局自本项目起所有采购项目的投标事宜。</w:t>
      </w:r>
    </w:p>
    <w:p w14:paraId="5A01A345">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7.我单位如果中标，做到诚实守信，依照本项目招标文件需求内容、签署的采购合同及本单位在投标中</w:t>
      </w:r>
      <w:r>
        <w:rPr>
          <w:rFonts w:hint="eastAsia" w:ascii="仿宋" w:hAnsi="仿宋" w:eastAsia="仿宋" w:cs="仿宋"/>
          <w:sz w:val="28"/>
          <w:szCs w:val="28"/>
          <w:highlight w:val="none"/>
          <w:lang w:eastAsia="zh-CN"/>
        </w:rPr>
        <w:t>所做的</w:t>
      </w:r>
      <w:r>
        <w:rPr>
          <w:rFonts w:hint="eastAsia" w:ascii="仿宋" w:hAnsi="仿宋" w:eastAsia="仿宋" w:cs="仿宋"/>
          <w:sz w:val="28"/>
          <w:szCs w:val="28"/>
          <w:highlight w:val="none"/>
        </w:rPr>
        <w:t>一切承诺履约。</w:t>
      </w:r>
    </w:p>
    <w:p w14:paraId="7A9B5097">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8.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42E68DF2">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9.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14:paraId="0D33C41F">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10.我单位承诺不非法转包、分包。</w:t>
      </w:r>
    </w:p>
    <w:p w14:paraId="0BC18982">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11.我单位承诺未参与本项目的采购需求、技术指标、商务指标等内容的设定，不存在对其他投标单位不公平的行为。</w:t>
      </w:r>
    </w:p>
    <w:p w14:paraId="58BD9CD0">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11.我单位承诺不对</w:t>
      </w:r>
      <w:r>
        <w:rPr>
          <w:rFonts w:hint="eastAsia" w:ascii="仿宋" w:hAnsi="仿宋" w:eastAsia="仿宋" w:cs="仿宋"/>
          <w:sz w:val="28"/>
          <w:szCs w:val="28"/>
          <w:highlight w:val="none"/>
          <w:lang w:eastAsia="zh-CN"/>
        </w:rPr>
        <w:t>建设单位</w:t>
      </w:r>
      <w:r>
        <w:rPr>
          <w:rFonts w:hint="eastAsia" w:ascii="仿宋" w:hAnsi="仿宋" w:eastAsia="仿宋" w:cs="仿宋"/>
          <w:sz w:val="28"/>
          <w:szCs w:val="28"/>
          <w:highlight w:val="none"/>
        </w:rPr>
        <w:t>进行贿赂，进行有偿报答。</w:t>
      </w:r>
    </w:p>
    <w:p w14:paraId="33EC17C3">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12.我单位承诺不对</w:t>
      </w:r>
      <w:r>
        <w:rPr>
          <w:rFonts w:hint="eastAsia" w:ascii="仿宋" w:hAnsi="仿宋" w:eastAsia="仿宋" w:cs="仿宋"/>
          <w:sz w:val="28"/>
          <w:szCs w:val="28"/>
          <w:highlight w:val="none"/>
          <w:lang w:eastAsia="zh-CN"/>
        </w:rPr>
        <w:t>建设单位</w:t>
      </w:r>
      <w:r>
        <w:rPr>
          <w:rFonts w:hint="eastAsia" w:ascii="仿宋" w:hAnsi="仿宋" w:eastAsia="仿宋" w:cs="仿宋"/>
          <w:sz w:val="28"/>
          <w:szCs w:val="28"/>
          <w:highlight w:val="none"/>
        </w:rPr>
        <w:t>进行任何形式的利益输送。</w:t>
      </w:r>
    </w:p>
    <w:p w14:paraId="0B0793A3">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13.我单位承诺不对</w:t>
      </w:r>
      <w:r>
        <w:rPr>
          <w:rFonts w:hint="eastAsia" w:ascii="仿宋" w:hAnsi="仿宋" w:eastAsia="仿宋" w:cs="仿宋"/>
          <w:sz w:val="28"/>
          <w:szCs w:val="28"/>
          <w:highlight w:val="none"/>
          <w:lang w:eastAsia="zh-CN"/>
        </w:rPr>
        <w:t>建设单位</w:t>
      </w:r>
      <w:r>
        <w:rPr>
          <w:rFonts w:hint="eastAsia" w:ascii="仿宋" w:hAnsi="仿宋" w:eastAsia="仿宋" w:cs="仿宋"/>
          <w:sz w:val="28"/>
          <w:szCs w:val="28"/>
          <w:highlight w:val="none"/>
        </w:rPr>
        <w:t>进行宴请和娱乐等消费活动。</w:t>
      </w:r>
    </w:p>
    <w:p w14:paraId="186B7D22">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14.我单位承诺不对</w:t>
      </w:r>
      <w:r>
        <w:rPr>
          <w:rFonts w:hint="eastAsia" w:ascii="仿宋" w:hAnsi="仿宋" w:eastAsia="仿宋" w:cs="仿宋"/>
          <w:sz w:val="28"/>
          <w:szCs w:val="28"/>
          <w:highlight w:val="none"/>
          <w:lang w:eastAsia="zh-CN"/>
        </w:rPr>
        <w:t>建设单位</w:t>
      </w:r>
      <w:r>
        <w:rPr>
          <w:rFonts w:hint="eastAsia" w:ascii="仿宋" w:hAnsi="仿宋" w:eastAsia="仿宋" w:cs="仿宋"/>
          <w:sz w:val="28"/>
          <w:szCs w:val="28"/>
          <w:highlight w:val="none"/>
        </w:rPr>
        <w:t>进行赠送各种礼品、现金、有价证券、中介费、好处费等行为。</w:t>
      </w:r>
    </w:p>
    <w:p w14:paraId="0FBEAEF8">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以上承诺，如有违反，愿依照国家相关法律处理，并承担由此给</w:t>
      </w:r>
      <w:r>
        <w:rPr>
          <w:rFonts w:hint="eastAsia" w:ascii="仿宋" w:hAnsi="仿宋" w:eastAsia="仿宋" w:cs="仿宋"/>
          <w:sz w:val="28"/>
          <w:szCs w:val="28"/>
          <w:highlight w:val="none"/>
          <w:lang w:eastAsia="zh-CN"/>
        </w:rPr>
        <w:t>建设单位</w:t>
      </w:r>
      <w:r>
        <w:rPr>
          <w:rFonts w:hint="eastAsia" w:ascii="仿宋" w:hAnsi="仿宋" w:eastAsia="仿宋" w:cs="仿宋"/>
          <w:sz w:val="28"/>
          <w:szCs w:val="28"/>
          <w:highlight w:val="none"/>
        </w:rPr>
        <w:t>带来的损失。</w:t>
      </w:r>
    </w:p>
    <w:p w14:paraId="1C1CCF2D">
      <w:pPr>
        <w:spacing w:line="500" w:lineRule="exact"/>
        <w:rPr>
          <w:rFonts w:hint="eastAsia" w:ascii="仿宋" w:hAnsi="仿宋" w:eastAsia="仿宋" w:cs="仿宋"/>
          <w:sz w:val="28"/>
          <w:szCs w:val="28"/>
          <w:highlight w:val="none"/>
        </w:rPr>
      </w:pPr>
    </w:p>
    <w:p w14:paraId="7144AD2C">
      <w:pPr>
        <w:spacing w:line="500" w:lineRule="exact"/>
        <w:rPr>
          <w:rFonts w:hint="eastAsia" w:ascii="仿宋" w:hAnsi="仿宋" w:eastAsia="仿宋" w:cs="仿宋"/>
          <w:sz w:val="28"/>
          <w:szCs w:val="28"/>
          <w:highlight w:val="none"/>
        </w:rPr>
      </w:pPr>
    </w:p>
    <w:p w14:paraId="0C23FC21">
      <w:pPr>
        <w:spacing w:line="500" w:lineRule="exact"/>
        <w:rPr>
          <w:rFonts w:hint="eastAsia" w:ascii="仿宋" w:hAnsi="仿宋" w:eastAsia="仿宋" w:cs="仿宋"/>
          <w:sz w:val="28"/>
          <w:szCs w:val="28"/>
          <w:highlight w:val="none"/>
        </w:rPr>
      </w:pPr>
    </w:p>
    <w:p w14:paraId="792D25EE">
      <w:pPr>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承诺单位（公司）盖章：</w:t>
      </w:r>
    </w:p>
    <w:p w14:paraId="53976889">
      <w:pPr>
        <w:spacing w:line="50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年   月   日 </w:t>
      </w:r>
    </w:p>
    <w:p w14:paraId="50E072B9">
      <w:pPr>
        <w:numPr>
          <w:ilvl w:val="0"/>
          <w:numId w:val="0"/>
        </w:numPr>
        <w:autoSpaceDE/>
        <w:autoSpaceDN/>
        <w:adjustRightInd/>
        <w:spacing w:line="579" w:lineRule="exact"/>
        <w:ind w:firstLine="0" w:firstLineChars="0"/>
        <w:jc w:val="both"/>
        <w:rPr>
          <w:rFonts w:hint="eastAsia" w:ascii="仿宋" w:hAnsi="仿宋" w:eastAsia="仿宋" w:cs="仿宋"/>
          <w:b w:val="0"/>
          <w:bCs w:val="0"/>
          <w:kern w:val="2"/>
          <w:sz w:val="21"/>
          <w:szCs w:val="21"/>
          <w:highlight w:val="none"/>
          <w:lang w:eastAsia="zh-CN"/>
        </w:rPr>
      </w:pPr>
    </w:p>
    <w:p w14:paraId="590F2C3F">
      <w:pPr>
        <w:numPr>
          <w:ilvl w:val="0"/>
          <w:numId w:val="0"/>
        </w:numPr>
        <w:autoSpaceDE/>
        <w:autoSpaceDN/>
        <w:adjustRightInd/>
        <w:spacing w:line="579" w:lineRule="exact"/>
        <w:ind w:firstLine="0" w:firstLineChars="0"/>
        <w:jc w:val="both"/>
        <w:rPr>
          <w:rFonts w:hint="eastAsia" w:ascii="仿宋" w:hAnsi="仿宋" w:eastAsia="仿宋" w:cs="仿宋"/>
          <w:b w:val="0"/>
          <w:bCs w:val="0"/>
          <w:kern w:val="2"/>
          <w:sz w:val="21"/>
          <w:szCs w:val="21"/>
          <w:highlight w:val="none"/>
          <w:lang w:eastAsia="zh-CN"/>
        </w:rPr>
      </w:pPr>
    </w:p>
    <w:p w14:paraId="35A060EB">
      <w:pPr>
        <w:numPr>
          <w:ilvl w:val="0"/>
          <w:numId w:val="0"/>
        </w:numPr>
        <w:autoSpaceDE/>
        <w:autoSpaceDN/>
        <w:adjustRightInd/>
        <w:spacing w:line="579" w:lineRule="exact"/>
        <w:ind w:firstLine="0" w:firstLineChars="0"/>
        <w:jc w:val="both"/>
        <w:rPr>
          <w:rFonts w:hint="eastAsia" w:ascii="仿宋" w:hAnsi="仿宋" w:eastAsia="仿宋" w:cs="仿宋"/>
          <w:b w:val="0"/>
          <w:bCs w:val="0"/>
          <w:kern w:val="2"/>
          <w:sz w:val="21"/>
          <w:szCs w:val="21"/>
          <w:highlight w:val="none"/>
          <w:lang w:eastAsia="zh-CN"/>
        </w:rPr>
      </w:pPr>
    </w:p>
    <w:p w14:paraId="54F131BD">
      <w:pPr>
        <w:numPr>
          <w:ilvl w:val="0"/>
          <w:numId w:val="0"/>
        </w:numPr>
        <w:autoSpaceDE/>
        <w:autoSpaceDN/>
        <w:adjustRightInd/>
        <w:spacing w:line="579" w:lineRule="exact"/>
        <w:ind w:firstLine="0" w:firstLineChars="0"/>
        <w:jc w:val="both"/>
        <w:rPr>
          <w:rFonts w:hint="eastAsia" w:ascii="仿宋" w:hAnsi="仿宋" w:eastAsia="仿宋" w:cs="仿宋"/>
          <w:b/>
          <w:bCs/>
          <w:kern w:val="2"/>
          <w:sz w:val="32"/>
          <w:szCs w:val="32"/>
          <w:highlight w:val="none"/>
          <w:lang w:eastAsia="zh-CN"/>
        </w:rPr>
      </w:pPr>
      <w:r>
        <w:rPr>
          <w:rFonts w:hint="eastAsia" w:ascii="仿宋" w:hAnsi="仿宋" w:eastAsia="仿宋" w:cs="仿宋"/>
          <w:b/>
          <w:bCs/>
          <w:kern w:val="2"/>
          <w:sz w:val="32"/>
          <w:szCs w:val="32"/>
          <w:highlight w:val="none"/>
          <w:lang w:eastAsia="zh-CN"/>
        </w:rPr>
        <w:t>附件：</w:t>
      </w:r>
    </w:p>
    <w:p w14:paraId="1292DF9C">
      <w:pPr>
        <w:autoSpaceDE w:val="0"/>
        <w:autoSpaceDN w:val="0"/>
        <w:adjustRightInd w:val="0"/>
        <w:spacing w:line="360" w:lineRule="auto"/>
        <w:jc w:val="center"/>
        <w:rPr>
          <w:rFonts w:hint="eastAsia" w:ascii="仿宋" w:hAnsi="仿宋" w:eastAsia="仿宋" w:cs="仿宋"/>
          <w:b/>
          <w:bCs/>
          <w:kern w:val="0"/>
          <w:sz w:val="32"/>
          <w:szCs w:val="32"/>
          <w:highlight w:val="none"/>
          <w:lang w:eastAsia="zh-CN"/>
        </w:rPr>
      </w:pPr>
      <w:r>
        <w:rPr>
          <w:rFonts w:hint="eastAsia" w:ascii="仿宋" w:hAnsi="仿宋" w:eastAsia="仿宋" w:cs="仿宋"/>
          <w:b/>
          <w:bCs/>
          <w:kern w:val="0"/>
          <w:sz w:val="32"/>
          <w:szCs w:val="32"/>
          <w:highlight w:val="none"/>
          <w:lang w:eastAsia="zh-CN"/>
        </w:rPr>
        <w:t>政府采购违法行为风险知悉确认书</w:t>
      </w:r>
    </w:p>
    <w:p w14:paraId="4FA4E5B7">
      <w:pPr>
        <w:spacing w:line="500" w:lineRule="exact"/>
        <w:rPr>
          <w:rFonts w:hint="eastAsia" w:ascii="仿宋" w:hAnsi="仿宋" w:eastAsia="仿宋" w:cs="仿宋"/>
          <w:color w:val="000000"/>
          <w:sz w:val="28"/>
          <w:szCs w:val="28"/>
          <w:highlight w:val="none"/>
          <w:lang w:eastAsia="zh-CN"/>
        </w:rPr>
      </w:pPr>
      <w:r>
        <w:rPr>
          <w:rFonts w:hint="eastAsia" w:ascii="仿宋" w:hAnsi="仿宋" w:eastAsia="仿宋" w:cs="仿宋"/>
          <w:color w:val="000000"/>
          <w:sz w:val="28"/>
          <w:szCs w:val="28"/>
          <w:highlight w:val="none"/>
          <w:lang w:val="en-US" w:eastAsia="zh-CN"/>
        </w:rPr>
        <w:t>本公司在投标前已充分知悉以下情形为参与政府采购活动时的重大风险事项，并承诺已对下述风险提示事项重点排查，做到严谨、诚信、依法依规参与政府采购活动。</w:t>
      </w:r>
    </w:p>
    <w:p w14:paraId="751F0230">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一、本公司已充分知悉“隐瞒真实情况，提供虚假资料”的法定情形，相关情形包括但不限于：</w:t>
      </w:r>
    </w:p>
    <w:p w14:paraId="79B16DF1">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（一）通过转让或者租借等方式从其他单位获取资格或者资质证书投标的。</w:t>
      </w:r>
    </w:p>
    <w:p w14:paraId="20DC3531">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（二）由其他单位或者其他单位负责人在投标供应商编制的投标文件上加盖印章或者签字的。</w:t>
      </w:r>
    </w:p>
    <w:p w14:paraId="0693372D">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（三）项目负责人或者主要技术人员不是本单位人员的。</w:t>
      </w:r>
    </w:p>
    <w:p w14:paraId="5CC7DF04">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（四）投标保证金不是从投标供应商基本账户转出的。</w:t>
      </w:r>
    </w:p>
    <w:p w14:paraId="62497F4C">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（五）其他隐瞒真实情况、提供虚假资料的行为。</w:t>
      </w:r>
    </w:p>
    <w:p w14:paraId="76F3F7A4">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二、本公司已充分知悉“与其他采购参加人串通投标”的法定情形，相关情形包括但不限于：</w:t>
      </w:r>
    </w:p>
    <w:p w14:paraId="123E0348">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（一）投标供应商之间相互约定给予未中标的供应商利益补偿。 </w:t>
      </w:r>
    </w:p>
    <w:p w14:paraId="65364B5E">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（二）不同投标供应商的法定代表人、主要经营负责人、项目投标授权代表人、项目负责人、主要技术人员为同一人、属同一单位或者在同一单位缴纳社会保险。</w:t>
      </w:r>
    </w:p>
    <w:p w14:paraId="4E05F470">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（三）不同投标供应商的投标文件由同一单位或者同一人编制，或者由同一人分阶段参与编制的。</w:t>
      </w:r>
    </w:p>
    <w:p w14:paraId="35C0A2CE">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（四）不同投标供应商的投标文件或部分投标文件相互混装。</w:t>
      </w:r>
    </w:p>
    <w:p w14:paraId="5567D0A6">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（五）不同投标供应商的投标文件内容存在非正常一致。</w:t>
      </w:r>
    </w:p>
    <w:p w14:paraId="639823B3">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（六）由同一单位工作人员为两家以上（含两家）供应商进行同一项投标活动的。</w:t>
      </w:r>
    </w:p>
    <w:p w14:paraId="6109EE77">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（七）不同投标人的投标报价呈规律性差异。</w:t>
      </w:r>
    </w:p>
    <w:p w14:paraId="3A20F235">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（八）不同投标人的投标保证金从同一单位或者个人的账户转出。</w:t>
      </w:r>
    </w:p>
    <w:p w14:paraId="09DDBE4A">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（九）主管部门依照法律、法规认定的其他情形。</w:t>
      </w:r>
    </w:p>
    <w:p w14:paraId="6C6513CB">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三、本公司已充分知悉下列情形所对应的法律风险，并在投标前已对相关风险事项进行排查。</w:t>
      </w:r>
    </w:p>
    <w:p w14:paraId="62FE355B">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（一）对于</w:t>
      </w:r>
      <w:r>
        <w:rPr>
          <w:rFonts w:hint="eastAsia" w:ascii="仿宋" w:hAnsi="仿宋" w:eastAsia="仿宋" w:cs="仿宋"/>
          <w:color w:val="000000"/>
          <w:sz w:val="28"/>
          <w:szCs w:val="28"/>
          <w:highlight w:val="none"/>
          <w:lang w:eastAsia="zh-CN"/>
        </w:rPr>
        <w:t>从</w:t>
      </w:r>
      <w:r>
        <w:rPr>
          <w:rFonts w:hint="eastAsia" w:ascii="仿宋" w:hAnsi="仿宋" w:eastAsia="仿宋" w:cs="仿宋"/>
          <w:color w:val="000000"/>
          <w:sz w:val="28"/>
          <w:szCs w:val="28"/>
          <w:highlight w:val="none"/>
          <w:lang w:val="en-US" w:eastAsia="zh-CN"/>
        </w:rPr>
        <w:t>其他主体</w:t>
      </w:r>
      <w:r>
        <w:rPr>
          <w:rFonts w:hint="eastAsia" w:ascii="仿宋" w:hAnsi="仿宋" w:eastAsia="仿宋" w:cs="仿宋"/>
          <w:color w:val="000000"/>
          <w:sz w:val="28"/>
          <w:szCs w:val="28"/>
          <w:highlight w:val="none"/>
          <w:lang w:eastAsia="zh-CN"/>
        </w:rPr>
        <w:t>获取</w:t>
      </w:r>
      <w:r>
        <w:rPr>
          <w:rFonts w:hint="eastAsia" w:ascii="仿宋" w:hAnsi="仿宋" w:eastAsia="仿宋" w:cs="仿宋"/>
          <w:color w:val="000000"/>
          <w:sz w:val="28"/>
          <w:szCs w:val="28"/>
          <w:highlight w:val="none"/>
          <w:lang w:val="en-US" w:eastAsia="zh-CN"/>
        </w:rPr>
        <w:t>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14:paraId="78981271">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（二）对于涉及国家机关出具的公文、证件、证明材料等文件，一旦涉嫌虚假，经查实，主管部门将依法从严处理，并移送有关部门追究法律责任；涉嫌犯罪的，主管部门将一并移送司法机关追究法律责任。</w:t>
      </w:r>
    </w:p>
    <w:p w14:paraId="4A7D3284">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（三）对于涉及安全生产、特种作业、抢险救灾、防疫等政府采购项目，供应商实施提供虚假资料、串通投标等违法行为的，主管部门将依法从严处理。 </w:t>
      </w:r>
    </w:p>
    <w:p w14:paraId="4AFF31C3">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（四）供应商应严格规范项目授权代表、员工参与招标投标的行为，加强对投标文件的审核。项目授权代表、员工</w:t>
      </w:r>
      <w:r>
        <w:rPr>
          <w:rFonts w:hint="eastAsia" w:ascii="仿宋" w:hAnsi="仿宋" w:eastAsia="仿宋" w:cs="仿宋"/>
          <w:color w:val="000000"/>
          <w:sz w:val="28"/>
          <w:szCs w:val="28"/>
          <w:highlight w:val="none"/>
          <w:lang w:eastAsia="zh-CN"/>
        </w:rPr>
        <w:t>编制、上传</w:t>
      </w:r>
      <w:r>
        <w:rPr>
          <w:rFonts w:hint="eastAsia" w:ascii="仿宋" w:hAnsi="仿宋" w:eastAsia="仿宋" w:cs="仿宋"/>
          <w:color w:val="000000"/>
          <w:sz w:val="28"/>
          <w:szCs w:val="28"/>
          <w:highlight w:val="none"/>
          <w:lang w:val="en-US" w:eastAsia="zh-CN"/>
        </w:rPr>
        <w:t>投标文件</w:t>
      </w:r>
      <w:r>
        <w:rPr>
          <w:rFonts w:hint="eastAsia" w:ascii="仿宋" w:hAnsi="仿宋" w:eastAsia="仿宋" w:cs="仿宋"/>
          <w:color w:val="000000"/>
          <w:sz w:val="28"/>
          <w:szCs w:val="28"/>
          <w:highlight w:val="none"/>
          <w:lang w:eastAsia="zh-CN"/>
        </w:rPr>
        <w:t>等行为</w:t>
      </w:r>
      <w:r>
        <w:rPr>
          <w:rFonts w:hint="eastAsia" w:ascii="仿宋" w:hAnsi="仿宋" w:eastAsia="仿宋" w:cs="仿宋"/>
          <w:color w:val="000000"/>
          <w:sz w:val="28"/>
          <w:szCs w:val="28"/>
          <w:highlight w:val="none"/>
          <w:lang w:val="en-US" w:eastAsia="zh-CN"/>
        </w:rPr>
        <w:t>违反政府采购法律法规或招标文件要求的，投标供应商应当依法承担相应法律责任。</w:t>
      </w:r>
    </w:p>
    <w:p w14:paraId="0452955D">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14:paraId="75028B48">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（六）单位负责人为同一人或者存在直接控股、管理关系的不同供应商，不得参加同一合同项下的政府采购活动。相关情形</w:t>
      </w:r>
      <w:r>
        <w:rPr>
          <w:rFonts w:hint="eastAsia" w:ascii="仿宋" w:hAnsi="仿宋" w:eastAsia="仿宋" w:cs="仿宋"/>
          <w:color w:val="000000"/>
          <w:sz w:val="28"/>
          <w:szCs w:val="28"/>
          <w:highlight w:val="none"/>
          <w:lang w:eastAsia="zh-CN"/>
        </w:rPr>
        <w:t>如</w:t>
      </w:r>
      <w:r>
        <w:rPr>
          <w:rFonts w:hint="eastAsia" w:ascii="仿宋" w:hAnsi="仿宋" w:eastAsia="仿宋" w:cs="仿宋"/>
          <w:color w:val="000000"/>
          <w:sz w:val="28"/>
          <w:szCs w:val="28"/>
          <w:highlight w:val="none"/>
          <w:lang w:val="en-US" w:eastAsia="zh-CN"/>
        </w:rPr>
        <w:t>查实，依法作投标无效处理；涉嫌串通投标等违法行为的，主管部门将依法调查处理。</w:t>
      </w:r>
    </w:p>
    <w:p w14:paraId="04E43591">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四、本公司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14:paraId="3D62A56C">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以下文字请投标供应商抄写并确认：“本公司已仔细阅读《政府采购违法行为风险知悉确认书》，充分知悉违法行为的法律后果，并承诺将严谨、诚信、依法依规参与政府采购活动”。</w:t>
      </w:r>
    </w:p>
    <w:p w14:paraId="17DFBC5A">
      <w:pPr>
        <w:numPr>
          <w:ilvl w:val="0"/>
          <w:numId w:val="0"/>
        </w:numPr>
        <w:spacing w:line="579" w:lineRule="exac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single"/>
          <w:lang w:val="en-US" w:eastAsia="zh-CN"/>
        </w:rPr>
        <w:t xml:space="preserve">                                                    </w:t>
      </w:r>
    </w:p>
    <w:p w14:paraId="75406B56">
      <w:pPr>
        <w:numPr>
          <w:ilvl w:val="0"/>
          <w:numId w:val="0"/>
        </w:numPr>
        <w:spacing w:line="579" w:lineRule="exact"/>
        <w:rPr>
          <w:rFonts w:hint="eastAsia" w:ascii="仿宋_GB2312" w:hAnsi="仿宋_GB2312" w:eastAsia="仿宋_GB2312" w:cs="仿宋_GB2312"/>
          <w:sz w:val="32"/>
          <w:szCs w:val="32"/>
          <w:highlight w:val="none"/>
          <w:u w:val="single"/>
          <w:lang w:val="en-US" w:eastAsia="zh-CN"/>
        </w:rPr>
      </w:pPr>
      <w:r>
        <w:rPr>
          <w:rFonts w:hint="eastAsia" w:ascii="仿宋_GB2312" w:hAnsi="仿宋_GB2312" w:eastAsia="仿宋_GB2312" w:cs="仿宋_GB2312"/>
          <w:sz w:val="32"/>
          <w:szCs w:val="32"/>
          <w:highlight w:val="none"/>
          <w:u w:val="single"/>
          <w:lang w:val="en-US" w:eastAsia="zh-CN"/>
        </w:rPr>
        <w:t xml:space="preserve">                                                    </w:t>
      </w:r>
    </w:p>
    <w:p w14:paraId="49CC2E9D">
      <w:pPr>
        <w:numPr>
          <w:ilvl w:val="0"/>
          <w:numId w:val="0"/>
        </w:numPr>
        <w:spacing w:line="579" w:lineRule="exact"/>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u w:val="single"/>
          <w:lang w:val="en-US" w:eastAsia="zh-CN"/>
        </w:rPr>
        <w:t xml:space="preserve">                                                    </w:t>
      </w:r>
    </w:p>
    <w:p w14:paraId="77AE70F8">
      <w:pPr>
        <w:numPr>
          <w:ilvl w:val="0"/>
          <w:numId w:val="0"/>
        </w:numPr>
        <w:spacing w:line="579" w:lineRule="exact"/>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32"/>
          <w:szCs w:val="32"/>
          <w:highlight w:val="none"/>
          <w:u w:val="single"/>
          <w:lang w:val="en-US" w:eastAsia="zh-CN"/>
        </w:rPr>
        <w:t xml:space="preserve">                                                    </w:t>
      </w:r>
    </w:p>
    <w:p w14:paraId="0DD5BB2F">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39B647CB">
      <w:pPr>
        <w:spacing w:line="240" w:lineRule="auto"/>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7931E09C">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07F179F1">
      <w:pPr>
        <w:spacing w:line="500" w:lineRule="exac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 xml:space="preserve">                                          </w:t>
      </w:r>
    </w:p>
    <w:p w14:paraId="78A007FF">
      <w:pPr>
        <w:spacing w:line="500" w:lineRule="exact"/>
        <w:ind w:firstLine="3360" w:firstLineChars="1200"/>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负责人/投标授权代表签名：</w:t>
      </w:r>
    </w:p>
    <w:p w14:paraId="0E5F1692">
      <w:pPr>
        <w:spacing w:line="500" w:lineRule="exact"/>
        <w:ind w:firstLine="3360" w:firstLineChars="1200"/>
        <w:jc w:val="left"/>
        <w:rPr>
          <w:rFonts w:hint="eastAsia" w:ascii="仿宋" w:hAnsi="仿宋" w:eastAsia="仿宋" w:cs="仿宋"/>
          <w:color w:val="000000"/>
          <w:sz w:val="28"/>
          <w:szCs w:val="28"/>
          <w:highlight w:val="none"/>
          <w:lang w:val="en-US" w:eastAsia="zh-CN"/>
        </w:rPr>
      </w:pPr>
      <w:r>
        <w:rPr>
          <w:rFonts w:hint="eastAsia" w:ascii="仿宋" w:hAnsi="仿宋" w:eastAsia="仿宋" w:cs="仿宋"/>
          <w:color w:val="000000"/>
          <w:sz w:val="28"/>
          <w:szCs w:val="28"/>
          <w:highlight w:val="none"/>
          <w:lang w:val="en-US" w:eastAsia="zh-CN"/>
        </w:rPr>
        <w:t>知悉人（公章）：</w:t>
      </w:r>
    </w:p>
    <w:p w14:paraId="1755C27C">
      <w:pPr>
        <w:spacing w:line="500" w:lineRule="exact"/>
        <w:ind w:firstLine="3360" w:firstLineChars="1200"/>
        <w:jc w:val="left"/>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lang w:val="en-US" w:eastAsia="zh-CN"/>
        </w:rPr>
        <w:t>日期：</w:t>
      </w:r>
    </w:p>
    <w:p w14:paraId="5FA581A8">
      <w:pPr>
        <w:pStyle w:val="5"/>
        <w:snapToGrid w:val="0"/>
        <w:spacing w:before="0" w:after="0" w:line="240" w:lineRule="auto"/>
        <w:rPr>
          <w:rFonts w:hint="eastAsia" w:ascii="微软雅黑" w:hAnsi="微软雅黑" w:eastAsia="微软雅黑" w:cs="微软雅黑"/>
          <w:b w:val="0"/>
          <w:bCs w:val="0"/>
          <w:sz w:val="44"/>
          <w:szCs w:val="44"/>
          <w:highlight w:val="none"/>
          <w:lang w:val="en-US" w:eastAsia="zh-CN"/>
        </w:rPr>
      </w:pPr>
    </w:p>
    <w:p w14:paraId="01B08E04">
      <w:pPr>
        <w:pStyle w:val="5"/>
        <w:snapToGrid w:val="0"/>
        <w:spacing w:before="0" w:after="0" w:line="240" w:lineRule="auto"/>
        <w:jc w:val="left"/>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附件：</w:t>
      </w:r>
    </w:p>
    <w:p w14:paraId="447174CD">
      <w:pPr>
        <w:pStyle w:val="5"/>
        <w:snapToGrid w:val="0"/>
        <w:spacing w:before="0" w:after="0" w:line="240" w:lineRule="auto"/>
        <w:rPr>
          <w:rFonts w:hint="eastAsia" w:ascii="微软雅黑" w:hAnsi="微软雅黑" w:eastAsia="微软雅黑" w:cs="微软雅黑"/>
          <w:b w:val="0"/>
          <w:bCs w:val="0"/>
          <w:sz w:val="44"/>
          <w:szCs w:val="44"/>
          <w:highlight w:val="none"/>
          <w:lang w:val="en-US" w:eastAsia="zh-CN"/>
        </w:rPr>
      </w:pPr>
      <w:r>
        <w:rPr>
          <w:rFonts w:hint="eastAsia" w:ascii="微软雅黑" w:hAnsi="微软雅黑" w:eastAsia="微软雅黑" w:cs="微软雅黑"/>
          <w:b w:val="0"/>
          <w:bCs w:val="0"/>
          <w:sz w:val="44"/>
          <w:szCs w:val="44"/>
          <w:highlight w:val="none"/>
          <w:lang w:val="en-US" w:eastAsia="zh-CN"/>
        </w:rPr>
        <w:t>供应商基本情况表</w:t>
      </w:r>
    </w:p>
    <w:p w14:paraId="1ABD95E8">
      <w:pPr>
        <w:rPr>
          <w:rFonts w:hint="eastAsia" w:ascii="方正仿宋_GBK" w:hAnsi="方正仿宋_GBK" w:eastAsia="方正仿宋_GBK" w:cs="方正仿宋_GBK"/>
          <w:sz w:val="28"/>
          <w:szCs w:val="28"/>
          <w:highlight w:val="none"/>
          <w:lang w:val="en-US" w:eastAsia="zh-CN"/>
        </w:rPr>
      </w:pPr>
      <w:r>
        <w:rPr>
          <w:rFonts w:hint="eastAsia" w:ascii="方正仿宋_GBK" w:hAnsi="方正仿宋_GBK" w:eastAsia="方正仿宋_GBK" w:cs="方正仿宋_GBK"/>
          <w:sz w:val="28"/>
          <w:szCs w:val="28"/>
          <w:highlight w:val="none"/>
          <w:lang w:val="en-US" w:eastAsia="zh-CN"/>
        </w:rPr>
        <w:t>填表单位：（加盖单位公章）</w:t>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ab/>
      </w:r>
      <w:r>
        <w:rPr>
          <w:rFonts w:hint="eastAsia" w:ascii="方正仿宋_GBK" w:hAnsi="方正仿宋_GBK" w:eastAsia="方正仿宋_GBK" w:cs="方正仿宋_GBK"/>
          <w:sz w:val="28"/>
          <w:szCs w:val="28"/>
          <w:highlight w:val="none"/>
          <w:lang w:val="en-US" w:eastAsia="zh-CN"/>
        </w:rPr>
        <w:t xml:space="preserve">   填表日期：    年   月   日</w:t>
      </w:r>
    </w:p>
    <w:tbl>
      <w:tblPr>
        <w:tblStyle w:val="10"/>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686"/>
        <w:gridCol w:w="1705"/>
        <w:gridCol w:w="848"/>
        <w:gridCol w:w="791"/>
        <w:gridCol w:w="1200"/>
        <w:gridCol w:w="1500"/>
        <w:gridCol w:w="1485"/>
      </w:tblGrid>
      <w:tr w14:paraId="7625A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44371FB4">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采购人</w:t>
            </w:r>
          </w:p>
        </w:tc>
        <w:tc>
          <w:tcPr>
            <w:tcW w:w="2553" w:type="dxa"/>
            <w:gridSpan w:val="2"/>
            <w:noWrap w:val="0"/>
            <w:vAlign w:val="center"/>
          </w:tcPr>
          <w:p w14:paraId="6DAC2F5A">
            <w:pPr>
              <w:jc w:val="center"/>
              <w:rPr>
                <w:rFonts w:hint="eastAsia" w:ascii="方正仿宋_GBK" w:hAnsi="方正仿宋_GBK" w:eastAsia="方正仿宋_GBK" w:cs="方正仿宋_GBK"/>
                <w:sz w:val="24"/>
                <w:szCs w:val="24"/>
                <w:highlight w:val="none"/>
                <w:vertAlign w:val="baseline"/>
                <w:lang w:val="en-US" w:eastAsia="zh-CN"/>
              </w:rPr>
            </w:pPr>
          </w:p>
        </w:tc>
        <w:tc>
          <w:tcPr>
            <w:tcW w:w="1991" w:type="dxa"/>
            <w:gridSpan w:val="2"/>
            <w:noWrap w:val="0"/>
            <w:vAlign w:val="center"/>
          </w:tcPr>
          <w:p w14:paraId="28DD369C">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项目名称</w:t>
            </w:r>
          </w:p>
        </w:tc>
        <w:tc>
          <w:tcPr>
            <w:tcW w:w="2985" w:type="dxa"/>
            <w:gridSpan w:val="2"/>
            <w:noWrap w:val="0"/>
            <w:vAlign w:val="center"/>
          </w:tcPr>
          <w:p w14:paraId="1126B4CB">
            <w:pPr>
              <w:jc w:val="center"/>
              <w:rPr>
                <w:rFonts w:hint="eastAsia" w:ascii="方正仿宋_GBK" w:hAnsi="方正仿宋_GBK" w:eastAsia="方正仿宋_GBK" w:cs="方正仿宋_GBK"/>
                <w:sz w:val="24"/>
                <w:szCs w:val="24"/>
                <w:highlight w:val="none"/>
                <w:vertAlign w:val="baseline"/>
                <w:lang w:val="en-US" w:eastAsia="zh-CN"/>
              </w:rPr>
            </w:pPr>
          </w:p>
        </w:tc>
      </w:tr>
      <w:tr w14:paraId="61D8F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14:paraId="3E8C8EF4">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投标（响应）供应商</w:t>
            </w:r>
          </w:p>
        </w:tc>
        <w:tc>
          <w:tcPr>
            <w:tcW w:w="2553" w:type="dxa"/>
            <w:gridSpan w:val="2"/>
            <w:noWrap w:val="0"/>
            <w:vAlign w:val="center"/>
          </w:tcPr>
          <w:p w14:paraId="5BA0E7FB">
            <w:pPr>
              <w:jc w:val="center"/>
              <w:rPr>
                <w:rFonts w:hint="eastAsia" w:ascii="方正仿宋_GBK" w:hAnsi="方正仿宋_GBK" w:eastAsia="方正仿宋_GBK" w:cs="方正仿宋_GBK"/>
                <w:sz w:val="24"/>
                <w:szCs w:val="24"/>
                <w:highlight w:val="none"/>
                <w:vertAlign w:val="baseline"/>
                <w:lang w:val="en-US" w:eastAsia="zh-CN"/>
              </w:rPr>
            </w:pPr>
          </w:p>
        </w:tc>
        <w:tc>
          <w:tcPr>
            <w:tcW w:w="1991" w:type="dxa"/>
            <w:gridSpan w:val="2"/>
            <w:noWrap w:val="0"/>
            <w:vAlign w:val="center"/>
          </w:tcPr>
          <w:p w14:paraId="2CD1AEEA">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供应商统一社会信用代码</w:t>
            </w:r>
          </w:p>
        </w:tc>
        <w:tc>
          <w:tcPr>
            <w:tcW w:w="2985" w:type="dxa"/>
            <w:gridSpan w:val="2"/>
            <w:noWrap w:val="0"/>
            <w:vAlign w:val="center"/>
          </w:tcPr>
          <w:p w14:paraId="141927FE">
            <w:pPr>
              <w:jc w:val="center"/>
              <w:rPr>
                <w:rFonts w:hint="eastAsia" w:ascii="方正仿宋_GBK" w:hAnsi="方正仿宋_GBK" w:eastAsia="方正仿宋_GBK" w:cs="方正仿宋_GBK"/>
                <w:sz w:val="24"/>
                <w:szCs w:val="24"/>
                <w:highlight w:val="none"/>
                <w:vertAlign w:val="baseline"/>
                <w:lang w:val="en-US" w:eastAsia="zh-CN"/>
              </w:rPr>
            </w:pPr>
          </w:p>
        </w:tc>
      </w:tr>
      <w:tr w14:paraId="0B57E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6774B748">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投标（响应）供应商相关人员情况</w:t>
            </w:r>
          </w:p>
        </w:tc>
      </w:tr>
      <w:tr w14:paraId="3544E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bottom w:val="single" w:color="auto" w:sz="4" w:space="0"/>
            </w:tcBorders>
            <w:noWrap w:val="0"/>
            <w:vAlign w:val="center"/>
          </w:tcPr>
          <w:p w14:paraId="058E2597">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序号</w:t>
            </w:r>
          </w:p>
        </w:tc>
        <w:tc>
          <w:tcPr>
            <w:tcW w:w="2391" w:type="dxa"/>
            <w:gridSpan w:val="2"/>
            <w:tcBorders>
              <w:bottom w:val="single" w:color="auto" w:sz="4" w:space="0"/>
            </w:tcBorders>
            <w:noWrap w:val="0"/>
            <w:vAlign w:val="center"/>
          </w:tcPr>
          <w:p w14:paraId="02B4BEED">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职务</w:t>
            </w:r>
          </w:p>
        </w:tc>
        <w:tc>
          <w:tcPr>
            <w:tcW w:w="848" w:type="dxa"/>
            <w:tcBorders>
              <w:bottom w:val="single" w:color="auto" w:sz="4" w:space="0"/>
            </w:tcBorders>
            <w:noWrap w:val="0"/>
            <w:vAlign w:val="center"/>
          </w:tcPr>
          <w:p w14:paraId="1F049FFE">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姓名</w:t>
            </w:r>
          </w:p>
        </w:tc>
        <w:tc>
          <w:tcPr>
            <w:tcW w:w="1991" w:type="dxa"/>
            <w:gridSpan w:val="2"/>
            <w:tcBorders>
              <w:bottom w:val="single" w:color="auto" w:sz="4" w:space="0"/>
            </w:tcBorders>
            <w:noWrap w:val="0"/>
            <w:vAlign w:val="center"/>
          </w:tcPr>
          <w:p w14:paraId="721E3E67">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身份证号码</w:t>
            </w:r>
          </w:p>
        </w:tc>
        <w:tc>
          <w:tcPr>
            <w:tcW w:w="1500" w:type="dxa"/>
            <w:tcBorders>
              <w:bottom w:val="single" w:color="auto" w:sz="4" w:space="0"/>
            </w:tcBorders>
            <w:noWrap w:val="0"/>
            <w:vAlign w:val="center"/>
          </w:tcPr>
          <w:p w14:paraId="5FDDD885">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劳动合同</w:t>
            </w:r>
          </w:p>
          <w:p w14:paraId="1E6B1C25">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关系单位</w:t>
            </w:r>
          </w:p>
        </w:tc>
        <w:tc>
          <w:tcPr>
            <w:tcW w:w="1485" w:type="dxa"/>
            <w:tcBorders>
              <w:bottom w:val="single" w:color="auto" w:sz="4" w:space="0"/>
            </w:tcBorders>
            <w:noWrap w:val="0"/>
            <w:vAlign w:val="center"/>
          </w:tcPr>
          <w:p w14:paraId="4F9DDE4B">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缴纳社会</w:t>
            </w:r>
          </w:p>
          <w:p w14:paraId="6ADBE8FF">
            <w:pPr>
              <w:snapToGrid w:val="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保险单位</w:t>
            </w:r>
          </w:p>
        </w:tc>
      </w:tr>
      <w:tr w14:paraId="0EBB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14:paraId="576B937F">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vertAlign w:val="baseline"/>
                <w:lang w:val="en-US" w:eastAsia="zh-CN"/>
              </w:rPr>
              <w:t>1</w:t>
            </w:r>
          </w:p>
        </w:tc>
        <w:tc>
          <w:tcPr>
            <w:tcW w:w="2391" w:type="dxa"/>
            <w:gridSpan w:val="2"/>
            <w:tcBorders>
              <w:top w:val="single" w:color="auto" w:sz="4" w:space="0"/>
              <w:left w:val="single" w:color="auto" w:sz="4" w:space="0"/>
              <w:bottom w:val="single" w:color="auto" w:sz="4" w:space="0"/>
              <w:right w:val="single" w:color="auto" w:sz="4" w:space="0"/>
            </w:tcBorders>
            <w:noWrap w:val="0"/>
            <w:vAlign w:val="center"/>
          </w:tcPr>
          <w:p w14:paraId="7C77CF1B">
            <w:pPr>
              <w:spacing w:line="460" w:lineRule="exact"/>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7783F02B">
            <w:pPr>
              <w:jc w:val="center"/>
              <w:rPr>
                <w:rFonts w:hint="eastAsia" w:ascii="方正仿宋_GBK" w:hAnsi="方正仿宋_GBK" w:eastAsia="方正仿宋_GBK" w:cs="方正仿宋_GBK"/>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EFA67F8">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DB608B2">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58C3EE1">
            <w:pPr>
              <w:jc w:val="center"/>
              <w:rPr>
                <w:rFonts w:hint="eastAsia" w:ascii="方正仿宋_GBK" w:hAnsi="方正仿宋_GBK" w:eastAsia="方正仿宋_GBK" w:cs="方正仿宋_GBK"/>
                <w:sz w:val="24"/>
                <w:szCs w:val="24"/>
                <w:highlight w:val="none"/>
                <w:vertAlign w:val="baseline"/>
                <w:lang w:val="en-US" w:eastAsia="zh-CN"/>
              </w:rPr>
            </w:pPr>
          </w:p>
        </w:tc>
      </w:tr>
      <w:tr w14:paraId="3C8E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14:paraId="63A46C13">
            <w:pPr>
              <w:spacing w:beforeLines="0" w:afterLines="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rPr>
              <w:t>2</w:t>
            </w:r>
          </w:p>
        </w:tc>
        <w:tc>
          <w:tcPr>
            <w:tcW w:w="2391" w:type="dxa"/>
            <w:gridSpan w:val="2"/>
            <w:tcBorders>
              <w:top w:val="single" w:color="auto" w:sz="4" w:space="0"/>
              <w:left w:val="single" w:color="auto" w:sz="4" w:space="0"/>
              <w:bottom w:val="single" w:color="auto" w:sz="4" w:space="0"/>
              <w:right w:val="single" w:color="auto" w:sz="4" w:space="0"/>
            </w:tcBorders>
            <w:noWrap w:val="0"/>
            <w:vAlign w:val="center"/>
          </w:tcPr>
          <w:p w14:paraId="44B527B5">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848" w:type="dxa"/>
            <w:tcBorders>
              <w:top w:val="single" w:color="auto" w:sz="4" w:space="0"/>
              <w:left w:val="single" w:color="auto" w:sz="4" w:space="0"/>
              <w:bottom w:val="single" w:color="auto" w:sz="4" w:space="0"/>
              <w:right w:val="single" w:color="auto" w:sz="4" w:space="0"/>
            </w:tcBorders>
            <w:noWrap w:val="0"/>
            <w:vAlign w:val="center"/>
          </w:tcPr>
          <w:p w14:paraId="33CB7DC8">
            <w:pPr>
              <w:jc w:val="center"/>
              <w:rPr>
                <w:rFonts w:hint="eastAsia" w:ascii="方正仿宋_GBK" w:hAnsi="方正仿宋_GBK" w:eastAsia="方正仿宋_GBK" w:cs="方正仿宋_GBK"/>
                <w:sz w:val="24"/>
                <w:szCs w:val="24"/>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12A969D2">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3A71428C">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14:paraId="4043B192">
            <w:pPr>
              <w:jc w:val="center"/>
              <w:rPr>
                <w:rFonts w:hint="eastAsia" w:ascii="方正仿宋_GBK" w:hAnsi="方正仿宋_GBK" w:eastAsia="方正仿宋_GBK" w:cs="方正仿宋_GBK"/>
                <w:sz w:val="24"/>
                <w:szCs w:val="24"/>
                <w:highlight w:val="none"/>
                <w:vertAlign w:val="baseline"/>
                <w:lang w:val="en-US" w:eastAsia="zh-CN"/>
              </w:rPr>
            </w:pPr>
          </w:p>
        </w:tc>
      </w:tr>
      <w:tr w14:paraId="53475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tcBorders>
            <w:noWrap w:val="0"/>
            <w:vAlign w:val="center"/>
          </w:tcPr>
          <w:p w14:paraId="087BD39F">
            <w:pPr>
              <w:spacing w:beforeLines="0" w:afterLines="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3</w:t>
            </w:r>
          </w:p>
        </w:tc>
        <w:tc>
          <w:tcPr>
            <w:tcW w:w="2391" w:type="dxa"/>
            <w:gridSpan w:val="2"/>
            <w:tcBorders>
              <w:top w:val="single" w:color="auto" w:sz="4" w:space="0"/>
            </w:tcBorders>
            <w:noWrap w:val="0"/>
            <w:vAlign w:val="center"/>
          </w:tcPr>
          <w:p w14:paraId="6C057C13">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848" w:type="dxa"/>
            <w:tcBorders>
              <w:top w:val="single" w:color="auto" w:sz="4" w:space="0"/>
            </w:tcBorders>
            <w:noWrap w:val="0"/>
            <w:vAlign w:val="center"/>
          </w:tcPr>
          <w:p w14:paraId="03438010">
            <w:pPr>
              <w:jc w:val="center"/>
              <w:rPr>
                <w:rFonts w:hint="eastAsia" w:ascii="方正仿宋_GBK" w:hAnsi="方正仿宋_GBK" w:eastAsia="方正仿宋_GBK" w:cs="方正仿宋_GBK"/>
                <w:sz w:val="24"/>
                <w:szCs w:val="24"/>
                <w:highlight w:val="none"/>
                <w:vertAlign w:val="baseline"/>
                <w:lang w:val="en-US" w:eastAsia="zh-CN"/>
              </w:rPr>
            </w:pPr>
          </w:p>
        </w:tc>
        <w:tc>
          <w:tcPr>
            <w:tcW w:w="1991" w:type="dxa"/>
            <w:gridSpan w:val="2"/>
            <w:tcBorders>
              <w:top w:val="single" w:color="auto" w:sz="4" w:space="0"/>
            </w:tcBorders>
            <w:noWrap w:val="0"/>
            <w:vAlign w:val="center"/>
          </w:tcPr>
          <w:p w14:paraId="33B5683F">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tcBorders>
              <w:top w:val="single" w:color="auto" w:sz="4" w:space="0"/>
            </w:tcBorders>
            <w:noWrap w:val="0"/>
            <w:vAlign w:val="center"/>
          </w:tcPr>
          <w:p w14:paraId="1864FEAC">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tcBorders>
              <w:top w:val="single" w:color="auto" w:sz="4" w:space="0"/>
            </w:tcBorders>
            <w:noWrap w:val="0"/>
            <w:vAlign w:val="center"/>
          </w:tcPr>
          <w:p w14:paraId="6729A1C2">
            <w:pPr>
              <w:jc w:val="center"/>
              <w:rPr>
                <w:rFonts w:hint="eastAsia" w:ascii="方正仿宋_GBK" w:hAnsi="方正仿宋_GBK" w:eastAsia="方正仿宋_GBK" w:cs="方正仿宋_GBK"/>
                <w:sz w:val="24"/>
                <w:szCs w:val="24"/>
                <w:highlight w:val="none"/>
                <w:vertAlign w:val="baseline"/>
                <w:lang w:val="en-US" w:eastAsia="zh-CN"/>
              </w:rPr>
            </w:pPr>
          </w:p>
        </w:tc>
      </w:tr>
      <w:tr w14:paraId="48F6B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7B99810B">
            <w:pPr>
              <w:spacing w:beforeLines="0" w:afterLines="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4</w:t>
            </w:r>
          </w:p>
        </w:tc>
        <w:tc>
          <w:tcPr>
            <w:tcW w:w="2391" w:type="dxa"/>
            <w:gridSpan w:val="2"/>
            <w:noWrap w:val="0"/>
            <w:vAlign w:val="center"/>
          </w:tcPr>
          <w:p w14:paraId="25595FA4">
            <w:pPr>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848" w:type="dxa"/>
            <w:noWrap w:val="0"/>
            <w:vAlign w:val="center"/>
          </w:tcPr>
          <w:p w14:paraId="3FBEECE3">
            <w:pPr>
              <w:jc w:val="center"/>
              <w:rPr>
                <w:rFonts w:hint="eastAsia" w:ascii="方正仿宋_GBK" w:hAnsi="方正仿宋_GBK" w:eastAsia="方正仿宋_GBK" w:cs="方正仿宋_GBK"/>
                <w:sz w:val="24"/>
                <w:szCs w:val="24"/>
                <w:highlight w:val="none"/>
                <w:vertAlign w:val="baseline"/>
                <w:lang w:val="en-US" w:eastAsia="zh-CN"/>
              </w:rPr>
            </w:pPr>
          </w:p>
        </w:tc>
        <w:tc>
          <w:tcPr>
            <w:tcW w:w="1991" w:type="dxa"/>
            <w:gridSpan w:val="2"/>
            <w:noWrap w:val="0"/>
            <w:vAlign w:val="center"/>
          </w:tcPr>
          <w:p w14:paraId="7215EFF2">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noWrap w:val="0"/>
            <w:vAlign w:val="center"/>
          </w:tcPr>
          <w:p w14:paraId="426297DD">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noWrap w:val="0"/>
            <w:vAlign w:val="center"/>
          </w:tcPr>
          <w:p w14:paraId="4392136C">
            <w:pPr>
              <w:jc w:val="center"/>
              <w:rPr>
                <w:rFonts w:hint="eastAsia" w:ascii="方正仿宋_GBK" w:hAnsi="方正仿宋_GBK" w:eastAsia="方正仿宋_GBK" w:cs="方正仿宋_GBK"/>
                <w:sz w:val="24"/>
                <w:szCs w:val="24"/>
                <w:highlight w:val="none"/>
                <w:vertAlign w:val="baseline"/>
                <w:lang w:val="en-US" w:eastAsia="zh-CN"/>
              </w:rPr>
            </w:pPr>
          </w:p>
        </w:tc>
      </w:tr>
      <w:tr w14:paraId="34762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noWrap w:val="0"/>
            <w:vAlign w:val="center"/>
          </w:tcPr>
          <w:p w14:paraId="5559E38C">
            <w:pPr>
              <w:spacing w:beforeLines="0" w:afterLines="0"/>
              <w:jc w:val="center"/>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sz w:val="24"/>
                <w:szCs w:val="24"/>
                <w:highlight w:val="none"/>
                <w:lang w:bidi="ar"/>
              </w:rPr>
              <w:t>5</w:t>
            </w:r>
          </w:p>
        </w:tc>
        <w:tc>
          <w:tcPr>
            <w:tcW w:w="2391" w:type="dxa"/>
            <w:gridSpan w:val="2"/>
            <w:noWrap w:val="0"/>
            <w:vAlign w:val="center"/>
          </w:tcPr>
          <w:p w14:paraId="65BB8442">
            <w:pPr>
              <w:pStyle w:val="3"/>
              <w:snapToGrid w:val="0"/>
              <w:ind w:left="0" w:leftChars="0" w:firstLine="0" w:firstLineChars="0"/>
              <w:jc w:val="center"/>
              <w:rPr>
                <w:rFonts w:hint="eastAsia" w:ascii="方正仿宋_GBK" w:hAnsi="方正仿宋_GBK" w:eastAsia="方正仿宋_GBK" w:cs="方正仿宋_GBK"/>
                <w:sz w:val="24"/>
                <w:szCs w:val="24"/>
                <w:highlight w:val="none"/>
                <w:lang w:val="en-US" w:eastAsia="zh-CN"/>
              </w:rPr>
            </w:pPr>
            <w:r>
              <w:rPr>
                <w:rFonts w:hint="eastAsia" w:ascii="方正仿宋_GBK" w:hAnsi="方正仿宋_GBK" w:eastAsia="方正仿宋_GBK" w:cs="方正仿宋_GBK"/>
                <w:color w:val="auto"/>
                <w:sz w:val="24"/>
                <w:szCs w:val="24"/>
                <w:highlight w:val="none"/>
              </w:rPr>
              <w:t>投标文件</w:t>
            </w:r>
            <w:r>
              <w:rPr>
                <w:rFonts w:hint="eastAsia" w:ascii="方正仿宋_GBK" w:hAnsi="方正仿宋_GBK" w:eastAsia="方正仿宋_GBK" w:cs="方正仿宋_GBK"/>
                <w:color w:val="auto"/>
                <w:sz w:val="24"/>
                <w:szCs w:val="24"/>
                <w:highlight w:val="none"/>
                <w:lang w:eastAsia="zh-CN"/>
              </w:rPr>
              <w:t>编制人员</w:t>
            </w:r>
          </w:p>
        </w:tc>
        <w:tc>
          <w:tcPr>
            <w:tcW w:w="848" w:type="dxa"/>
            <w:noWrap w:val="0"/>
            <w:vAlign w:val="center"/>
          </w:tcPr>
          <w:p w14:paraId="105FE61E">
            <w:pPr>
              <w:jc w:val="center"/>
              <w:rPr>
                <w:rFonts w:hint="eastAsia" w:ascii="方正仿宋_GBK" w:hAnsi="方正仿宋_GBK" w:eastAsia="方正仿宋_GBK" w:cs="方正仿宋_GBK"/>
                <w:sz w:val="24"/>
                <w:szCs w:val="24"/>
                <w:highlight w:val="none"/>
                <w:vertAlign w:val="baseline"/>
                <w:lang w:val="en-US" w:eastAsia="zh-CN"/>
              </w:rPr>
            </w:pPr>
          </w:p>
        </w:tc>
        <w:tc>
          <w:tcPr>
            <w:tcW w:w="1991" w:type="dxa"/>
            <w:gridSpan w:val="2"/>
            <w:noWrap w:val="0"/>
            <w:vAlign w:val="center"/>
          </w:tcPr>
          <w:p w14:paraId="27FE4BD7">
            <w:pPr>
              <w:jc w:val="center"/>
              <w:rPr>
                <w:rFonts w:hint="eastAsia" w:ascii="方正仿宋_GBK" w:hAnsi="方正仿宋_GBK" w:eastAsia="方正仿宋_GBK" w:cs="方正仿宋_GBK"/>
                <w:sz w:val="24"/>
                <w:szCs w:val="24"/>
                <w:highlight w:val="none"/>
                <w:vertAlign w:val="baseline"/>
                <w:lang w:val="en-US" w:eastAsia="zh-CN"/>
              </w:rPr>
            </w:pPr>
          </w:p>
        </w:tc>
        <w:tc>
          <w:tcPr>
            <w:tcW w:w="1500" w:type="dxa"/>
            <w:noWrap w:val="0"/>
            <w:vAlign w:val="center"/>
          </w:tcPr>
          <w:p w14:paraId="33C33F60">
            <w:pPr>
              <w:jc w:val="center"/>
              <w:rPr>
                <w:rFonts w:hint="eastAsia" w:ascii="方正仿宋_GBK" w:hAnsi="方正仿宋_GBK" w:eastAsia="方正仿宋_GBK" w:cs="方正仿宋_GBK"/>
                <w:sz w:val="24"/>
                <w:szCs w:val="24"/>
                <w:highlight w:val="none"/>
                <w:vertAlign w:val="baseline"/>
                <w:lang w:val="en-US" w:eastAsia="zh-CN"/>
              </w:rPr>
            </w:pPr>
          </w:p>
        </w:tc>
        <w:tc>
          <w:tcPr>
            <w:tcW w:w="1485" w:type="dxa"/>
            <w:noWrap w:val="0"/>
            <w:vAlign w:val="center"/>
          </w:tcPr>
          <w:p w14:paraId="28A428C2">
            <w:pPr>
              <w:jc w:val="center"/>
              <w:rPr>
                <w:rFonts w:hint="eastAsia" w:ascii="方正仿宋_GBK" w:hAnsi="方正仿宋_GBK" w:eastAsia="方正仿宋_GBK" w:cs="方正仿宋_GBK"/>
                <w:sz w:val="24"/>
                <w:szCs w:val="24"/>
                <w:highlight w:val="none"/>
                <w:vertAlign w:val="baseline"/>
                <w:lang w:val="en-US" w:eastAsia="zh-CN"/>
              </w:rPr>
            </w:pPr>
          </w:p>
        </w:tc>
      </w:tr>
      <w:tr w14:paraId="607D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14:paraId="3B3DD5DB">
            <w:pPr>
              <w:jc w:val="left"/>
              <w:rPr>
                <w:rFonts w:hint="eastAsia" w:ascii="方正仿宋_GBK" w:hAnsi="方正仿宋_GBK" w:eastAsia="方正仿宋_GBK" w:cs="方正仿宋_GBK"/>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14:paraId="0B3C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14:paraId="27D66D19">
            <w:pPr>
              <w:jc w:val="center"/>
              <w:rPr>
                <w:rFonts w:hint="eastAsia" w:ascii="方正仿宋_GBK" w:hAnsi="方正仿宋_GBK" w:eastAsia="方正仿宋_GBK" w:cs="方正仿宋_GBK"/>
                <w:b/>
                <w:bCs/>
                <w:sz w:val="24"/>
                <w:szCs w:val="24"/>
                <w:highlight w:val="none"/>
                <w:vertAlign w:val="baseline"/>
                <w:lang w:val="en-US" w:eastAsia="zh-CN"/>
              </w:rPr>
            </w:pPr>
            <w:r>
              <w:rPr>
                <w:rFonts w:hint="eastAsia" w:ascii="方正仿宋_GBK" w:hAnsi="方正仿宋_GBK" w:eastAsia="方正仿宋_GBK" w:cs="方正仿宋_GBK"/>
                <w:b/>
                <w:bCs/>
                <w:sz w:val="24"/>
                <w:szCs w:val="24"/>
                <w:highlight w:val="none"/>
                <w:vertAlign w:val="baseline"/>
                <w:lang w:val="en-US" w:eastAsia="zh-CN"/>
              </w:rPr>
              <w:t>投标（响应）供应商关联关系情况</w:t>
            </w:r>
          </w:p>
        </w:tc>
      </w:tr>
      <w:tr w14:paraId="5C56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bottom w:val="single" w:color="auto" w:sz="4" w:space="0"/>
            </w:tcBorders>
            <w:noWrap w:val="0"/>
            <w:vAlign w:val="center"/>
          </w:tcPr>
          <w:p w14:paraId="7FC1EA88">
            <w:pPr>
              <w:jc w:val="center"/>
              <w:rPr>
                <w:rFonts w:hint="eastAsia" w:ascii="方正仿宋_GBK" w:hAnsi="方正仿宋_GBK" w:eastAsia="方正仿宋_GBK" w:cs="方正仿宋_GBK"/>
                <w:sz w:val="24"/>
                <w:szCs w:val="24"/>
                <w:highlight w:val="none"/>
                <w:vertAlign w:val="baseline"/>
                <w:lang w:val="en-US" w:eastAsia="zh-CN" w:bidi="ar"/>
              </w:rPr>
            </w:pPr>
            <w:r>
              <w:rPr>
                <w:rFonts w:hint="eastAsia" w:ascii="方正仿宋_GBK" w:hAnsi="方正仿宋_GBK" w:eastAsia="方正仿宋_GBK" w:cs="方正仿宋_GBK"/>
                <w:sz w:val="24"/>
                <w:szCs w:val="24"/>
                <w:highlight w:val="none"/>
                <w:vertAlign w:val="baseline"/>
                <w:lang w:val="en-US" w:eastAsia="zh-CN" w:bidi="ar"/>
              </w:rPr>
              <w:t>序号</w:t>
            </w:r>
          </w:p>
        </w:tc>
        <w:tc>
          <w:tcPr>
            <w:tcW w:w="2391" w:type="dxa"/>
            <w:gridSpan w:val="2"/>
            <w:tcBorders>
              <w:bottom w:val="single" w:color="auto" w:sz="4" w:space="0"/>
            </w:tcBorders>
            <w:noWrap w:val="0"/>
            <w:vAlign w:val="center"/>
          </w:tcPr>
          <w:p w14:paraId="16BD5A5C">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639" w:type="dxa"/>
            <w:gridSpan w:val="2"/>
            <w:tcBorders>
              <w:bottom w:val="single" w:color="auto" w:sz="4" w:space="0"/>
            </w:tcBorders>
            <w:noWrap w:val="0"/>
            <w:vAlign w:val="center"/>
          </w:tcPr>
          <w:p w14:paraId="610C0379">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14:paraId="018CDCBF">
            <w:pPr>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14:paraId="284A5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14:paraId="09D52AE1">
            <w:pPr>
              <w:jc w:val="center"/>
              <w:rPr>
                <w:rFonts w:hint="eastAsia" w:ascii="方正仿宋_GBK" w:hAnsi="方正仿宋_GBK" w:eastAsia="方正仿宋_GBK" w:cs="方正仿宋_GBK"/>
                <w:sz w:val="24"/>
                <w:szCs w:val="24"/>
                <w:highlight w:val="none"/>
                <w:vertAlign w:val="baseline"/>
                <w:lang w:val="en-US" w:eastAsia="zh-CN" w:bidi="ar"/>
              </w:rPr>
            </w:pPr>
            <w:r>
              <w:rPr>
                <w:rFonts w:hint="eastAsia" w:ascii="方正仿宋_GBK" w:hAnsi="方正仿宋_GBK" w:eastAsia="方正仿宋_GBK" w:cs="方正仿宋_GBK"/>
                <w:sz w:val="24"/>
                <w:szCs w:val="24"/>
                <w:highlight w:val="none"/>
                <w:vertAlign w:val="baseline"/>
                <w:lang w:val="en-US" w:eastAsia="zh-CN" w:bidi="ar"/>
              </w:rPr>
              <w:t>1</w:t>
            </w:r>
          </w:p>
        </w:tc>
        <w:tc>
          <w:tcPr>
            <w:tcW w:w="2391" w:type="dxa"/>
            <w:gridSpan w:val="2"/>
            <w:tcBorders>
              <w:top w:val="single" w:color="auto" w:sz="4" w:space="0"/>
              <w:left w:val="single" w:color="auto" w:sz="4" w:space="0"/>
              <w:bottom w:val="single" w:color="auto" w:sz="4" w:space="0"/>
              <w:right w:val="single" w:color="auto" w:sz="4" w:space="0"/>
            </w:tcBorders>
            <w:noWrap w:val="0"/>
            <w:vAlign w:val="center"/>
          </w:tcPr>
          <w:p w14:paraId="136998A8">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5DFDCAB6">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23B574F4">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18"/>
                <w:szCs w:val="18"/>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3128E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tcBorders>
              <w:top w:val="single" w:color="auto" w:sz="4" w:space="0"/>
              <w:left w:val="single" w:color="auto" w:sz="4" w:space="0"/>
              <w:bottom w:val="single" w:color="auto" w:sz="4" w:space="0"/>
              <w:right w:val="single" w:color="auto" w:sz="4" w:space="0"/>
            </w:tcBorders>
            <w:noWrap w:val="0"/>
            <w:vAlign w:val="center"/>
          </w:tcPr>
          <w:p w14:paraId="324C6C70">
            <w:pPr>
              <w:jc w:val="center"/>
              <w:rPr>
                <w:rFonts w:hint="eastAsia" w:ascii="方正仿宋_GBK" w:hAnsi="方正仿宋_GBK" w:eastAsia="方正仿宋_GBK" w:cs="方正仿宋_GBK"/>
                <w:sz w:val="24"/>
                <w:szCs w:val="24"/>
                <w:highlight w:val="none"/>
                <w:vertAlign w:val="baseline"/>
                <w:lang w:val="en-US" w:eastAsia="zh-CN" w:bidi="ar"/>
              </w:rPr>
            </w:pPr>
            <w:r>
              <w:rPr>
                <w:rFonts w:hint="eastAsia" w:ascii="方正仿宋_GBK" w:hAnsi="方正仿宋_GBK" w:eastAsia="方正仿宋_GBK" w:cs="方正仿宋_GBK"/>
                <w:sz w:val="24"/>
                <w:szCs w:val="24"/>
                <w:highlight w:val="none"/>
                <w:vertAlign w:val="baseline"/>
                <w:lang w:val="en-US" w:eastAsia="zh-CN" w:bidi="ar"/>
              </w:rPr>
              <w:t>2</w:t>
            </w:r>
          </w:p>
        </w:tc>
        <w:tc>
          <w:tcPr>
            <w:tcW w:w="2391" w:type="dxa"/>
            <w:gridSpan w:val="2"/>
            <w:tcBorders>
              <w:top w:val="single" w:color="auto" w:sz="4" w:space="0"/>
              <w:left w:val="single" w:color="auto" w:sz="4" w:space="0"/>
              <w:bottom w:val="single" w:color="auto" w:sz="4" w:space="0"/>
              <w:right w:val="single" w:color="auto" w:sz="4" w:space="0"/>
            </w:tcBorders>
            <w:noWrap w:val="0"/>
            <w:vAlign w:val="center"/>
          </w:tcPr>
          <w:p w14:paraId="6BAF9FA2">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639" w:type="dxa"/>
            <w:gridSpan w:val="2"/>
            <w:tcBorders>
              <w:top w:val="single" w:color="auto" w:sz="4" w:space="0"/>
              <w:left w:val="single" w:color="auto" w:sz="4" w:space="0"/>
              <w:bottom w:val="single" w:color="auto" w:sz="4" w:space="0"/>
              <w:right w:val="single" w:color="auto" w:sz="4" w:space="0"/>
            </w:tcBorders>
            <w:noWrap w:val="0"/>
            <w:vAlign w:val="center"/>
          </w:tcPr>
          <w:p w14:paraId="4F2D7812">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14:paraId="7E03D67F">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14:paraId="05965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14:paraId="2F81C3D9">
            <w:pPr>
              <w:snapToGrid w:val="0"/>
              <w:jc w:val="left"/>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14:paraId="683EC901">
      <w:pPr>
        <w:rPr>
          <w:highlight w:val="none"/>
        </w:rPr>
      </w:pPr>
    </w:p>
    <w:sectPr>
      <w:pgSz w:w="11906" w:h="16838"/>
      <w:pgMar w:top="2041" w:right="1531" w:bottom="2041" w:left="1531" w:header="3118" w:footer="992" w:gutter="0"/>
      <w:pgNumType w:fmt="decimal"/>
      <w:cols w:space="0" w:num="1"/>
      <w:titlePg/>
      <w:rtlGutter w:val="0"/>
      <w:docGrid w:type="linesAndChars" w:linePitch="3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F5569C2-DD28-474F-BEC0-C3B4C52B9BC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embedRegular r:id="rId2" w:fontKey="{A466F882-BE5E-4AD1-A40F-BAFD6E5E0710}"/>
  </w:font>
  <w:font w:name="Calibri Light">
    <w:panose1 w:val="020F03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37B61D1B-D641-42F9-9F76-7E26110AC996}"/>
  </w:font>
  <w:font w:name="微软雅黑">
    <w:panose1 w:val="020B0503020204020204"/>
    <w:charset w:val="86"/>
    <w:family w:val="auto"/>
    <w:pitch w:val="default"/>
    <w:sig w:usb0="80000287" w:usb1="2ACF3C50" w:usb2="00000016" w:usb3="00000000" w:csb0="0004001F" w:csb1="00000000"/>
    <w:embedRegular r:id="rId4" w:fontKey="{15B30186-CC14-4BC5-A4AC-7DD7747C00CB}"/>
  </w:font>
  <w:font w:name="方正仿宋_GBK">
    <w:panose1 w:val="03000509000000000000"/>
    <w:charset w:val="86"/>
    <w:family w:val="auto"/>
    <w:pitch w:val="default"/>
    <w:sig w:usb0="00000001" w:usb1="080E0000" w:usb2="00000000" w:usb3="00000000" w:csb0="00040000" w:csb1="00000000"/>
    <w:embedRegular r:id="rId5" w:fontKey="{6706936A-8C86-4E50-B2DF-204143E828D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8F70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5FC196">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55FC196">
                    <w:pPr>
                      <w:pStyle w:val="7"/>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CB344">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8BBD84">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8BBD84">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EDBE4">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C4807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2C4807E">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CF183"/>
    <w:multiLevelType w:val="singleLevel"/>
    <w:tmpl w:val="113CF18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4YWMzNzMyMmNhN2U0YWQ4NDljZDhkOWE0MjhhNTMifQ=="/>
  </w:docVars>
  <w:rsids>
    <w:rsidRoot w:val="644220EE"/>
    <w:rsid w:val="009C512B"/>
    <w:rsid w:val="01C323DA"/>
    <w:rsid w:val="033C3067"/>
    <w:rsid w:val="05241B93"/>
    <w:rsid w:val="05CF5FA2"/>
    <w:rsid w:val="06F510E5"/>
    <w:rsid w:val="07A07BF6"/>
    <w:rsid w:val="089D7C92"/>
    <w:rsid w:val="093C07E0"/>
    <w:rsid w:val="0BE36304"/>
    <w:rsid w:val="0E305D54"/>
    <w:rsid w:val="0E3E08ED"/>
    <w:rsid w:val="0E8B36BB"/>
    <w:rsid w:val="0F625791"/>
    <w:rsid w:val="11001706"/>
    <w:rsid w:val="117F6ACF"/>
    <w:rsid w:val="12323B41"/>
    <w:rsid w:val="124675EC"/>
    <w:rsid w:val="12D06EB6"/>
    <w:rsid w:val="13056C79"/>
    <w:rsid w:val="17CD1C16"/>
    <w:rsid w:val="183C73C1"/>
    <w:rsid w:val="19377C8F"/>
    <w:rsid w:val="1AFA0F74"/>
    <w:rsid w:val="1D80531D"/>
    <w:rsid w:val="1DB775F0"/>
    <w:rsid w:val="1FD05459"/>
    <w:rsid w:val="20142AD8"/>
    <w:rsid w:val="21E77118"/>
    <w:rsid w:val="2366189C"/>
    <w:rsid w:val="238B4C82"/>
    <w:rsid w:val="255E0351"/>
    <w:rsid w:val="26A12BEB"/>
    <w:rsid w:val="270D10AF"/>
    <w:rsid w:val="294837F2"/>
    <w:rsid w:val="297B5976"/>
    <w:rsid w:val="2B577D1D"/>
    <w:rsid w:val="2DF301D1"/>
    <w:rsid w:val="2E293BF2"/>
    <w:rsid w:val="2EF76A19"/>
    <w:rsid w:val="2FA01C92"/>
    <w:rsid w:val="305D5DD5"/>
    <w:rsid w:val="30D00271"/>
    <w:rsid w:val="327921DC"/>
    <w:rsid w:val="34A55F9D"/>
    <w:rsid w:val="36CC5AF3"/>
    <w:rsid w:val="36D83D8B"/>
    <w:rsid w:val="3A1B33E4"/>
    <w:rsid w:val="3C925059"/>
    <w:rsid w:val="3CCF1E09"/>
    <w:rsid w:val="3DD11BB1"/>
    <w:rsid w:val="3F42386A"/>
    <w:rsid w:val="3F8C3FE1"/>
    <w:rsid w:val="42A868A9"/>
    <w:rsid w:val="44531571"/>
    <w:rsid w:val="45EC57D9"/>
    <w:rsid w:val="47AB5220"/>
    <w:rsid w:val="484C60BA"/>
    <w:rsid w:val="48A56901"/>
    <w:rsid w:val="4A547680"/>
    <w:rsid w:val="4C6D68CD"/>
    <w:rsid w:val="4D405120"/>
    <w:rsid w:val="4F893C78"/>
    <w:rsid w:val="53276037"/>
    <w:rsid w:val="53A94D0A"/>
    <w:rsid w:val="53C7318D"/>
    <w:rsid w:val="53F50F2E"/>
    <w:rsid w:val="5402266C"/>
    <w:rsid w:val="54B733C6"/>
    <w:rsid w:val="599E4BE5"/>
    <w:rsid w:val="59CA7788"/>
    <w:rsid w:val="5A0709DC"/>
    <w:rsid w:val="5A4A4609"/>
    <w:rsid w:val="5B3C46B5"/>
    <w:rsid w:val="5BA85EEE"/>
    <w:rsid w:val="5EB84053"/>
    <w:rsid w:val="60D809DC"/>
    <w:rsid w:val="615C160D"/>
    <w:rsid w:val="62A97722"/>
    <w:rsid w:val="62D6599A"/>
    <w:rsid w:val="644220EE"/>
    <w:rsid w:val="65B15FC9"/>
    <w:rsid w:val="66C043ED"/>
    <w:rsid w:val="67480054"/>
    <w:rsid w:val="6CF05300"/>
    <w:rsid w:val="6D341690"/>
    <w:rsid w:val="6E3C23F0"/>
    <w:rsid w:val="6F4E3E6C"/>
    <w:rsid w:val="6F8E1E0A"/>
    <w:rsid w:val="70D46589"/>
    <w:rsid w:val="725561A2"/>
    <w:rsid w:val="734555E7"/>
    <w:rsid w:val="73E13BF4"/>
    <w:rsid w:val="744228E5"/>
    <w:rsid w:val="74F55BA9"/>
    <w:rsid w:val="751B4DE5"/>
    <w:rsid w:val="7C2E374F"/>
    <w:rsid w:val="7C72188D"/>
    <w:rsid w:val="7EA947E1"/>
    <w:rsid w:val="7F0864D9"/>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next w:val="1"/>
    <w:unhideWhenUsed/>
    <w:qFormat/>
    <w:uiPriority w:val="0"/>
    <w:pPr>
      <w:keepNext/>
      <w:keepLines/>
      <w:widowControl w:val="0"/>
      <w:spacing w:before="260" w:after="260" w:line="413" w:lineRule="auto"/>
      <w:jc w:val="both"/>
      <w:outlineLvl w:val="1"/>
    </w:pPr>
    <w:rPr>
      <w:rFonts w:ascii="Arial" w:hAnsi="Arial" w:eastAsia="黑体" w:cstheme="minorBidi"/>
      <w:b/>
      <w:kern w:val="2"/>
      <w:sz w:val="32"/>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spacing w:after="200" w:line="600" w:lineRule="exact"/>
      <w:ind w:firstLine="420"/>
    </w:pPr>
    <w:rPr>
      <w:rFonts w:ascii="Times New Roman" w:hAnsi="Times New Roman" w:eastAsia="CESI仿宋-GB2312"/>
      <w:sz w:val="32"/>
      <w:szCs w:val="20"/>
    </w:rPr>
  </w:style>
  <w:style w:type="paragraph" w:styleId="4">
    <w:name w:val="Body Text"/>
    <w:next w:val="5"/>
    <w:qFormat/>
    <w:uiPriority w:val="0"/>
    <w:pPr>
      <w:widowControl w:val="0"/>
      <w:spacing w:before="61"/>
      <w:ind w:left="102"/>
      <w:jc w:val="both"/>
    </w:pPr>
    <w:rPr>
      <w:rFonts w:ascii="宋体" w:hAnsi="宋体" w:eastAsia="宋体" w:cstheme="minorBidi"/>
      <w:kern w:val="0"/>
      <w:sz w:val="28"/>
      <w:szCs w:val="28"/>
      <w:lang w:val="en-US" w:eastAsia="en-US" w:bidi="ar-SA"/>
    </w:rPr>
  </w:style>
  <w:style w:type="paragraph" w:styleId="5">
    <w:name w:val="Title"/>
    <w:next w:val="1"/>
    <w:qFormat/>
    <w:uiPriority w:val="0"/>
    <w:pPr>
      <w:widowControl w:val="0"/>
      <w:spacing w:before="240" w:after="60"/>
      <w:jc w:val="center"/>
      <w:outlineLvl w:val="0"/>
    </w:pPr>
    <w:rPr>
      <w:rFonts w:asciiTheme="majorHAnsi" w:hAnsiTheme="majorHAnsi" w:eastAsiaTheme="majorEastAsia" w:cstheme="majorBidi"/>
      <w:b/>
      <w:bCs/>
      <w:kern w:val="2"/>
      <w:sz w:val="32"/>
      <w:szCs w:val="32"/>
      <w:lang w:val="en-US" w:eastAsia="zh-CN" w:bidi="ar-SA"/>
    </w:rPr>
  </w:style>
  <w:style w:type="paragraph" w:styleId="6">
    <w:name w:val="annotation text"/>
    <w:qFormat/>
    <w:uiPriority w:val="0"/>
    <w:pPr>
      <w:widowControl w:val="0"/>
      <w:spacing w:after="160" w:line="259" w:lineRule="auto"/>
      <w:jc w:val="both"/>
    </w:pPr>
    <w:rPr>
      <w:rFonts w:ascii="等线" w:hAnsi="等线" w:eastAsia="等线" w:cs="Times New Roman"/>
      <w:kern w:val="0"/>
      <w:sz w:val="22"/>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heme="minorHAnsi" w:hAnsiTheme="minorHAnsi" w:eastAsiaTheme="minorEastAsia" w:cstheme="minorBidi"/>
      <w:kern w:val="2"/>
      <w:sz w:val="18"/>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市直单位</Company>
  <Pages>20</Pages>
  <Words>10129</Words>
  <Characters>10367</Characters>
  <Lines>0</Lines>
  <Paragraphs>0</Paragraphs>
  <TotalTime>4</TotalTime>
  <ScaleCrop>false</ScaleCrop>
  <LinksUpToDate>false</LinksUpToDate>
  <CharactersWithSpaces>10531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2024-05-24T09:02:00Z</dcterms:created>
  <dc:creator>未知</dc:creator>
  <cp:lastModifiedBy>青青子衿</cp:lastModifiedBy>
  <dcterms:modified xsi:type="dcterms:W3CDTF">2025-07-21T08:38:03Z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5E2E49DC38824881976BC07852B1C40F_13</vt:lpwstr>
  </property>
  <property fmtid="{D5CDD505-2E9C-101B-9397-08002B2CF9AE}" pid="4" name="KSOTemplateDocerSaveRecord">
    <vt:lpwstr>eyJoZGlkIjoiMmM4YWMzNzMyMmNhN2U0YWQ4NDljZDhkOWE0MjhhNTMiLCJ1c2VySWQiOiI0MzA2NDYxMTQifQ==</vt:lpwstr>
  </property>
</Properties>
</file>