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0" w:firstLineChars="0"/>
        <w:rPr>
          <w:rFonts w:hint="eastAsia" w:ascii="CESI仿宋-GB2312" w:hAnsi="CESI仿宋-GB2312" w:eastAsia="CESI仿宋-GB2312" w:cs="CESI仿宋-GB2312"/>
          <w:b w:val="0"/>
          <w:bCs/>
          <w:color w:val="auto"/>
          <w:kern w:val="36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36"/>
          <w:sz w:val="32"/>
          <w:szCs w:val="32"/>
          <w:shd w:val="clear" w:color="auto" w:fill="auto"/>
          <w:lang w:val="en-US" w:eastAsia="zh-CN"/>
        </w:rPr>
        <w:t>附件1</w:t>
      </w:r>
    </w:p>
    <w:p>
      <w:pPr>
        <w:numPr>
          <w:ilvl w:val="0"/>
          <w:numId w:val="0"/>
        </w:numPr>
        <w:ind w:firstLine="0" w:firstLineChars="0"/>
        <w:rPr>
          <w:rFonts w:hint="default" w:ascii="CESI仿宋-GB2312" w:hAnsi="CESI仿宋-GB2312" w:eastAsia="CESI仿宋-GB2312" w:cs="CESI仿宋-GB2312"/>
          <w:b w:val="0"/>
          <w:bCs/>
          <w:color w:val="auto"/>
          <w:kern w:val="36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0" w:firstLineChars="0"/>
        <w:rPr>
          <w:rFonts w:hint="eastAsia" w:ascii="CESI黑体-GB13000" w:hAnsi="CESI黑体-GB13000" w:eastAsia="CESI黑体-GB13000" w:cs="CESI黑体-GB13000"/>
          <w:bCs/>
          <w:color w:val="000000"/>
          <w:kern w:val="36"/>
          <w:sz w:val="32"/>
          <w:szCs w:val="32"/>
          <w:lang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深圳市人民政府关于禁止猎捕陆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  <w:lang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野生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动物的通告（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  <w:lang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）</w:t>
      </w:r>
    </w:p>
    <w:p>
      <w:pPr>
        <w:ind w:firstLine="880"/>
        <w:jc w:val="center"/>
        <w:rPr>
          <w:rFonts w:hint="eastAsia" w:ascii="宋体" w:hAnsi="宋体" w:cs="宋体"/>
          <w:bCs/>
          <w:color w:val="auto"/>
          <w:kern w:val="36"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各区人民政府，市政府直属各单位：</w:t>
      </w:r>
    </w:p>
    <w:p>
      <w:pPr>
        <w:adjustRightInd w:val="0"/>
        <w:snapToGrid w:val="0"/>
        <w:spacing w:line="360" w:lineRule="auto"/>
        <w:ind w:firstLine="640"/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为保护我市陆生野生动物资源，维护生态安全和平衡，根据《中华人民共和国野生动物保护法》《中华人民共和国陆生野生动物保护实施条例》《广东省野生动物保护管理条例》等规定，结合我市实际，决定在全市禁止猎捕陆生野生动物。现将有关事项通告如下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本市行政区域范围为禁猎区。自然保护区、自然保护小区、风景名胜区、森林公园、地质公园、湿地公园、郊野公园、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市政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公园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、陆生野生动物重要栖息地、生态廊道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为永久禁猎区域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上述区域之外的我市其他区域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为期间禁猎区，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自 年 月 日起到  年 月 日止（具体日期待文件正式通过后确定）禁猎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禁猎期5年。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二、禁猎期间，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禁猎区内禁止使用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军用器械、气枪、射钉枪、地枪、地弓、吊杠、排铳、弓弩、弹弓、毒药、爆炸物、电网或电子诱捕装置、猎套、猎夹、粘网、捕鸟网等任何工具以及使用夜间照明行猎、歼灭性围猎、捣毁巢穴、火攻、烟熏、网捕、电捕、设置陷阱、使用猎犬、捡拾或破坏蛋卵等任何方法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猎捕、杀害陆生野生动物，禁止破坏陆生野生动物生息繁衍场所及其生存环境。</w:t>
      </w:r>
    </w:p>
    <w:p>
      <w:pPr>
        <w:adjustRightInd w:val="0"/>
        <w:snapToGrid w:val="0"/>
        <w:spacing w:line="360" w:lineRule="auto"/>
        <w:ind w:left="0" w:leftChars="0" w:firstLine="640" w:firstLineChars="200"/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三、禁猎物种为列入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《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国家重点保护野生动物名录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》</w:t>
      </w:r>
      <w:r>
        <w:rPr>
          <w:rFonts w:hint="eastAsia" w:ascii="CESI仿宋-GB2312" w:hAnsi="CESI仿宋-GB2312" w:eastAsia="CESI仿宋-GB2312" w:cs="CESI仿宋-GB2312"/>
          <w:bCs/>
          <w:strike w:val="0"/>
          <w:dstrike w:val="0"/>
          <w:color w:val="auto"/>
          <w:kern w:val="36"/>
          <w:sz w:val="32"/>
          <w:szCs w:val="32"/>
          <w:lang w:eastAsia="zh-CN"/>
        </w:rPr>
        <w:t>《广东省重点保护陆生野生动物名录》《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有重要生态、科学、社会价值的陆生野生动物名录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》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的陆生野生动物。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四、市、区林业行政主管部门要加强陆生野生动物资源监测和保护工作，会同公安、市场监管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、街道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val="en-US" w:eastAsia="zh-CN"/>
        </w:rPr>
        <w:t>综合行政执法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 xml:space="preserve">等部门依法打击破坏陆生野生动物资源的违法行为；交通运输、邮政、民航、海关等有关部门配合做好野生动物保护管理工作。 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五、因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科学研究、种群调控、疫源疫病监测、疫情防控或者其他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特殊情况确需猎捕陆生野生动物的，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按照有关法律法规办理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　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六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任何组织和个人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有保护陆生野生动物的义务，对发现非法猎捕或杀害陆生野生动物、侵占或破坏陆生野生动物</w:t>
      </w:r>
      <w:r>
        <w:rPr>
          <w:rFonts w:hint="eastAsia" w:ascii="CESI仿宋-GB2312" w:hAnsi="CESI仿宋-GB2312" w:eastAsia="CESI仿宋-GB2312" w:cs="CESI仿宋-GB2312"/>
          <w:bCs/>
          <w:strike w:val="0"/>
          <w:dstrike w:val="0"/>
          <w:color w:val="auto"/>
          <w:kern w:val="36"/>
          <w:sz w:val="32"/>
          <w:szCs w:val="32"/>
          <w:lang w:eastAsia="zh-CN"/>
        </w:rPr>
        <w:t>栖息地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的违法行为，有权</w:t>
      </w:r>
      <w:r>
        <w:rPr>
          <w:rFonts w:hint="eastAsia" w:ascii="CESI仿宋-GB2312" w:hAnsi="CESI仿宋-GB2312" w:eastAsia="CESI仿宋-GB2312" w:cs="CESI仿宋-GB2312"/>
          <w:bCs/>
          <w:strike w:val="0"/>
          <w:dstrike w:val="0"/>
          <w:color w:val="auto"/>
          <w:kern w:val="36"/>
          <w:sz w:val="32"/>
          <w:szCs w:val="32"/>
          <w:lang w:eastAsia="zh-CN"/>
        </w:rPr>
        <w:t>投诉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和</w:t>
      </w:r>
      <w:r>
        <w:rPr>
          <w:rFonts w:hint="eastAsia" w:ascii="CESI仿宋-GB2312" w:hAnsi="CESI仿宋-GB2312" w:eastAsia="CESI仿宋-GB2312" w:cs="CESI仿宋-GB2312"/>
          <w:bCs/>
          <w:strike w:val="0"/>
          <w:dstrike w:val="0"/>
          <w:color w:val="auto"/>
          <w:kern w:val="36"/>
          <w:sz w:val="32"/>
          <w:szCs w:val="32"/>
          <w:lang w:eastAsia="zh-CN"/>
        </w:rPr>
        <w:t>举报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。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投诉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和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举报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电话：110、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</w:rPr>
        <w:t>83299110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　　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eastAsia="zh-CN"/>
        </w:rPr>
        <w:t>七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、违反规定猎捕陆生野生动物的，由相关执法部门依法进行处罚，构成犯罪的依法追究刑事责任。</w:t>
      </w:r>
    </w:p>
    <w:p>
      <w:pPr>
        <w:adjustRightInd w:val="0"/>
        <w:snapToGrid w:val="0"/>
        <w:spacing w:line="360" w:lineRule="auto"/>
        <w:ind w:firstLine="630"/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4480" w:firstLineChars="1400"/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4480" w:firstLineChars="1400"/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深圳市人民政府</w:t>
      </w:r>
    </w:p>
    <w:p>
      <w:pPr>
        <w:adjustRightInd w:val="0"/>
        <w:snapToGrid w:val="0"/>
        <w:spacing w:line="360" w:lineRule="auto"/>
        <w:ind w:firstLine="4480" w:firstLineChars="1400"/>
        <w:rPr>
          <w:rFonts w:hint="eastAsia" w:ascii="仿宋_GB2312" w:hAnsi="宋体" w:eastAsia="仿宋_GB2312" w:cs="宋体"/>
          <w:b w:val="0"/>
          <w:bCs/>
          <w:color w:val="auto"/>
          <w:kern w:val="36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>20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  <w:lang w:val="en-US" w:eastAsia="zh-CN"/>
        </w:rPr>
        <w:t>24</w:t>
      </w:r>
      <w:r>
        <w:rPr>
          <w:rFonts w:hint="eastAsia" w:ascii="CESI仿宋-GB2312" w:hAnsi="CESI仿宋-GB2312" w:eastAsia="CESI仿宋-GB2312" w:cs="CESI仿宋-GB2312"/>
          <w:bCs/>
          <w:color w:val="auto"/>
          <w:kern w:val="36"/>
          <w:sz w:val="32"/>
          <w:szCs w:val="32"/>
        </w:rPr>
        <w:t xml:space="preserve">年  月  日 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b w:val="0"/>
          <w:bCs/>
          <w:color w:val="auto"/>
          <w:kern w:val="36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36"/>
          <w:sz w:val="32"/>
          <w:szCs w:val="32"/>
          <w:shd w:val="clear" w:color="auto" w:fill="auto"/>
          <w:lang w:val="en-US" w:eastAsia="zh-CN"/>
        </w:rPr>
        <w:t xml:space="preserve">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69F94"/>
    <w:multiLevelType w:val="singleLevel"/>
    <w:tmpl w:val="5A969F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5774A"/>
    <w:rsid w:val="7725774A"/>
    <w:rsid w:val="FEB3D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2024-08-14T18:20:00Z</dcterms:created>
  <dc:creator>luolin</dc:creator>
  <cp:lastModifiedBy>luolin</cp:lastModifiedBy>
  <dcterms:modified xsi:type="dcterms:W3CDTF">2024-08-14T10:35:06Z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746FCAA23866D6277114BC6698A26DB4</vt:lpwstr>
  </property>
</Properties>
</file>