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 xml:space="preserve">    服务类项目采购需求</w:t>
      </w:r>
    </w:p>
    <w:tbl>
      <w:tblPr>
        <w:tblStyle w:val="8"/>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项目名称</w:t>
            </w:r>
          </w:p>
        </w:tc>
        <w:tc>
          <w:tcPr>
            <w:tcW w:w="7407" w:type="dxa"/>
            <w:gridSpan w:val="4"/>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2025年深圳市全民所有自然资源资产变更清查核算（不含深汕合作区）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采购人名称</w:t>
            </w:r>
          </w:p>
        </w:tc>
        <w:tc>
          <w:tcPr>
            <w:tcW w:w="3780" w:type="dxa"/>
            <w:gridSpan w:val="2"/>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深圳市规划和自然资源局</w:t>
            </w:r>
          </w:p>
        </w:tc>
        <w:tc>
          <w:tcPr>
            <w:tcW w:w="1366" w:type="dxa"/>
            <w:vAlign w:val="center"/>
          </w:tcPr>
          <w:p>
            <w:pPr>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采购方式</w:t>
            </w:r>
          </w:p>
        </w:tc>
        <w:tc>
          <w:tcPr>
            <w:tcW w:w="2261" w:type="dxa"/>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计划立项批文号</w:t>
            </w:r>
          </w:p>
        </w:tc>
        <w:tc>
          <w:tcPr>
            <w:tcW w:w="3780" w:type="dxa"/>
            <w:gridSpan w:val="2"/>
            <w:vAlign w:val="center"/>
          </w:tcPr>
          <w:p>
            <w:pPr>
              <w:jc w:val="left"/>
              <w:rPr>
                <w:rFonts w:hint="eastAsia" w:ascii="仿宋" w:hAnsi="仿宋" w:eastAsia="仿宋" w:cs="仿宋"/>
                <w:color w:val="auto"/>
                <w:szCs w:val="21"/>
              </w:rPr>
            </w:pPr>
          </w:p>
        </w:tc>
        <w:tc>
          <w:tcPr>
            <w:tcW w:w="1366" w:type="dxa"/>
            <w:vAlign w:val="center"/>
          </w:tcPr>
          <w:p>
            <w:pPr>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资金来源</w:t>
            </w:r>
          </w:p>
        </w:tc>
        <w:tc>
          <w:tcPr>
            <w:tcW w:w="2261" w:type="dxa"/>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0" w:type="dxa"/>
            <w:gridSpan w:val="3"/>
            <w:vAlign w:val="center"/>
          </w:tcPr>
          <w:p>
            <w:pPr>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财政预算限额（元）</w:t>
            </w:r>
          </w:p>
        </w:tc>
        <w:tc>
          <w:tcPr>
            <w:tcW w:w="3627" w:type="dxa"/>
            <w:gridSpan w:val="2"/>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3075000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项目背景</w:t>
            </w:r>
          </w:p>
        </w:tc>
        <w:tc>
          <w:tcPr>
            <w:tcW w:w="7407" w:type="dxa"/>
            <w:gridSpan w:val="4"/>
            <w:vAlign w:val="center"/>
          </w:tcPr>
          <w:p>
            <w:pPr>
              <w:pStyle w:val="13"/>
              <w:ind w:firstLineChars="200"/>
              <w:rPr>
                <w:rFonts w:hint="eastAsia" w:ascii="仿宋_GB2312" w:hAnsi="仿宋_GB2312" w:cs="仿宋_GB2312"/>
                <w:color w:val="auto"/>
              </w:rPr>
            </w:pPr>
            <w:r>
              <w:rPr>
                <w:rFonts w:hint="eastAsia" w:ascii="仿宋_GB2312" w:hAnsi="仿宋_GB2312" w:cs="仿宋_GB2312"/>
                <w:color w:val="auto"/>
              </w:rPr>
              <w:t>自然资源资产清查核算</w:t>
            </w:r>
            <w:r>
              <w:rPr>
                <w:rFonts w:hint="eastAsia" w:ascii="仿宋_GB2312" w:hAnsi="仿宋_GB2312" w:cs="仿宋_GB2312"/>
                <w:color w:val="auto"/>
                <w:lang w:val="en-US" w:eastAsia="zh-CN"/>
              </w:rPr>
              <w:t>是通过查清全民所有自然资源资产所有权履职主体及使用权状况、估算资产价值、核实所有者权益、摸清资产底数的技术性工作。自2019年以来，国家、部、省、市均开展了系列部署。</w:t>
            </w:r>
          </w:p>
          <w:p>
            <w:pPr>
              <w:pStyle w:val="13"/>
              <w:ind w:firstLineChars="200"/>
              <w:rPr>
                <w:rFonts w:hint="eastAsia" w:ascii="仿宋_GB2312" w:hAnsi="仿宋_GB2312" w:cs="仿宋_GB2312"/>
                <w:b w:val="0"/>
                <w:bCs/>
                <w:color w:val="auto"/>
                <w:highlight w:val="none"/>
              </w:rPr>
            </w:pPr>
            <w:r>
              <w:rPr>
                <w:rFonts w:hint="eastAsia" w:ascii="仿宋_GB2312" w:hAnsi="仿宋_GB2312" w:cs="仿宋_GB2312"/>
                <w:color w:val="auto"/>
              </w:rPr>
              <w:t>在国家层面，2019年，中办</w:t>
            </w:r>
            <w:r>
              <w:rPr>
                <w:rFonts w:hint="eastAsia" w:ascii="仿宋_GB2312" w:hAnsi="仿宋_GB2312" w:cs="仿宋_GB2312"/>
                <w:color w:val="auto"/>
                <w:lang w:eastAsia="zh-CN"/>
              </w:rPr>
              <w:t>、</w:t>
            </w:r>
            <w:r>
              <w:rPr>
                <w:rFonts w:hint="eastAsia" w:ascii="仿宋_GB2312" w:hAnsi="仿宋_GB2312" w:cs="仿宋_GB2312"/>
                <w:color w:val="auto"/>
              </w:rPr>
              <w:t>国办</w:t>
            </w:r>
            <w:r>
              <w:rPr>
                <w:rFonts w:hint="eastAsia" w:ascii="仿宋_GB2312" w:hAnsi="仿宋_GB2312" w:cs="仿宋_GB2312"/>
                <w:color w:val="auto"/>
                <w:lang w:eastAsia="zh-CN"/>
              </w:rPr>
              <w:t>印发</w:t>
            </w:r>
            <w:r>
              <w:rPr>
                <w:rFonts w:hint="eastAsia" w:ascii="仿宋_GB2312" w:hAnsi="仿宋_GB2312" w:cs="仿宋_GB2312"/>
                <w:color w:val="auto"/>
              </w:rPr>
              <w:t>《关于统筹推进自然资源资产产权制度改革的指导意见》</w:t>
            </w:r>
            <w:r>
              <w:rPr>
                <w:rFonts w:hint="eastAsia" w:ascii="仿宋_GB2312" w:hAnsi="仿宋_GB2312" w:cs="仿宋_GB2312"/>
                <w:b w:val="0"/>
                <w:bCs/>
                <w:color w:val="auto"/>
                <w:highlight w:val="none"/>
              </w:rPr>
              <w:t>中要求“研究建立自然资源资产核算评价制度，开展实物量统计，探索价值量核算”。2021年，中办</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rPr>
              <w:t>国办印发《关于建立健全生态产品价值实现机制的意见》，要求“探索制定生态产品价值核算规范，明确生态产品价值核算指标体系、具体算法、数据来源和统计口径等，推进生态产品价值核算标准化”。</w:t>
            </w:r>
          </w:p>
          <w:p>
            <w:pPr>
              <w:pStyle w:val="13"/>
              <w:ind w:firstLineChars="200"/>
              <w:rPr>
                <w:rFonts w:hint="eastAsia" w:ascii="仿宋_GB2312" w:hAnsi="仿宋_GB2312" w:cs="仿宋_GB2312"/>
                <w:b w:val="0"/>
                <w:bCs/>
                <w:color w:val="auto"/>
                <w:highlight w:val="none"/>
              </w:rPr>
            </w:pPr>
            <w:r>
              <w:rPr>
                <w:rFonts w:hint="eastAsia" w:ascii="仿宋_GB2312" w:hAnsi="仿宋_GB2312" w:cs="仿宋_GB2312"/>
                <w:b w:val="0"/>
                <w:bCs/>
                <w:color w:val="auto"/>
                <w:highlight w:val="none"/>
              </w:rPr>
              <w:t>在自然资源部层面，为贯彻落实</w:t>
            </w:r>
            <w:r>
              <w:rPr>
                <w:rFonts w:hint="eastAsia" w:ascii="仿宋_GB2312" w:hAnsi="仿宋_GB2312" w:cs="仿宋_GB2312"/>
                <w:b w:val="0"/>
                <w:bCs/>
                <w:color w:val="auto"/>
                <w:highlight w:val="none"/>
                <w:lang w:val="en-US" w:eastAsia="zh-CN"/>
              </w:rPr>
              <w:t>国家要求</w:t>
            </w:r>
            <w:r>
              <w:rPr>
                <w:rFonts w:hint="eastAsia" w:ascii="仿宋_GB2312" w:hAnsi="仿宋_GB2312" w:cs="仿宋_GB2312"/>
                <w:b w:val="0"/>
                <w:bCs/>
                <w:color w:val="auto"/>
                <w:highlight w:val="none"/>
              </w:rPr>
              <w:t>，推进建立健全资产清查制度，自然资源部在全国部署开展试点工作</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rPr>
              <w:t>经过多年探索和积累，在形成比较成熟的技术方法体系后，自然资源部于2024年印发《自然资源部关于全面开展全民所有</w:t>
            </w:r>
            <w:r>
              <w:rPr>
                <w:rFonts w:hint="eastAsia" w:ascii="仿宋_GB2312" w:hAnsi="仿宋_GB2312" w:cs="仿宋_GB2312"/>
                <w:b w:val="0"/>
                <w:bCs/>
                <w:color w:val="auto"/>
                <w:highlight w:val="none"/>
                <w:lang w:val="en-US" w:eastAsia="zh-CN"/>
              </w:rPr>
              <w:t>自</w:t>
            </w:r>
            <w:r>
              <w:rPr>
                <w:rFonts w:hint="eastAsia" w:ascii="仿宋_GB2312" w:hAnsi="仿宋_GB2312" w:cs="仿宋_GB2312"/>
                <w:b w:val="0"/>
                <w:bCs/>
                <w:color w:val="auto"/>
                <w:highlight w:val="none"/>
              </w:rPr>
              <w:t>然资源资产清查工作的通知》（自然资发〔2024〕127号），要求在全国范围内开展全面清查工作，摸清全民所有自然资源资产家底，夯实自然资源资产管理基础，同时明确清查结果现阶段用途，即服务国有自然资源资产管理情况专项报告和全民所有自然资源资产负债表编制等工作。</w:t>
            </w:r>
          </w:p>
          <w:p>
            <w:pPr>
              <w:pStyle w:val="13"/>
              <w:ind w:firstLineChars="200"/>
              <w:rPr>
                <w:rFonts w:hint="eastAsia" w:ascii="仿宋_GB2312" w:hAnsi="仿宋_GB2312" w:cs="仿宋_GB2312"/>
                <w:b w:val="0"/>
                <w:bCs/>
                <w:color w:val="auto"/>
                <w:highlight w:val="none"/>
                <w:lang w:val="en-US" w:eastAsia="zh-CN"/>
              </w:rPr>
            </w:pPr>
            <w:r>
              <w:rPr>
                <w:rFonts w:hint="eastAsia" w:ascii="仿宋_GB2312" w:hAnsi="仿宋_GB2312" w:cs="仿宋_GB2312"/>
                <w:b w:val="0"/>
                <w:bCs/>
                <w:color w:val="auto"/>
                <w:highlight w:val="none"/>
              </w:rPr>
              <w:t>在广东省厅层面，积极贯彻落实国家和自然资源部相关要求，自2019年起，连续每年组织开展全民所有自然资源资产清查工作，并在完成基本工作基础上，印发《广东省自然资源厅关于印发&lt;广东省全民所有自然资源资产清查深化试点三年行动实施方案&gt;的通知》（粤自然资函〔2023〕506号）</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lang w:val="en-US" w:eastAsia="zh-CN"/>
              </w:rPr>
              <w:t>连续三年</w:t>
            </w:r>
            <w:r>
              <w:rPr>
                <w:rFonts w:hint="eastAsia" w:ascii="仿宋_GB2312" w:hAnsi="仿宋_GB2312" w:cs="仿宋_GB2312"/>
                <w:b w:val="0"/>
                <w:bCs/>
                <w:color w:val="auto"/>
                <w:highlight w:val="none"/>
              </w:rPr>
              <w:t>开展包括国有企业和行政事业单位土地在内的自然资源资产专项清查工作，为盘活国有存量土地</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lang w:val="en-US" w:eastAsia="zh-CN"/>
              </w:rPr>
              <w:t>研究构建自然资源资产价格体系提供支撑</w:t>
            </w:r>
            <w:r>
              <w:rPr>
                <w:rFonts w:hint="eastAsia" w:ascii="仿宋_GB2312" w:hAnsi="仿宋_GB2312" w:cs="仿宋_GB2312"/>
                <w:b w:val="0"/>
                <w:bCs/>
                <w:color w:val="auto"/>
                <w:highlight w:val="none"/>
              </w:rPr>
              <w:t>。</w:t>
            </w:r>
            <w:r>
              <w:rPr>
                <w:rFonts w:hint="eastAsia" w:ascii="仿宋_GB2312" w:hAnsi="仿宋_GB2312" w:cs="仿宋_GB2312"/>
                <w:b w:val="0"/>
                <w:bCs/>
                <w:color w:val="auto"/>
                <w:highlight w:val="none"/>
                <w:lang w:val="en-US" w:eastAsia="zh-CN"/>
              </w:rPr>
              <w:t>2024年，</w:t>
            </w:r>
            <w:r>
              <w:rPr>
                <w:rFonts w:hint="eastAsia" w:ascii="仿宋_GB2312" w:hAnsi="仿宋_GB2312" w:cs="仿宋_GB2312"/>
                <w:b w:val="0"/>
                <w:bCs/>
                <w:color w:val="auto"/>
                <w:highlight w:val="none"/>
              </w:rPr>
              <w:t>广东省自然资源厅印发《广东省自然资源厅 广东省生</w:t>
            </w:r>
            <w:r>
              <w:rPr>
                <w:rFonts w:hint="eastAsia" w:ascii="仿宋_GB2312" w:hAnsi="仿宋_GB2312" w:cs="仿宋_GB2312"/>
                <w:b w:val="0"/>
                <w:bCs/>
                <w:color w:val="auto"/>
                <w:highlight w:val="none"/>
                <w:lang w:eastAsia="zh-CN"/>
              </w:rPr>
              <w:t>态</w:t>
            </w:r>
            <w:r>
              <w:rPr>
                <w:rFonts w:hint="eastAsia" w:ascii="仿宋_GB2312" w:hAnsi="仿宋_GB2312" w:cs="仿宋_GB2312"/>
                <w:b w:val="0"/>
                <w:bCs/>
                <w:color w:val="auto"/>
                <w:highlight w:val="none"/>
              </w:rPr>
              <w:t>环境厅 广东省水利厅 广东省农业农村厅 广东省林业局关于印发&lt;广东省国有自然资源资产管理情况报告制度&gt;的通知》（粤自然资函〔2023〕1074号），要求2026年起，基础专项报告探索采用全民所有自然资源资产清查数据</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lang w:val="en-US" w:eastAsia="zh-CN"/>
              </w:rPr>
              <w:t>进一步强化了自然资源资产清查核算工作的重要性。</w:t>
            </w:r>
          </w:p>
          <w:p>
            <w:pPr>
              <w:pStyle w:val="13"/>
              <w:ind w:firstLineChars="200"/>
              <w:rPr>
                <w:rFonts w:hint="eastAsia" w:ascii="仿宋_GB2312" w:hAnsi="仿宋_GB2312" w:cs="仿宋_GB2312"/>
                <w:b w:val="0"/>
                <w:bCs/>
                <w:color w:val="auto"/>
                <w:highlight w:val="none"/>
              </w:rPr>
            </w:pPr>
            <w:r>
              <w:rPr>
                <w:rFonts w:hint="eastAsia" w:ascii="仿宋_GB2312" w:hAnsi="仿宋_GB2312" w:cs="仿宋_GB2312"/>
                <w:b w:val="0"/>
                <w:bCs/>
                <w:color w:val="auto"/>
                <w:highlight w:val="none"/>
              </w:rPr>
              <w:t>在深圳市层面，在2019年中共深圳市委六届十二次全会上，审议通过了</w:t>
            </w:r>
            <w:r>
              <w:rPr>
                <w:rFonts w:ascii="仿宋_GB2312" w:hAnsi="仿宋_GB2312" w:cs="仿宋_GB2312"/>
                <w:b w:val="0"/>
                <w:bCs/>
                <w:color w:val="auto"/>
                <w:highlight w:val="none"/>
              </w:rPr>
              <w:t>《深圳市建设中国特色社会主义先行示范区的行动方案（2019-2025年）》</w:t>
            </w:r>
            <w:r>
              <w:rPr>
                <w:rFonts w:hint="eastAsia" w:ascii="仿宋_GB2312" w:hAnsi="仿宋_GB2312" w:cs="仿宋_GB2312"/>
                <w:b w:val="0"/>
                <w:bCs/>
                <w:color w:val="auto"/>
                <w:highlight w:val="none"/>
              </w:rPr>
              <w:t>，明确提出“构建全链条的自然资源资产管理体系，试点开展全民所有自然资源资产清查、价值评估和负债表编制”。2019年，深圳市第六届人民代表大会常务委员会第三十七次会议通过《深圳经济特区海域使用管理条例》，</w:t>
            </w:r>
            <w:r>
              <w:rPr>
                <w:rFonts w:hint="eastAsia" w:ascii="仿宋_GB2312" w:hAnsi="仿宋_GB2312" w:cs="仿宋_GB2312"/>
                <w:b w:val="0"/>
                <w:bCs/>
                <w:color w:val="auto"/>
                <w:highlight w:val="none"/>
                <w:lang w:val="en-US" w:eastAsia="zh-CN"/>
              </w:rPr>
              <w:t>规定</w:t>
            </w:r>
            <w:r>
              <w:rPr>
                <w:rFonts w:hint="eastAsia" w:ascii="仿宋_GB2312" w:hAnsi="仿宋_GB2312" w:cs="仿宋_GB2312"/>
                <w:b w:val="0"/>
                <w:bCs/>
                <w:color w:val="auto"/>
                <w:highlight w:val="none"/>
              </w:rPr>
              <w:t>“建立海洋资源调查、监测和评估制度，对海洋资源和生态状况进行综合评价”。与此同时，深圳市根据部省相关工作部署，自2019年起连续开展年度清查核算工作，探索建立科学合理的自然资源资产清查核算技术方法与工作机制。</w:t>
            </w:r>
          </w:p>
          <w:p>
            <w:pPr>
              <w:pStyle w:val="13"/>
              <w:ind w:firstLineChars="200"/>
              <w:rPr>
                <w:rFonts w:hint="eastAsia" w:ascii="仿宋" w:hAnsi="仿宋" w:eastAsia="仿宋_GB2312" w:cs="仿宋"/>
                <w:color w:val="auto"/>
                <w:lang w:val="en-US" w:eastAsia="zh-CN"/>
              </w:rPr>
            </w:pPr>
            <w:r>
              <w:rPr>
                <w:rFonts w:hint="eastAsia" w:ascii="仿宋_GB2312" w:hAnsi="仿宋_GB2312" w:cs="仿宋_GB2312"/>
                <w:b w:val="0"/>
                <w:bCs/>
                <w:color w:val="auto"/>
                <w:highlight w:val="none"/>
              </w:rPr>
              <w:t>开展</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rPr>
              <w:t>202</w:t>
            </w:r>
            <w:r>
              <w:rPr>
                <w:rFonts w:hint="eastAsia" w:ascii="仿宋_GB2312" w:hAnsi="仿宋_GB2312" w:cs="仿宋_GB2312"/>
                <w:b w:val="0"/>
                <w:bCs/>
                <w:color w:val="auto"/>
                <w:highlight w:val="none"/>
                <w:lang w:val="en-US" w:eastAsia="zh-CN"/>
              </w:rPr>
              <w:t>5</w:t>
            </w:r>
            <w:r>
              <w:rPr>
                <w:rFonts w:hint="eastAsia" w:ascii="仿宋_GB2312" w:hAnsi="仿宋_GB2312" w:cs="仿宋_GB2312"/>
                <w:b w:val="0"/>
                <w:bCs/>
                <w:color w:val="auto"/>
                <w:highlight w:val="none"/>
              </w:rPr>
              <w:t>年</w:t>
            </w:r>
            <w:r>
              <w:rPr>
                <w:rFonts w:hint="eastAsia" w:ascii="仿宋_GB2312" w:hAnsi="仿宋_GB2312" w:cs="仿宋_GB2312"/>
                <w:b w:val="0"/>
                <w:bCs/>
                <w:color w:val="auto"/>
                <w:highlight w:val="none"/>
                <w:lang w:eastAsia="zh-CN"/>
              </w:rPr>
              <w:t>深圳市全民所有自然资源资产变更清查核算（不含深汕合作区）》项目是根据自然资源部关于全面开展全民所有自然资源资产清查工作决策部署开展的工作，具有重要意义</w:t>
            </w:r>
            <w:r>
              <w:rPr>
                <w:rFonts w:hint="eastAsia" w:ascii="仿宋_GB2312" w:hAnsi="仿宋_GB2312" w:cs="仿宋_GB2312"/>
                <w:b w:val="0"/>
                <w:bCs/>
                <w:color w:val="auto"/>
                <w:highlight w:val="none"/>
                <w:lang w:val="en-US" w:eastAsia="zh-CN"/>
              </w:rPr>
              <w:t>。一是深</w:t>
            </w:r>
            <w:r>
              <w:rPr>
                <w:rFonts w:hint="eastAsia" w:ascii="仿宋_GB2312" w:hAnsi="仿宋_GB2312" w:cs="仿宋_GB2312"/>
                <w:b w:val="0"/>
                <w:bCs/>
                <w:color w:val="auto"/>
                <w:highlight w:val="none"/>
              </w:rPr>
              <w:t>入贯彻落实党中央、国务院及部</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rPr>
              <w:t>省关于自然资源资产管理工作的决策部署</w:t>
            </w:r>
            <w:r>
              <w:rPr>
                <w:rFonts w:hint="eastAsia" w:ascii="仿宋_GB2312" w:hAnsi="仿宋_GB2312" w:cs="仿宋_GB2312"/>
                <w:b w:val="0"/>
                <w:bCs/>
                <w:color w:val="auto"/>
                <w:highlight w:val="none"/>
                <w:lang w:eastAsia="zh-CN"/>
              </w:rPr>
              <w:t>；二</w:t>
            </w:r>
            <w:r>
              <w:rPr>
                <w:rFonts w:hint="eastAsia" w:ascii="仿宋_GB2312" w:hAnsi="仿宋_GB2312" w:cs="仿宋_GB2312"/>
                <w:b w:val="0"/>
                <w:bCs/>
                <w:color w:val="auto"/>
                <w:highlight w:val="none"/>
                <w:lang w:val="en-US" w:eastAsia="zh-CN"/>
              </w:rPr>
              <w:t>是践行“绿水青山就是金山银山”理念，显化自然资源资产价值的重要支撑工作；三是履行“两统一”职责，支撑产权制度改革的基础性工作；四是</w:t>
            </w:r>
            <w:r>
              <w:rPr>
                <w:rFonts w:hint="eastAsia" w:ascii="仿宋_GB2312" w:hAnsi="仿宋_GB2312" w:cs="仿宋_GB2312"/>
                <w:b w:val="0"/>
                <w:bCs/>
                <w:color w:val="auto"/>
                <w:highlight w:val="none"/>
                <w:lang w:eastAsia="zh-CN"/>
              </w:rPr>
              <w:t>能够</w:t>
            </w:r>
            <w:r>
              <w:rPr>
                <w:rFonts w:hint="eastAsia" w:ascii="仿宋_GB2312" w:hAnsi="仿宋_GB2312" w:cs="仿宋_GB2312"/>
                <w:b w:val="0"/>
                <w:bCs/>
                <w:color w:val="auto"/>
                <w:highlight w:val="none"/>
              </w:rPr>
              <w:t>动态掌握全市自然资源资产变化情况，为开展其他权益相关工作提供数据基础</w:t>
            </w:r>
            <w:r>
              <w:rPr>
                <w:rFonts w:hint="eastAsia" w:ascii="仿宋_GB2312" w:hAnsi="仿宋_GB2312" w:cs="仿宋_GB2312"/>
                <w:b w:val="0"/>
                <w:bCs/>
                <w:color w:val="auto"/>
                <w:highlight w:val="none"/>
                <w:lang w:eastAsia="zh-CN"/>
              </w:rPr>
              <w:t>；</w:t>
            </w:r>
            <w:r>
              <w:rPr>
                <w:rFonts w:hint="eastAsia" w:ascii="仿宋_GB2312" w:hAnsi="仿宋_GB2312" w:cs="仿宋_GB2312"/>
                <w:b w:val="0"/>
                <w:bCs/>
                <w:color w:val="auto"/>
                <w:highlight w:val="none"/>
                <w:lang w:val="en-US" w:eastAsia="zh-CN"/>
              </w:rPr>
              <w:t>五是</w:t>
            </w:r>
            <w:r>
              <w:rPr>
                <w:rFonts w:hint="eastAsia" w:ascii="仿宋_GB2312" w:hAnsi="仿宋_GB2312" w:cs="仿宋_GB2312"/>
                <w:b w:val="0"/>
                <w:bCs/>
                <w:color w:val="auto"/>
                <w:highlight w:val="none"/>
              </w:rPr>
              <w:t>支撑</w:t>
            </w:r>
            <w:r>
              <w:rPr>
                <w:rFonts w:hint="eastAsia" w:ascii="仿宋_GB2312" w:hAnsi="仿宋_GB2312" w:cs="仿宋_GB2312"/>
                <w:b w:val="0"/>
                <w:bCs/>
                <w:color w:val="auto"/>
                <w:highlight w:val="none"/>
                <w:lang w:val="en-US" w:eastAsia="zh-CN"/>
              </w:rPr>
              <w:t>深圳建设中国特色社会主义先行示范区</w:t>
            </w:r>
            <w:bookmarkStart w:id="0" w:name="_GoBack"/>
            <w:bookmarkEnd w:id="0"/>
            <w:r>
              <w:rPr>
                <w:rFonts w:hint="eastAsia" w:ascii="仿宋_GB2312" w:hAnsi="仿宋_GB2312" w:cs="仿宋_GB2312"/>
                <w:b w:val="0"/>
                <w:bCs/>
                <w:color w:val="auto"/>
                <w:highlight w:val="none"/>
                <w:lang w:eastAsia="zh-CN"/>
              </w:rPr>
              <w:t>，有利于在新时期自然资源资产管理领域打造“深圳”样板</w:t>
            </w:r>
            <w:r>
              <w:rPr>
                <w:rFonts w:hint="eastAsia" w:ascii="仿宋_GB2312" w:hAnsi="仿宋_GB2312" w:cs="仿宋_GB2312"/>
                <w:b w:val="0"/>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项目前期设计、规划论证单位</w:t>
            </w:r>
          </w:p>
        </w:tc>
        <w:tc>
          <w:tcPr>
            <w:tcW w:w="7407" w:type="dxa"/>
            <w:gridSpan w:val="4"/>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hint="eastAsia" w:ascii="仿宋" w:hAnsi="仿宋" w:eastAsia="仿宋" w:cs="仿宋"/>
                <w:color w:val="auto"/>
                <w:szCs w:val="21"/>
              </w:rPr>
            </w:pPr>
            <w:r>
              <w:rPr>
                <w:rFonts w:hint="eastAsia" w:ascii="仿宋" w:hAnsi="仿宋" w:eastAsia="仿宋" w:cs="仿宋"/>
                <w:color w:val="auto"/>
                <w:kern w:val="0"/>
                <w:szCs w:val="21"/>
              </w:rPr>
              <w:t>投标人资质要求</w:t>
            </w:r>
          </w:p>
        </w:tc>
        <w:tc>
          <w:tcPr>
            <w:tcW w:w="7407" w:type="dxa"/>
            <w:gridSpan w:val="4"/>
          </w:tcPr>
          <w:p>
            <w:pPr>
              <w:ind w:firstLine="421" w:firstLineChars="200"/>
              <w:jc w:val="left"/>
              <w:rPr>
                <w:rFonts w:hint="eastAsia" w:ascii="仿宋" w:hAnsi="仿宋" w:eastAsia="仿宋" w:cs="仿宋"/>
                <w:b/>
                <w:color w:val="auto"/>
                <w:kern w:val="0"/>
                <w:szCs w:val="21"/>
              </w:rPr>
            </w:pPr>
            <w:r>
              <w:rPr>
                <w:rFonts w:hint="eastAsia" w:ascii="仿宋" w:hAnsi="仿宋" w:eastAsia="仿宋" w:cs="仿宋"/>
                <w:b/>
                <w:color w:val="auto"/>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一、具有独立法人资格（提供营业执照或事业单位法人证等法人证明扫描件，原件备查）。</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二、本项目不接受联合体投标，不接受投标人选用进口产品参与投标。不允许分包、转包。</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三、参与本项目投标前三年内，在经营活动中没有重大违法记录（由供应商在《政府采购投标及履约承诺函》中作出声明）。</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四、参与本项目政府采购活动时不存在被有关部门禁止参与政府采购活动且在有效期内的情况（由供应商在《政府采购投标及履约承诺函》中作出声明）。</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五、具备《中华人民共和国政府采购法》第二十二条第一款的条件（由供应商在《政府采购投标及履约承诺函》中作出声明）。</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六、未被列入失信被执行人、重大税收违法案件当事人名单、政府采购严重违法失信行为记录名单（由供应商在《政府采购投标及履约承诺函》中作出声明）。</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注：“信用中国”“中国政府采购网”“深圳信用网”以及“深圳市政府采购监管网”为供应商信用信息的查询渠道，相关信息以开标当日的查询结果为准。</w:t>
            </w:r>
          </w:p>
          <w:p>
            <w:pPr>
              <w:ind w:firstLine="420" w:firstLineChars="200"/>
              <w:jc w:val="left"/>
              <w:rPr>
                <w:rFonts w:hint="eastAsia" w:ascii="仿宋" w:hAnsi="仿宋" w:eastAsia="仿宋" w:cs="仿宋"/>
                <w:b/>
                <w:color w:val="auto"/>
                <w:kern w:val="0"/>
                <w:szCs w:val="21"/>
              </w:rPr>
            </w:pPr>
            <w:r>
              <w:rPr>
                <w:rFonts w:hint="eastAsia" w:ascii="仿宋" w:hAnsi="仿宋" w:eastAsia="仿宋" w:cs="仿宋"/>
                <w:color w:val="auto"/>
                <w:kern w:val="0"/>
                <w:szCs w:val="21"/>
              </w:rPr>
              <w:t>七、投标人必须为深圳市公共资源交易中心注册供应商，并在深圳公共资源交易中心网上响应投标。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jc w:val="center"/>
              <w:rPr>
                <w:rFonts w:hint="eastAsia" w:ascii="仿宋" w:hAnsi="仿宋" w:eastAsia="仿宋" w:cs="仿宋"/>
                <w:color w:val="auto"/>
                <w:kern w:val="0"/>
                <w:szCs w:val="21"/>
              </w:rPr>
            </w:pPr>
            <w:r>
              <w:rPr>
                <w:rFonts w:hint="eastAsia" w:ascii="仿宋" w:hAnsi="仿宋" w:eastAsia="仿宋" w:cs="仿宋"/>
                <w:bCs/>
                <w:color w:val="auto"/>
                <w:szCs w:val="21"/>
              </w:rPr>
              <w:t>需求内容</w:t>
            </w:r>
          </w:p>
        </w:tc>
        <w:tc>
          <w:tcPr>
            <w:tcW w:w="7407" w:type="dxa"/>
            <w:gridSpan w:val="4"/>
          </w:tcPr>
          <w:p>
            <w:pPr>
              <w:jc w:val="left"/>
              <w:rPr>
                <w:rFonts w:hint="eastAsia" w:ascii="仿宋" w:hAnsi="仿宋" w:eastAsia="仿宋" w:cs="仿宋"/>
                <w:b/>
                <w:bCs/>
                <w:color w:val="auto"/>
                <w:szCs w:val="21"/>
              </w:rPr>
            </w:pPr>
            <w:r>
              <w:rPr>
                <w:rFonts w:hint="eastAsia" w:ascii="仿宋" w:hAnsi="仿宋" w:eastAsia="仿宋" w:cs="仿宋"/>
                <w:b/>
                <w:bCs/>
                <w:color w:val="auto"/>
                <w:szCs w:val="21"/>
              </w:rPr>
              <w:t>*一、报价要求（明确分项报价要求）</w:t>
            </w:r>
          </w:p>
          <w:p>
            <w:pPr>
              <w:ind w:firstLine="420" w:firstLineChars="200"/>
              <w:jc w:val="left"/>
              <w:rPr>
                <w:rFonts w:hint="eastAsia" w:ascii="仿宋" w:hAnsi="仿宋" w:eastAsia="仿宋"/>
                <w:color w:val="auto"/>
                <w:szCs w:val="21"/>
              </w:rPr>
            </w:pPr>
            <w:r>
              <w:rPr>
                <w:rFonts w:hint="eastAsia" w:ascii="仿宋" w:hAnsi="仿宋" w:eastAsia="仿宋"/>
                <w:color w:val="auto"/>
                <w:szCs w:val="21"/>
              </w:rPr>
              <w:t>（一）投标人应根据成本自行决定报价，但不得以低于成本的报价竞标；</w:t>
            </w:r>
          </w:p>
          <w:p>
            <w:pPr>
              <w:ind w:firstLine="420" w:firstLineChars="200"/>
              <w:jc w:val="left"/>
              <w:rPr>
                <w:rFonts w:hint="eastAsia" w:ascii="仿宋" w:hAnsi="仿宋" w:eastAsia="仿宋"/>
                <w:color w:val="auto"/>
                <w:szCs w:val="21"/>
              </w:rPr>
            </w:pPr>
            <w:r>
              <w:rPr>
                <w:rFonts w:hint="eastAsia" w:ascii="仿宋" w:hAnsi="仿宋" w:eastAsia="仿宋"/>
                <w:color w:val="auto"/>
                <w:szCs w:val="21"/>
              </w:rPr>
              <w:t>（二）投标人按总价报价，投标总报价不得超过财政预算限额；</w:t>
            </w:r>
          </w:p>
          <w:p>
            <w:pPr>
              <w:ind w:firstLine="420" w:firstLineChars="200"/>
              <w:jc w:val="left"/>
              <w:rPr>
                <w:color w:val="auto"/>
              </w:rPr>
            </w:pPr>
            <w:r>
              <w:rPr>
                <w:rFonts w:hint="eastAsia" w:ascii="仿宋" w:hAnsi="仿宋" w:eastAsia="仿宋"/>
                <w:color w:val="auto"/>
                <w:szCs w:val="21"/>
              </w:rPr>
              <w:t>（三）投标报价为全包价，包括服务成本、法定税费和企业的利润。由投标人根据采购文件所提供的资料自行测算投标报价；一经中标，报价总价作为中标人与采购人签定的合同金额，合同期限内不做调整。</w:t>
            </w:r>
          </w:p>
          <w:p>
            <w:pPr>
              <w:jc w:val="left"/>
              <w:rPr>
                <w:rFonts w:hint="eastAsia" w:ascii="仿宋" w:hAnsi="仿宋" w:eastAsia="仿宋" w:cs="仿宋"/>
                <w:b/>
                <w:bCs/>
                <w:color w:val="auto"/>
                <w:szCs w:val="21"/>
              </w:rPr>
            </w:pPr>
            <w:r>
              <w:rPr>
                <w:rFonts w:hint="eastAsia" w:ascii="仿宋" w:hAnsi="仿宋" w:eastAsia="仿宋" w:cs="仿宋"/>
                <w:b/>
                <w:bCs/>
                <w:color w:val="auto"/>
                <w:szCs w:val="21"/>
              </w:rPr>
              <w:t>*二、付款方式</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本项目分四期支付合同款。</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第一期：自双方签订合同之日起20个工作日内，采购人根据中标人提交的《项目总体框架分析报告》和付款申请，经采购人主管处室通过审查后，向中标人支付合同总价款的30%；</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第二期：中标人完成专题一、二内容后，经采购人处室审查通过后，根据中标人提交的付款申请，采购人向中标人支付合同总价款的</w:t>
            </w:r>
            <w:r>
              <w:rPr>
                <w:rFonts w:hint="eastAsia" w:ascii="仿宋" w:hAnsi="仿宋" w:eastAsia="仿宋" w:cs="仿宋"/>
                <w:color w:val="auto"/>
                <w:szCs w:val="21"/>
                <w:lang w:val="en-US" w:eastAsia="zh-CN"/>
              </w:rPr>
              <w:t>20</w:t>
            </w:r>
            <w:r>
              <w:rPr>
                <w:rFonts w:hint="eastAsia" w:ascii="仿宋" w:hAnsi="仿宋" w:eastAsia="仿宋" w:cs="仿宋"/>
                <w:color w:val="auto"/>
                <w:szCs w:val="21"/>
              </w:rPr>
              <w:t>%；</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第三期：中标人完成专题三内容后，经采购人处室审查通过后，根据中标人提交的付款申请，采购人向中标人支付合同总价款的20%。</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第四期：中标人完成专题一到专题五全部内容，提交项目全部成果，经专家评审会评审通过之后，采购人处室审查，并最终通过深圳市规划和自然资源局专题会审查并完成项目归档，根据中标人提交的付款申请，采购人向中标人支付合同总价款的</w:t>
            </w:r>
            <w:r>
              <w:rPr>
                <w:rFonts w:hint="eastAsia" w:ascii="仿宋" w:hAnsi="仿宋" w:eastAsia="仿宋" w:cs="仿宋"/>
                <w:color w:val="auto"/>
                <w:szCs w:val="21"/>
                <w:lang w:val="en-US" w:eastAsia="zh-CN"/>
              </w:rPr>
              <w:t>30</w:t>
            </w:r>
            <w:r>
              <w:rPr>
                <w:rFonts w:hint="eastAsia" w:ascii="仿宋" w:hAnsi="仿宋" w:eastAsia="仿宋" w:cs="仿宋"/>
                <w:color w:val="auto"/>
                <w:szCs w:val="21"/>
              </w:rPr>
              <w:t>%。</w:t>
            </w:r>
          </w:p>
          <w:p>
            <w:pPr>
              <w:jc w:val="left"/>
              <w:rPr>
                <w:rFonts w:hint="eastAsia" w:ascii="仿宋" w:hAnsi="仿宋" w:eastAsia="仿宋" w:cs="仿宋"/>
                <w:b/>
                <w:bCs/>
                <w:color w:val="auto"/>
                <w:szCs w:val="21"/>
              </w:rPr>
            </w:pPr>
            <w:r>
              <w:rPr>
                <w:rFonts w:hint="eastAsia" w:ascii="仿宋" w:hAnsi="仿宋" w:eastAsia="仿宋" w:cs="仿宋"/>
                <w:b/>
                <w:bCs/>
                <w:color w:val="auto"/>
                <w:szCs w:val="21"/>
              </w:rPr>
              <w:t>*三、履约保证金</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无</w:t>
            </w:r>
          </w:p>
          <w:p>
            <w:pPr>
              <w:jc w:val="left"/>
              <w:rPr>
                <w:rFonts w:hint="eastAsia" w:ascii="仿宋" w:hAnsi="仿宋" w:eastAsia="仿宋" w:cs="仿宋"/>
                <w:b/>
                <w:bCs/>
                <w:color w:val="auto"/>
                <w:szCs w:val="21"/>
              </w:rPr>
            </w:pPr>
            <w:r>
              <w:rPr>
                <w:rFonts w:hint="eastAsia" w:ascii="仿宋" w:hAnsi="仿宋" w:eastAsia="仿宋" w:cs="仿宋"/>
                <w:b/>
                <w:bCs/>
                <w:color w:val="auto"/>
                <w:szCs w:val="21"/>
              </w:rPr>
              <w:t>*四、违约责任</w:t>
            </w:r>
          </w:p>
          <w:p>
            <w:pPr>
              <w:pStyle w:val="12"/>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以合同约定为准。</w:t>
            </w:r>
          </w:p>
          <w:p>
            <w:pPr>
              <w:jc w:val="left"/>
              <w:rPr>
                <w:rFonts w:hint="eastAsia" w:ascii="仿宋" w:hAnsi="仿宋" w:eastAsia="仿宋" w:cs="仿宋"/>
                <w:b/>
                <w:bCs/>
                <w:color w:val="auto"/>
                <w:szCs w:val="21"/>
              </w:rPr>
            </w:pPr>
            <w:r>
              <w:rPr>
                <w:rFonts w:hint="eastAsia" w:ascii="仿宋" w:hAnsi="仿宋" w:eastAsia="仿宋" w:cs="仿宋"/>
                <w:b/>
                <w:bCs/>
                <w:color w:val="auto"/>
                <w:szCs w:val="21"/>
              </w:rPr>
              <w:t>*五、服务质量监督和项目验收要求</w:t>
            </w:r>
          </w:p>
          <w:p>
            <w:pPr>
              <w:pStyle w:val="12"/>
              <w:ind w:firstLine="420" w:firstLineChars="200"/>
              <w:rPr>
                <w:color w:val="auto"/>
              </w:rPr>
            </w:pPr>
            <w:r>
              <w:rPr>
                <w:rFonts w:hint="eastAsia" w:ascii="仿宋" w:hAnsi="仿宋" w:eastAsia="仿宋" w:cs="仿宋"/>
                <w:color w:val="auto"/>
                <w:kern w:val="2"/>
                <w:sz w:val="21"/>
                <w:szCs w:val="21"/>
              </w:rPr>
              <w:t>中标方需按采购方的招标技术及时间要求，完成相应工作成果并全部提交后，采购人将进行项目验收。验收方式为深圳市规划和自然资源局专题会审议通过。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vAlign w:val="center"/>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具体技术要求</w:t>
            </w:r>
          </w:p>
        </w:tc>
        <w:tc>
          <w:tcPr>
            <w:tcW w:w="7407" w:type="dxa"/>
            <w:gridSpan w:val="4"/>
          </w:tcPr>
          <w:p>
            <w:pPr>
              <w:jc w:val="left"/>
              <w:rPr>
                <w:rFonts w:hint="eastAsia" w:ascii="仿宋" w:hAnsi="仿宋" w:eastAsia="仿宋" w:cs="仿宋"/>
                <w:b/>
                <w:bCs/>
                <w:color w:val="auto"/>
                <w:szCs w:val="21"/>
              </w:rPr>
            </w:pPr>
            <w:r>
              <w:rPr>
                <w:rFonts w:hint="eastAsia" w:ascii="仿宋" w:hAnsi="仿宋" w:eastAsia="仿宋" w:cs="仿宋"/>
                <w:b/>
                <w:bCs/>
                <w:color w:val="auto"/>
                <w:szCs w:val="21"/>
              </w:rPr>
              <w:t>一、工作内容</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专题一：</w:t>
            </w:r>
            <w:r>
              <w:rPr>
                <w:rFonts w:hint="eastAsia" w:ascii="仿宋" w:hAnsi="仿宋" w:eastAsia="仿宋" w:cs="仿宋"/>
                <w:color w:val="auto"/>
                <w:szCs w:val="21"/>
              </w:rPr>
              <w:t>全类型自然资源资产清查统计</w:t>
            </w:r>
          </w:p>
          <w:p>
            <w:pPr>
              <w:ind w:firstLine="420" w:firstLineChars="20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以2023年和2025年国土变更调查数据为基础，开展以2023年12月31日为时点的土地、森林、海洋等7</w:t>
            </w:r>
            <w:r>
              <w:rPr>
                <w:rFonts w:hint="eastAsia" w:ascii="仿宋" w:hAnsi="仿宋" w:eastAsia="仿宋" w:cs="仿宋"/>
                <w:color w:val="auto"/>
                <w:szCs w:val="21"/>
              </w:rPr>
              <w:t>类自然资源</w:t>
            </w:r>
            <w:r>
              <w:rPr>
                <w:rFonts w:hint="eastAsia" w:ascii="仿宋" w:hAnsi="仿宋" w:eastAsia="仿宋" w:cs="仿宋"/>
                <w:color w:val="auto"/>
                <w:szCs w:val="21"/>
                <w:lang w:val="en-US" w:eastAsia="zh-CN"/>
              </w:rPr>
              <w:t>资产清查以及以2025年12月31日为时点的土地资产变更清查。包括以下五方面工作：一是开展各类自然资源相关数据收集，包括国土变更调查数据、国土空间规划数据、利用数据以及价格、收益和成本等相关数据，数据类型包括文档、表格等非空间数据以及shp、gdb等空间数据。二是开展数据整合，包括原始数据预处理、信息提取与清洗、数据套合与处理、数据识别和数据整合，规范数据标准，建立统计口径一致的自然资源资产清查基础数据。三是在数据整合成果基础上，按照部、省和《深圳市全民所有自然资源资产清查实施方案》等相关要求，开展实物量清查，摸清各类自然资源资产用途、面积和空间位置等信息，理清全民所有建设用地、矿产、海洋自然资源资产的使用权状况；四是开展自然资源资产分布情况清查，将“三区三线”分别与清查图斑叠加，统计各图斑在“三区三线”内的分布情况；五是汇总整理清查成果，形成清查工作底板数据。</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lang w:val="en-US" w:eastAsia="zh-CN"/>
              </w:rPr>
              <w:t>清查完成后，结合部、省、市最新相关要求，开展统计分析工作，包括以下两部分工作：一是优化更新分类，梳理、补充、完善各类自然资源统计指标体系及指标计算方法；二是从不同区域范围和自然资源类型多维度展示自然资源资产实物量整体状况，形成自然资源资产统计报表，以反映各类资源资产的数量、总值、质量、价格、使用和收益等特征。</w:t>
            </w:r>
          </w:p>
          <w:p>
            <w:pPr>
              <w:ind w:firstLine="420" w:firstLineChars="20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专题二：海洋资源资产评估核算数据采集</w:t>
            </w:r>
          </w:p>
          <w:p>
            <w:pPr>
              <w:ind w:firstLine="420" w:firstLineChars="20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根据海洋资源资产清查统计内容与评估核算需要，广泛获取海洋生物资源的种类、优势经济物种、受威胁因子、受威胁情况等基础数据，水质、沉积物质量、净初级生产力、优势经济物种丰度等海洋资源资产生态价值评估核算数据。对收集的数据进行统一数据格式、统一值域范围等标准化处理，开展坐标系转换、空间插值等数据融合工作，形成更全面、更准确的海洋资源生态价值核算数据集。与现行海域行政界线等空间数据挂接与融合，将以上各类分散的数据整合为有机整体，最终形成海洋自然资源资产评估核算生态参数数据库。对获取数据进行检查、审核和评估等质量校验，确保数据的准确性和可靠性。</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专题三：全类型自然资源资产评估核算</w:t>
            </w:r>
          </w:p>
          <w:p>
            <w:pPr>
              <w:ind w:firstLine="420" w:firstLineChars="200"/>
              <w:jc w:val="left"/>
              <w:rPr>
                <w:rFonts w:hint="default" w:ascii="仿宋" w:hAnsi="仿宋" w:eastAsia="仿宋" w:cs="仿宋"/>
                <w:color w:val="auto"/>
                <w:szCs w:val="21"/>
                <w:lang w:val="en-US" w:eastAsia="zh-CN"/>
              </w:rPr>
            </w:pPr>
            <w:r>
              <w:rPr>
                <w:rFonts w:hint="eastAsia" w:ascii="仿宋" w:hAnsi="仿宋" w:eastAsia="仿宋" w:cs="仿宋"/>
                <w:color w:val="auto"/>
                <w:szCs w:val="21"/>
              </w:rPr>
              <w:t>根据自然资源部最新</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《全民所有自然资源资产清查技术指南》及我市相关核算标准规范要求，对全市范围内（不含深汕</w:t>
            </w:r>
            <w:r>
              <w:rPr>
                <w:rFonts w:hint="eastAsia" w:ascii="仿宋" w:hAnsi="仿宋" w:eastAsia="仿宋" w:cs="仿宋"/>
                <w:color w:val="auto"/>
                <w:szCs w:val="21"/>
                <w:lang w:eastAsia="zh-CN"/>
              </w:rPr>
              <w:t>特别</w:t>
            </w:r>
            <w:r>
              <w:rPr>
                <w:rFonts w:hint="eastAsia" w:ascii="仿宋" w:hAnsi="仿宋" w:eastAsia="仿宋" w:cs="仿宋"/>
                <w:color w:val="auto"/>
                <w:szCs w:val="21"/>
              </w:rPr>
              <w:t>合作区）的各类自然资源资产的经济价值和生态价值进行评估核算。</w:t>
            </w:r>
            <w:r>
              <w:rPr>
                <w:rFonts w:hint="eastAsia" w:ascii="仿宋" w:hAnsi="仿宋" w:eastAsia="仿宋" w:cs="仿宋"/>
                <w:color w:val="auto"/>
                <w:szCs w:val="21"/>
                <w:lang w:val="en-US" w:eastAsia="zh-CN"/>
              </w:rPr>
              <w:t>一是梳理完善各类自然资源经济价值评估核算方法体系，尤其是价值量最大的建设用地价格体系，逐一核对调整系数及其取值方法。二是以标定地价成果中的标定区域为基础，结合土地利用类型分布情况、价格水平以及山川河流、规划路网等数据，优化均质区域成果，进而衔接部省核算需求。三是针对基于自然基点的生态价值核算方法中存在较强主观因素影响的参数开展优化研究，减少甚至剔除主观因素对生态价值核算结果的影响，使核算结果更加科学、合理、客观。四是根据价格体系成果，评估各类自然资源资产经济和社会价值，形成核算结果。五是在自然资源调查、统计与价格体系等基础上，对全市范围内（不含深汕特别合作区）各类自然资源资产在清查时点上的实物量和价值量进行整体核定与测算分析，客观反映其总量、结构、质量、分布与变化情况。评估核算结果包括各类自然资源资产的经济价值和社会价值；六是制作符合部、省、市要求的清查成果，并根据质检要求修改完善，最终提交成果。</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专题四：国有存量土地专项清查数据采集</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lang w:val="en-US" w:eastAsia="zh-CN"/>
              </w:rPr>
              <w:t>在省专项清查基础上，</w:t>
            </w:r>
            <w:r>
              <w:rPr>
                <w:rFonts w:hint="eastAsia" w:ascii="仿宋" w:hAnsi="仿宋" w:eastAsia="仿宋" w:cs="仿宋"/>
                <w:color w:val="auto"/>
                <w:szCs w:val="21"/>
              </w:rPr>
              <w:t>开展</w:t>
            </w:r>
            <w:r>
              <w:rPr>
                <w:rFonts w:hint="eastAsia" w:ascii="仿宋" w:hAnsi="仿宋" w:eastAsia="仿宋" w:cs="仿宋"/>
                <w:color w:val="auto"/>
                <w:szCs w:val="21"/>
                <w:lang w:val="en-US" w:eastAsia="zh-CN"/>
              </w:rPr>
              <w:t>我市</w:t>
            </w:r>
            <w:r>
              <w:rPr>
                <w:rFonts w:hint="eastAsia" w:ascii="仿宋" w:hAnsi="仿宋" w:eastAsia="仿宋" w:cs="仿宋"/>
                <w:color w:val="auto"/>
                <w:szCs w:val="21"/>
              </w:rPr>
              <w:t>国有企业和行政事业单位土地、未确定使用权人国有建设用地以及国有林场专项清查成果数据融合，从资产分布、用途、价值、权属等多个角度对专项清查成果进行统计，与现有自然资源管理数据进行叠加分析，掌握国有存量土地资产分布和利用特点</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提取各单位填报的土地资产存在的问题，对问题进行分析、分类和整理，聚焦重点和难点，分析原因。结合我市低效用地盘整成果，</w:t>
            </w:r>
            <w:r>
              <w:rPr>
                <w:rFonts w:hint="eastAsia" w:ascii="仿宋" w:hAnsi="仿宋" w:eastAsia="仿宋" w:cs="仿宋"/>
                <w:color w:val="auto"/>
                <w:szCs w:val="21"/>
              </w:rPr>
              <w:t>形成可盘活利用国有存量土地资产数据成果。</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专题五：自然资源资产数据库更新</w:t>
            </w:r>
          </w:p>
          <w:p>
            <w:pPr>
              <w:ind w:firstLine="420" w:firstLineChars="200"/>
              <w:rPr>
                <w:rFonts w:hint="default" w:ascii="CESI仿宋-GB2312" w:hAnsi="CESI仿宋-GB2312" w:eastAsia="CESI仿宋-GB2312" w:cs="CESI仿宋-GB2312"/>
                <w:color w:val="auto"/>
                <w:szCs w:val="21"/>
                <w:lang w:val="en-US"/>
              </w:rPr>
            </w:pPr>
            <w:r>
              <w:rPr>
                <w:rFonts w:hint="eastAsia" w:ascii="仿宋" w:hAnsi="仿宋" w:eastAsia="仿宋" w:cs="仿宋"/>
                <w:color w:val="auto"/>
                <w:szCs w:val="21"/>
              </w:rPr>
              <w:t>根据</w:t>
            </w:r>
            <w:r>
              <w:rPr>
                <w:rFonts w:hint="eastAsia" w:ascii="仿宋" w:hAnsi="仿宋" w:eastAsia="仿宋" w:cs="仿宋"/>
                <w:color w:val="auto"/>
                <w:szCs w:val="21"/>
                <w:lang w:val="en-US" w:eastAsia="zh-CN"/>
              </w:rPr>
              <w:t>土地、森林、海洋等7类自然资源资产清查统计与评估核算结果，通过空间和非空间表达方式，</w:t>
            </w:r>
            <w:r>
              <w:rPr>
                <w:rFonts w:hint="eastAsia" w:ascii="仿宋" w:hAnsi="仿宋" w:eastAsia="仿宋" w:cs="仿宋"/>
                <w:color w:val="auto"/>
                <w:szCs w:val="21"/>
              </w:rPr>
              <w:t>汇总、整理</w:t>
            </w:r>
            <w:r>
              <w:rPr>
                <w:rFonts w:hint="eastAsia" w:ascii="仿宋" w:hAnsi="仿宋" w:eastAsia="仿宋" w:cs="仿宋"/>
                <w:color w:val="auto"/>
                <w:szCs w:val="21"/>
                <w:lang w:val="en-US" w:eastAsia="zh-CN"/>
              </w:rPr>
              <w:t>形成每类自然资源的固定格式和样式的核算成果，进而制作相应清查时点的</w:t>
            </w:r>
            <w:r>
              <w:rPr>
                <w:rFonts w:hint="eastAsia" w:ascii="仿宋" w:hAnsi="仿宋" w:eastAsia="仿宋" w:cs="仿宋"/>
                <w:color w:val="auto"/>
                <w:szCs w:val="21"/>
              </w:rPr>
              <w:t>自然资源资产文档、图集、报表及</w:t>
            </w:r>
            <w:r>
              <w:rPr>
                <w:rFonts w:hint="eastAsia" w:ascii="仿宋" w:hAnsi="仿宋" w:eastAsia="仿宋" w:cs="仿宋"/>
                <w:color w:val="auto"/>
                <w:szCs w:val="21"/>
                <w:lang w:val="en-US" w:eastAsia="zh-CN"/>
              </w:rPr>
              <w:t>数据库</w:t>
            </w:r>
            <w:r>
              <w:rPr>
                <w:rFonts w:hint="eastAsia" w:ascii="仿宋" w:hAnsi="仿宋" w:eastAsia="仿宋" w:cs="仿宋"/>
                <w:color w:val="auto"/>
                <w:szCs w:val="21"/>
              </w:rPr>
              <w:t>，更新自然资源资产数据库。</w:t>
            </w:r>
            <w:r>
              <w:rPr>
                <w:rFonts w:hint="eastAsia" w:ascii="仿宋" w:hAnsi="仿宋" w:eastAsia="仿宋" w:cs="仿宋"/>
                <w:color w:val="auto"/>
                <w:szCs w:val="21"/>
                <w:lang w:val="en-US" w:eastAsia="zh-CN"/>
              </w:rPr>
              <w:t>根据优化完善后的评估核算方法，修改权益管理信息平台核算功能，通过测试并发布使用。制作数据成果，更新至信息平台“一张图”功能数据，丰富完善信息平台数据集。</w:t>
            </w:r>
          </w:p>
          <w:p>
            <w:pPr>
              <w:numPr>
                <w:ilvl w:val="0"/>
                <w:numId w:val="1"/>
              </w:num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成果要求：</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（一）《2025年深圳市全民所有自然资源资产变更清查核算（不含深汕特别合作区）报告》（纸质版，电子版DOC格式），电子1份、纸质3份；</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（二）2025年深圳市海洋自然资源数据采集成果（电子版DOC格式、Excel格式、GIS格式），电子1份；</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（三）2025年深圳市全民所有自然资源资产变更清查核算（不含深汕特别合作区）统计表（电子版Excel格式），电子1份；</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（四）2025年深圳市全民所有自然资源资产变更清查核算（不含深汕特别合作区）图集（电子版JPG格式），电子1份；</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（五）2025年深圳市全民所有自然资源资产变更清查核算（不含深汕特别合作区）数据库（电子版GIS格式），电子1份；</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（六）2025年深圳市（不含深汕特别合作区）全民所有自然资源资产负债</w:t>
            </w:r>
            <w:r>
              <w:rPr>
                <w:rFonts w:hint="eastAsia" w:ascii="仿宋" w:hAnsi="仿宋" w:eastAsia="仿宋" w:cs="仿宋"/>
                <w:color w:val="auto"/>
                <w:szCs w:val="21"/>
                <w:lang w:val="en-US" w:eastAsia="zh-CN"/>
              </w:rPr>
              <w:t>统计</w:t>
            </w:r>
            <w:r>
              <w:rPr>
                <w:rFonts w:hint="eastAsia" w:ascii="仿宋" w:hAnsi="仿宋" w:eastAsia="仿宋" w:cs="仿宋"/>
                <w:color w:val="auto"/>
                <w:szCs w:val="21"/>
              </w:rPr>
              <w:t>表（电子版Excel格式），电子</w:t>
            </w:r>
            <w:r>
              <w:rPr>
                <w:rFonts w:hint="eastAsia" w:ascii="仿宋" w:hAnsi="仿宋" w:eastAsia="仿宋" w:cs="仿宋"/>
                <w:color w:val="auto"/>
                <w:szCs w:val="21"/>
                <w:lang w:val="en-US" w:eastAsia="zh-CN"/>
              </w:rPr>
              <w:t>1</w:t>
            </w:r>
            <w:r>
              <w:rPr>
                <w:rFonts w:hint="eastAsia" w:ascii="仿宋" w:hAnsi="仿宋" w:eastAsia="仿宋" w:cs="仿宋"/>
                <w:color w:val="auto"/>
                <w:szCs w:val="21"/>
              </w:rPr>
              <w:t>份；</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（七）根据自然资源部或广东省自然资源厅当年度清查相关工作安排，形成符合汇交要求的工作成果（电子版Excel格式、GIS格式、DOC格式、JPG格式、PDF格式），电子1份。</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项目成果应通过深圳市规划和自然资源局专题会审查及验收。项目成果归档时应符合深圳市规划和自然资源局相关要求。</w:t>
            </w:r>
          </w:p>
          <w:p>
            <w:pPr>
              <w:numPr>
                <w:ilvl w:val="255"/>
                <w:numId w:val="0"/>
              </w:numPr>
              <w:ind w:firstLine="420" w:firstLineChars="200"/>
              <w:rPr>
                <w:rFonts w:hint="eastAsia" w:ascii="仿宋" w:hAnsi="仿宋" w:eastAsia="仿宋" w:cs="仿宋"/>
                <w:b/>
                <w:bCs/>
                <w:color w:val="auto"/>
                <w:szCs w:val="21"/>
              </w:rPr>
            </w:pPr>
            <w:r>
              <w:rPr>
                <w:rFonts w:hint="eastAsia" w:ascii="方正仿宋_GB2312" w:hAnsi="方正仿宋_GB2312" w:eastAsia="方正仿宋_GB2312" w:cs="方正仿宋_GB2312"/>
                <w:color w:val="auto"/>
                <w:szCs w:val="21"/>
              </w:rPr>
              <w:t>三、人员安排</w:t>
            </w:r>
          </w:p>
          <w:p>
            <w:pPr>
              <w:numPr>
                <w:ilvl w:val="0"/>
                <w:numId w:val="2"/>
              </w:numPr>
              <w:rPr>
                <w:rFonts w:hint="eastAsia" w:ascii="仿宋" w:hAnsi="仿宋" w:eastAsia="仿宋" w:cs="仿宋"/>
                <w:color w:val="auto"/>
                <w:szCs w:val="21"/>
              </w:rPr>
            </w:pPr>
            <w:r>
              <w:rPr>
                <w:rFonts w:hint="eastAsia" w:ascii="仿宋" w:hAnsi="仿宋" w:eastAsia="仿宋" w:cs="仿宋"/>
                <w:color w:val="auto"/>
                <w:szCs w:val="21"/>
              </w:rPr>
              <w:t>中标人必须独立设置项目组，有固定的项目负责人和联系人。</w:t>
            </w:r>
          </w:p>
          <w:p>
            <w:pPr>
              <w:numPr>
                <w:ilvl w:val="0"/>
                <w:numId w:val="2"/>
              </w:numPr>
              <w:rPr>
                <w:rFonts w:hint="eastAsia" w:ascii="仿宋" w:hAnsi="仿宋" w:eastAsia="仿宋" w:cs="仿宋"/>
                <w:color w:val="auto"/>
                <w:szCs w:val="21"/>
              </w:rPr>
            </w:pPr>
            <w:r>
              <w:rPr>
                <w:rFonts w:hint="eastAsia" w:ascii="仿宋" w:hAnsi="仿宋" w:eastAsia="仿宋" w:cs="仿宋"/>
                <w:color w:val="auto"/>
                <w:szCs w:val="21"/>
              </w:rPr>
              <w:t>项目负责人需具有自然资源行业管理或研究经验。</w:t>
            </w:r>
          </w:p>
          <w:p>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项目团队成员应不少于10人（包括项目负责人），</w:t>
            </w:r>
            <w:r>
              <w:rPr>
                <w:rFonts w:hint="eastAsia" w:ascii="仿宋" w:hAnsi="仿宋" w:eastAsia="仿宋"/>
                <w:color w:val="auto"/>
                <w:szCs w:val="21"/>
              </w:rPr>
              <w:t>其中博士或高级工程师不少于8人，主要成员应当具备</w:t>
            </w:r>
            <w:r>
              <w:rPr>
                <w:rFonts w:hint="eastAsia" w:ascii="仿宋" w:hAnsi="仿宋" w:eastAsia="仿宋" w:cs="仿宋"/>
                <w:color w:val="auto"/>
                <w:szCs w:val="21"/>
              </w:rPr>
              <w:t>专业包括经济学、环境科学、地理信息系统、自然地理学等。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商务需求</w:t>
            </w:r>
          </w:p>
        </w:tc>
        <w:tc>
          <w:tcPr>
            <w:tcW w:w="7407" w:type="dxa"/>
            <w:gridSpan w:val="4"/>
          </w:tcPr>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一、项目概况</w:t>
            </w:r>
          </w:p>
          <w:p>
            <w:pPr>
              <w:pStyle w:val="13"/>
              <w:ind w:firstLineChars="200"/>
              <w:rPr>
                <w:rFonts w:hint="eastAsia" w:ascii="CESI仿宋-GB2312" w:hAnsi="CESI仿宋-GB2312" w:eastAsia="CESI仿宋-GB2312" w:cs="CESI仿宋-GB2312"/>
                <w:color w:val="auto"/>
              </w:rPr>
            </w:pPr>
            <w:r>
              <w:rPr>
                <w:rFonts w:hint="eastAsia" w:ascii="仿宋" w:hAnsi="仿宋" w:eastAsia="仿宋" w:cs="仿宋"/>
                <w:color w:val="auto"/>
              </w:rPr>
              <w:t>开展2025年度自然资源资产变更清查工作，是深入贯彻落实党中央、国务院关于自然资源资产管理重大决策部署和部、省、市的工作任务，有助于摸清全民所有自然资源资产的家底，</w:t>
            </w:r>
            <w:r>
              <w:rPr>
                <w:rFonts w:ascii="仿宋" w:hAnsi="仿宋" w:eastAsia="仿宋" w:cs="仿宋"/>
                <w:color w:val="auto"/>
              </w:rPr>
              <w:t>‌</w:t>
            </w:r>
            <w:r>
              <w:rPr>
                <w:rFonts w:hint="eastAsia" w:ascii="仿宋" w:hAnsi="仿宋" w:eastAsia="仿宋" w:cs="仿宋"/>
                <w:color w:val="auto"/>
              </w:rPr>
              <w:t>是践行“绿水青山就是金山银山”理念，科学显化自然资源资产价值的重要支撑工作，有利于动态掌握全市自然资源资产变化情况，为科学推进自然资源资产产权制度改革、维护资产所有者权益提供坚实数据支撑。</w:t>
            </w:r>
          </w:p>
          <w:p>
            <w:pPr>
              <w:ind w:left="420" w:leftChars="200"/>
              <w:jc w:val="left"/>
              <w:rPr>
                <w:rFonts w:hint="eastAsia" w:ascii="仿宋" w:hAnsi="仿宋" w:eastAsia="仿宋" w:cs="仿宋"/>
                <w:color w:val="auto"/>
                <w:szCs w:val="21"/>
              </w:rPr>
            </w:pPr>
            <w:r>
              <w:rPr>
                <w:rFonts w:hint="eastAsia" w:ascii="仿宋" w:hAnsi="仿宋" w:eastAsia="仿宋" w:cs="仿宋"/>
                <w:color w:val="auto"/>
                <w:szCs w:val="21"/>
              </w:rPr>
              <w:t>二、项目所依据及参考的标准</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(一)《关于统筹推进自然资源资产产权制度改革的指导意见》</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(二)《关于建立健全生态产品价值实现机制的意见》</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(三)《自然资源部办公厅关于开展国有土地资源资产核算项目试点工作的函》（自然资办函〔2019〕939号）</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(四)《自然资源部关于全面开展全民所有自然资源资产清查工作的通知》（自然资发〔2024〕127号）</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(五)《广东省自然资源厅关于印发&lt;广东省全民所有自然资源资产清查深化试点三年行动实施方案&gt;的通知》（粤自然资函〔2023〕506号）</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val="en-US" w:eastAsia="zh-CN"/>
              </w:rPr>
              <w:t>六</w:t>
            </w:r>
            <w:r>
              <w:rPr>
                <w:rFonts w:hint="eastAsia" w:ascii="CESI仿宋-GB2312" w:hAnsi="CESI仿宋-GB2312" w:eastAsia="CESI仿宋-GB2312" w:cs="CESI仿宋-GB2312"/>
                <w:color w:val="auto"/>
                <w:szCs w:val="21"/>
              </w:rPr>
              <w:t>)《广东省自然资源厅 广东省生</w:t>
            </w:r>
            <w:r>
              <w:rPr>
                <w:rFonts w:hint="eastAsia" w:ascii="CESI仿宋-GB2312" w:hAnsi="CESI仿宋-GB2312" w:eastAsia="CESI仿宋-GB2312" w:cs="CESI仿宋-GB2312"/>
                <w:color w:val="auto"/>
                <w:szCs w:val="21"/>
                <w:lang w:eastAsia="zh-CN"/>
              </w:rPr>
              <w:t>态</w:t>
            </w:r>
            <w:r>
              <w:rPr>
                <w:rFonts w:hint="eastAsia" w:ascii="CESI仿宋-GB2312" w:hAnsi="CESI仿宋-GB2312" w:eastAsia="CESI仿宋-GB2312" w:cs="CESI仿宋-GB2312"/>
                <w:color w:val="auto"/>
                <w:szCs w:val="21"/>
              </w:rPr>
              <w:t>环境厅 广东省水利厅 广东省农业农村厅 广东省林业局关于印发&lt;广东省国有自然资源资产管理情况报告制度&gt;的通知》（粤自然资函〔2023〕1074号）</w:t>
            </w:r>
          </w:p>
          <w:p>
            <w:pPr>
              <w:ind w:firstLine="420" w:firstLineChars="200"/>
              <w:rPr>
                <w:rFonts w:hint="eastAsia" w:ascii="CESI仿宋-GB2312" w:hAnsi="CESI仿宋-GB2312" w:eastAsia="CESI仿宋-GB2312" w:cs="CESI仿宋-GB2312"/>
                <w:color w:val="auto"/>
                <w:szCs w:val="21"/>
                <w:lang w:eastAsia="zh-CN"/>
              </w:rPr>
            </w:pP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eastAsia="zh-CN"/>
              </w:rPr>
              <w:t>七</w:t>
            </w: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eastAsia="zh-CN"/>
              </w:rPr>
              <w:t>《市规划和自然资源局</w:t>
            </w:r>
            <w:r>
              <w:rPr>
                <w:rFonts w:hint="eastAsia" w:ascii="CESI仿宋-GB2312" w:hAnsi="CESI仿宋-GB2312" w:eastAsia="CESI仿宋-GB2312" w:cs="CESI仿宋-GB2312"/>
                <w:color w:val="auto"/>
                <w:szCs w:val="21"/>
                <w:lang w:val="en-US" w:eastAsia="zh-CN"/>
              </w:rPr>
              <w:t xml:space="preserve"> 市海洋发展局关于全面开展全民所有自然资源资产清查工作的通知</w:t>
            </w:r>
            <w:r>
              <w:rPr>
                <w:rFonts w:hint="eastAsia" w:ascii="CESI仿宋-GB2312" w:hAnsi="CESI仿宋-GB2312" w:eastAsia="CESI仿宋-GB2312" w:cs="CESI仿宋-GB2312"/>
                <w:color w:val="auto"/>
                <w:szCs w:val="21"/>
                <w:lang w:eastAsia="zh-CN"/>
              </w:rPr>
              <w:t>》（深规划资源发</w:t>
            </w: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val="en-US" w:eastAsia="zh-CN"/>
              </w:rPr>
              <w:t>2024</w:t>
            </w: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val="en-US" w:eastAsia="zh-CN"/>
              </w:rPr>
              <w:t>249号</w:t>
            </w:r>
            <w:r>
              <w:rPr>
                <w:rFonts w:hint="eastAsia" w:ascii="CESI仿宋-GB2312" w:hAnsi="CESI仿宋-GB2312" w:eastAsia="CESI仿宋-GB2312" w:cs="CESI仿宋-GB2312"/>
                <w:color w:val="auto"/>
                <w:szCs w:val="21"/>
                <w:lang w:eastAsia="zh-CN"/>
              </w:rPr>
              <w:t>）</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eastAsia="zh-CN"/>
              </w:rPr>
              <w:t>八</w:t>
            </w:r>
            <w:r>
              <w:rPr>
                <w:rFonts w:hint="eastAsia" w:ascii="CESI仿宋-GB2312" w:hAnsi="CESI仿宋-GB2312" w:eastAsia="CESI仿宋-GB2312" w:cs="CESI仿宋-GB2312"/>
                <w:color w:val="auto"/>
                <w:szCs w:val="21"/>
              </w:rPr>
              <w:t>)《深圳市建设中国特色社会主义先行示范区的行动方案（2019-2025年）》</w:t>
            </w:r>
          </w:p>
          <w:p>
            <w:pPr>
              <w:ind w:firstLine="420" w:firstLineChars="200"/>
              <w:rPr>
                <w:rFonts w:hint="eastAsia" w:ascii="CESI仿宋-GB2312" w:hAnsi="CESI仿宋-GB2312" w:eastAsia="CESI仿宋-GB2312" w:cs="CESI仿宋-GB2312"/>
                <w:color w:val="auto"/>
                <w:szCs w:val="21"/>
              </w:rPr>
            </w:pPr>
            <w:r>
              <w:rPr>
                <w:rFonts w:hint="eastAsia" w:ascii="CESI仿宋-GB2312" w:hAnsi="CESI仿宋-GB2312" w:eastAsia="CESI仿宋-GB2312" w:cs="CESI仿宋-GB2312"/>
                <w:color w:val="auto"/>
                <w:szCs w:val="21"/>
              </w:rPr>
              <w:t>(</w:t>
            </w:r>
            <w:r>
              <w:rPr>
                <w:rFonts w:hint="eastAsia" w:ascii="CESI仿宋-GB2312" w:hAnsi="CESI仿宋-GB2312" w:eastAsia="CESI仿宋-GB2312" w:cs="CESI仿宋-GB2312"/>
                <w:color w:val="auto"/>
                <w:szCs w:val="21"/>
                <w:lang w:eastAsia="zh-CN"/>
              </w:rPr>
              <w:t>九</w:t>
            </w:r>
            <w:r>
              <w:rPr>
                <w:rFonts w:hint="eastAsia" w:ascii="CESI仿宋-GB2312" w:hAnsi="CESI仿宋-GB2312" w:eastAsia="CESI仿宋-GB2312" w:cs="CESI仿宋-GB2312"/>
                <w:color w:val="auto"/>
                <w:szCs w:val="21"/>
              </w:rPr>
              <w:t>)《深圳经济特区海域使用管理条例》（2019年）</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三、项目采购范围</w:t>
            </w:r>
          </w:p>
          <w:p>
            <w:pPr>
              <w:ind w:firstLine="420" w:firstLineChars="200"/>
              <w:rPr>
                <w:color w:val="auto"/>
              </w:rPr>
            </w:pPr>
            <w:r>
              <w:rPr>
                <w:rFonts w:hint="eastAsia" w:ascii="仿宋" w:hAnsi="仿宋" w:eastAsia="仿宋"/>
                <w:color w:val="auto"/>
              </w:rPr>
              <w:t>服务地点：深圳市</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四、项目服务期限</w:t>
            </w:r>
          </w:p>
          <w:p>
            <w:pPr>
              <w:ind w:firstLine="420" w:firstLineChars="200"/>
              <w:rPr>
                <w:rFonts w:hint="eastAsia" w:ascii="仿宋" w:hAnsi="仿宋" w:eastAsia="仿宋" w:cs="仿宋"/>
                <w:color w:val="auto"/>
                <w:szCs w:val="21"/>
              </w:rPr>
            </w:pPr>
            <w:r>
              <w:rPr>
                <w:rFonts w:hint="eastAsia" w:ascii="仿宋" w:hAnsi="仿宋" w:eastAsia="仿宋"/>
                <w:color w:val="auto"/>
              </w:rPr>
              <w:t>项目服务期限自合同签订之日起一年。遇有特殊情况，经甲乙双方协商后服务期限可适当延长。</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五、组织实施要求</w:t>
            </w:r>
          </w:p>
          <w:p>
            <w:pPr>
              <w:ind w:firstLine="420" w:firstLineChars="200"/>
              <w:jc w:val="left"/>
              <w:rPr>
                <w:rFonts w:hint="eastAsia" w:ascii="仿宋" w:hAnsi="仿宋" w:eastAsia="仿宋" w:cs="仿宋"/>
                <w:color w:val="auto"/>
                <w:szCs w:val="21"/>
              </w:rPr>
            </w:pPr>
            <w:r>
              <w:rPr>
                <w:rFonts w:hint="eastAsia" w:ascii="仿宋" w:hAnsi="仿宋" w:eastAsia="仿宋"/>
                <w:color w:val="auto"/>
                <w:szCs w:val="21"/>
              </w:rPr>
              <w:t>为确保本次项目招标工作管理规范、实施有力，中标人应成立项目组，按采购人要求完成项目成果。中标人须配合采购人组织、举办本项目各工作阶段的汇报、审查等工作，并负责解答相关的问题。</w:t>
            </w:r>
          </w:p>
          <w:p>
            <w:pPr>
              <w:ind w:left="420" w:leftChars="200"/>
              <w:jc w:val="left"/>
              <w:rPr>
                <w:rFonts w:hint="eastAsia" w:ascii="仿宋" w:hAnsi="仿宋" w:eastAsia="仿宋" w:cs="仿宋"/>
                <w:color w:val="auto"/>
                <w:szCs w:val="21"/>
              </w:rPr>
            </w:pPr>
            <w:r>
              <w:rPr>
                <w:rFonts w:hint="eastAsia" w:ascii="仿宋" w:hAnsi="仿宋" w:eastAsia="仿宋" w:cs="仿宋"/>
                <w:color w:val="auto"/>
                <w:szCs w:val="21"/>
              </w:rPr>
              <w:t>六、售后服务内容、要求和期限</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（一）售后服务期限为项目最终成果通过采购方专题会审查后一年；</w:t>
            </w:r>
          </w:p>
          <w:p>
            <w:pPr>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（二）在售后服务期限内提供相关咨询、协调、项目审查和报告更新等技术支持；</w:t>
            </w:r>
          </w:p>
          <w:p>
            <w:pPr>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szCs w:val="21"/>
              </w:rPr>
              <w:t>（三）安排专人负责售后技术支持，并提供其联系手机、电话、传真、email；如人员需要调整应及时通知采购人。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其他要求</w:t>
            </w:r>
          </w:p>
        </w:tc>
        <w:tc>
          <w:tcPr>
            <w:tcW w:w="7407" w:type="dxa"/>
            <w:gridSpan w:val="4"/>
          </w:tcPr>
          <w:p>
            <w:pPr>
              <w:jc w:val="left"/>
              <w:rPr>
                <w:rFonts w:hint="eastAsia" w:ascii="仿宋" w:hAnsi="仿宋" w:eastAsia="仿宋" w:cs="仿宋"/>
                <w:color w:val="auto"/>
                <w:kern w:val="0"/>
                <w:szCs w:val="21"/>
              </w:rPr>
            </w:pPr>
            <w:r>
              <w:rPr>
                <w:rFonts w:hint="eastAsia" w:ascii="仿宋" w:hAnsi="仿宋" w:eastAsia="仿宋" w:cs="仿宋"/>
                <w:b/>
                <w:color w:val="auto"/>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hint="eastAsia" w:ascii="仿宋" w:hAnsi="仿宋" w:eastAsia="仿宋" w:cs="仿宋"/>
                <w:color w:val="auto"/>
                <w:kern w:val="0"/>
                <w:szCs w:val="21"/>
              </w:rPr>
            </w:pPr>
          </w:p>
        </w:tc>
        <w:tc>
          <w:tcPr>
            <w:tcW w:w="850" w:type="dxa"/>
            <w:vMerge w:val="restart"/>
          </w:tcPr>
          <w:p>
            <w:pPr>
              <w:jc w:val="left"/>
              <w:rPr>
                <w:rFonts w:hint="eastAsia" w:ascii="仿宋" w:hAnsi="仿宋" w:eastAsia="仿宋" w:cs="仿宋"/>
                <w:bCs/>
                <w:color w:val="auto"/>
                <w:kern w:val="0"/>
                <w:szCs w:val="21"/>
              </w:rPr>
            </w:pPr>
            <w:r>
              <w:rPr>
                <w:rFonts w:hint="eastAsia" w:ascii="仿宋" w:hAnsi="仿宋" w:eastAsia="仿宋" w:cs="仿宋"/>
                <w:bCs/>
                <w:color w:val="auto"/>
                <w:szCs w:val="21"/>
              </w:rPr>
              <w:t>特定供应商</w:t>
            </w:r>
          </w:p>
        </w:tc>
        <w:tc>
          <w:tcPr>
            <w:tcW w:w="6557" w:type="dxa"/>
            <w:gridSpan w:val="3"/>
          </w:tcPr>
          <w:p>
            <w:pPr>
              <w:jc w:val="left"/>
              <w:rPr>
                <w:rFonts w:hint="eastAsia" w:ascii="仿宋" w:hAnsi="仿宋" w:eastAsia="仿宋" w:cs="仿宋"/>
                <w:bCs/>
                <w:color w:val="auto"/>
                <w:kern w:val="0"/>
                <w:szCs w:val="21"/>
              </w:rPr>
            </w:pPr>
            <w:r>
              <w:rPr>
                <w:rFonts w:hint="eastAsia" w:ascii="仿宋" w:hAnsi="仿宋" w:eastAsia="仿宋" w:cs="仿宋"/>
                <w:bCs/>
                <w:color w:val="auto"/>
                <w:szCs w:val="21"/>
              </w:rPr>
              <w:t>单位名称：</w:t>
            </w:r>
            <w:r>
              <w:rPr>
                <w:rFonts w:hint="eastAsia" w:ascii="仿宋" w:hAnsi="仿宋" w:eastAsia="仿宋" w:cs="仿宋"/>
                <w:bCs/>
                <w:color w:val="auto"/>
                <w:szCs w:val="21"/>
                <w:lang w:bidi="ar"/>
              </w:rPr>
              <w:t>深圳市自然资源和不动产评估发展研究中心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hint="eastAsia" w:ascii="仿宋" w:hAnsi="仿宋" w:eastAsia="仿宋" w:cs="仿宋"/>
                <w:color w:val="auto"/>
                <w:kern w:val="0"/>
                <w:szCs w:val="21"/>
              </w:rPr>
            </w:pPr>
          </w:p>
        </w:tc>
        <w:tc>
          <w:tcPr>
            <w:tcW w:w="850" w:type="dxa"/>
            <w:vMerge w:val="continue"/>
          </w:tcPr>
          <w:p>
            <w:pPr>
              <w:jc w:val="left"/>
              <w:rPr>
                <w:rFonts w:hint="eastAsia" w:ascii="仿宋" w:hAnsi="仿宋" w:eastAsia="仿宋" w:cs="仿宋"/>
                <w:bCs/>
                <w:color w:val="auto"/>
                <w:kern w:val="0"/>
                <w:szCs w:val="21"/>
              </w:rPr>
            </w:pPr>
          </w:p>
        </w:tc>
        <w:tc>
          <w:tcPr>
            <w:tcW w:w="6557" w:type="dxa"/>
            <w:gridSpan w:val="3"/>
          </w:tcPr>
          <w:p>
            <w:pPr>
              <w:jc w:val="left"/>
              <w:rPr>
                <w:rFonts w:hint="eastAsia" w:ascii="仿宋" w:hAnsi="仿宋" w:eastAsia="仿宋" w:cs="仿宋"/>
                <w:bCs/>
                <w:color w:val="auto"/>
                <w:kern w:val="0"/>
                <w:szCs w:val="21"/>
              </w:rPr>
            </w:pPr>
            <w:r>
              <w:rPr>
                <w:rFonts w:hint="eastAsia" w:ascii="仿宋" w:hAnsi="仿宋" w:eastAsia="仿宋" w:cs="仿宋"/>
                <w:bCs/>
                <w:color w:val="auto"/>
                <w:szCs w:val="21"/>
              </w:rPr>
              <w:t>项目经办人：项前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hint="eastAsia" w:ascii="仿宋" w:hAnsi="仿宋" w:eastAsia="仿宋" w:cs="仿宋"/>
                <w:color w:val="auto"/>
                <w:kern w:val="0"/>
                <w:szCs w:val="21"/>
              </w:rPr>
            </w:pPr>
          </w:p>
        </w:tc>
        <w:tc>
          <w:tcPr>
            <w:tcW w:w="850" w:type="dxa"/>
            <w:vMerge w:val="continue"/>
          </w:tcPr>
          <w:p>
            <w:pPr>
              <w:jc w:val="left"/>
              <w:rPr>
                <w:rFonts w:hint="eastAsia" w:ascii="仿宋" w:hAnsi="仿宋" w:eastAsia="仿宋" w:cs="仿宋"/>
                <w:bCs/>
                <w:color w:val="auto"/>
                <w:kern w:val="0"/>
                <w:szCs w:val="21"/>
              </w:rPr>
            </w:pPr>
          </w:p>
        </w:tc>
        <w:tc>
          <w:tcPr>
            <w:tcW w:w="6557" w:type="dxa"/>
            <w:gridSpan w:val="3"/>
          </w:tcPr>
          <w:p>
            <w:pPr>
              <w:jc w:val="left"/>
              <w:rPr>
                <w:rFonts w:hint="eastAsia" w:ascii="仿宋" w:hAnsi="仿宋" w:eastAsia="仿宋" w:cs="仿宋"/>
                <w:bCs/>
                <w:color w:val="auto"/>
                <w:kern w:val="0"/>
                <w:szCs w:val="21"/>
              </w:rPr>
            </w:pPr>
            <w:r>
              <w:rPr>
                <w:rFonts w:hint="eastAsia" w:ascii="仿宋" w:hAnsi="仿宋" w:eastAsia="仿宋" w:cs="仿宋"/>
                <w:bCs/>
                <w:color w:val="auto"/>
                <w:szCs w:val="21"/>
              </w:rPr>
              <w:t>联系电话：</w:t>
            </w:r>
            <w:r>
              <w:rPr>
                <w:rFonts w:hint="eastAsia" w:ascii="仿宋" w:hAnsi="仿宋" w:eastAsia="仿宋" w:cs="仿宋"/>
                <w:bCs/>
                <w:color w:val="auto"/>
                <w:szCs w:val="21"/>
                <w:lang w:bidi="ar"/>
              </w:rPr>
              <w:t>0755-23930681</w:t>
            </w:r>
          </w:p>
        </w:tc>
      </w:tr>
    </w:tbl>
    <w:p>
      <w:pPr>
        <w:rPr>
          <w:rFonts w:hint="eastAsia" w:ascii="仿宋_GB2312" w:hAnsi="仿宋_GB2312" w:eastAsia="仿宋_GB2312" w:cs="仿宋_GB2312"/>
          <w:bCs/>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3D030"/>
    <w:multiLevelType w:val="singleLevel"/>
    <w:tmpl w:val="85C3D030"/>
    <w:lvl w:ilvl="0" w:tentative="0">
      <w:start w:val="1"/>
      <w:numFmt w:val="chineseCounting"/>
      <w:suff w:val="nothing"/>
      <w:lvlText w:val="（%1）"/>
      <w:lvlJc w:val="left"/>
      <w:pPr>
        <w:ind w:left="0" w:firstLine="420"/>
      </w:pPr>
      <w:rPr>
        <w:rFonts w:hint="eastAsia" w:ascii="方正仿宋_GB2312" w:hAnsi="方正仿宋_GB2312" w:eastAsia="方正仿宋_GB2312" w:cs="方正仿宋_GB2312"/>
      </w:rPr>
    </w:lvl>
  </w:abstractNum>
  <w:abstractNum w:abstractNumId="1">
    <w:nsid w:val="9F2201BA"/>
    <w:multiLevelType w:val="singleLevel"/>
    <w:tmpl w:val="9F2201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D2"/>
    <w:rsid w:val="0011073D"/>
    <w:rsid w:val="00B41BB6"/>
    <w:rsid w:val="00C34FD2"/>
    <w:rsid w:val="00C907CA"/>
    <w:rsid w:val="010E1D64"/>
    <w:rsid w:val="018C4675"/>
    <w:rsid w:val="0283312D"/>
    <w:rsid w:val="02F94AB6"/>
    <w:rsid w:val="06C254FC"/>
    <w:rsid w:val="078E583C"/>
    <w:rsid w:val="088364A1"/>
    <w:rsid w:val="08EC754D"/>
    <w:rsid w:val="0AD41965"/>
    <w:rsid w:val="0D88727D"/>
    <w:rsid w:val="0EB9294A"/>
    <w:rsid w:val="0FD0094D"/>
    <w:rsid w:val="1220511F"/>
    <w:rsid w:val="12E06EF6"/>
    <w:rsid w:val="12E5247A"/>
    <w:rsid w:val="13E238C1"/>
    <w:rsid w:val="16B4647C"/>
    <w:rsid w:val="1B210877"/>
    <w:rsid w:val="1B28036A"/>
    <w:rsid w:val="1D303373"/>
    <w:rsid w:val="1DAD2B1B"/>
    <w:rsid w:val="1DB12448"/>
    <w:rsid w:val="1DC35214"/>
    <w:rsid w:val="205360FA"/>
    <w:rsid w:val="2139508A"/>
    <w:rsid w:val="217A2058"/>
    <w:rsid w:val="21A04662"/>
    <w:rsid w:val="220725E7"/>
    <w:rsid w:val="234F30FB"/>
    <w:rsid w:val="25467C25"/>
    <w:rsid w:val="25EA3A6E"/>
    <w:rsid w:val="262464B4"/>
    <w:rsid w:val="29D1509A"/>
    <w:rsid w:val="2B047618"/>
    <w:rsid w:val="2B362BB5"/>
    <w:rsid w:val="2DDB4C35"/>
    <w:rsid w:val="2E8E286F"/>
    <w:rsid w:val="33D9A9A1"/>
    <w:rsid w:val="3426108D"/>
    <w:rsid w:val="36FD6C55"/>
    <w:rsid w:val="37B93B72"/>
    <w:rsid w:val="3B112C70"/>
    <w:rsid w:val="3B952C2C"/>
    <w:rsid w:val="3BFFA8D2"/>
    <w:rsid w:val="3CBB3962"/>
    <w:rsid w:val="3FBE66B3"/>
    <w:rsid w:val="40FD3067"/>
    <w:rsid w:val="4199594A"/>
    <w:rsid w:val="448C782B"/>
    <w:rsid w:val="458A58E3"/>
    <w:rsid w:val="49255691"/>
    <w:rsid w:val="4A410A06"/>
    <w:rsid w:val="4A67754C"/>
    <w:rsid w:val="4B341BFA"/>
    <w:rsid w:val="4BD35D91"/>
    <w:rsid w:val="4C8A387B"/>
    <w:rsid w:val="4E355961"/>
    <w:rsid w:val="4E4E79FB"/>
    <w:rsid w:val="508C7F06"/>
    <w:rsid w:val="52330ADB"/>
    <w:rsid w:val="53DF072C"/>
    <w:rsid w:val="56837B2A"/>
    <w:rsid w:val="569966BB"/>
    <w:rsid w:val="57882E88"/>
    <w:rsid w:val="58C91F0C"/>
    <w:rsid w:val="596B3BF6"/>
    <w:rsid w:val="5C6D3E4D"/>
    <w:rsid w:val="5C995B26"/>
    <w:rsid w:val="5DAA3B58"/>
    <w:rsid w:val="5E0205D8"/>
    <w:rsid w:val="5F2C207A"/>
    <w:rsid w:val="5F791CD1"/>
    <w:rsid w:val="61C204E9"/>
    <w:rsid w:val="629F3EDD"/>
    <w:rsid w:val="632C6D8E"/>
    <w:rsid w:val="634C5F07"/>
    <w:rsid w:val="65890DEE"/>
    <w:rsid w:val="67F814CD"/>
    <w:rsid w:val="68CC7354"/>
    <w:rsid w:val="68D75A1D"/>
    <w:rsid w:val="6CBB1678"/>
    <w:rsid w:val="6F3762D6"/>
    <w:rsid w:val="707F0686"/>
    <w:rsid w:val="719B785E"/>
    <w:rsid w:val="72477A02"/>
    <w:rsid w:val="7300375D"/>
    <w:rsid w:val="73F28060"/>
    <w:rsid w:val="74C701A5"/>
    <w:rsid w:val="77017FDE"/>
    <w:rsid w:val="7A3C53A3"/>
    <w:rsid w:val="7A7C5FE8"/>
    <w:rsid w:val="7CD36CCF"/>
    <w:rsid w:val="7EDA161E"/>
    <w:rsid w:val="7F1C4602"/>
    <w:rsid w:val="96FECF52"/>
    <w:rsid w:val="B52CC398"/>
    <w:rsid w:val="D7F78B42"/>
    <w:rsid w:val="E65FF959"/>
    <w:rsid w:val="E7FBE009"/>
    <w:rsid w:val="F1FF4768"/>
    <w:rsid w:val="F7DF5208"/>
    <w:rsid w:val="F7EEA83D"/>
    <w:rsid w:val="F89A3D84"/>
    <w:rsid w:val="FAFB3A02"/>
    <w:rsid w:val="FBAFCCC1"/>
    <w:rsid w:val="FFFF7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spacing w:after="160" w:line="259" w:lineRule="auto"/>
    </w:pPr>
    <w:rPr>
      <w:rFonts w:ascii="等线" w:hAnsi="等线" w:eastAsia="等线" w:cs="Times New Roman"/>
      <w:kern w:val="0"/>
      <w:sz w:val="22"/>
    </w:rPr>
  </w:style>
  <w:style w:type="paragraph" w:styleId="4">
    <w:name w:val="Body Text"/>
    <w:basedOn w:val="1"/>
    <w:next w:val="5"/>
    <w:qFormat/>
    <w:uiPriority w:val="0"/>
    <w:pPr>
      <w:spacing w:before="61"/>
      <w:ind w:left="102"/>
    </w:pPr>
    <w:rPr>
      <w:rFonts w:ascii="宋体" w:hAnsi="宋体" w:eastAsia="宋体"/>
      <w:kern w:val="0"/>
      <w:sz w:val="28"/>
      <w:szCs w:val="28"/>
      <w:lang w:eastAsia="en-US"/>
    </w:rPr>
  </w:style>
  <w:style w:type="paragraph" w:styleId="5">
    <w:name w:val="Title"/>
    <w:basedOn w:val="1"/>
    <w:next w:val="1"/>
    <w:qFormat/>
    <w:uiPriority w:val="0"/>
    <w:pPr>
      <w:spacing w:before="240" w:after="60"/>
      <w:jc w:val="center"/>
      <w:outlineLvl w:val="0"/>
    </w:pPr>
    <w:rPr>
      <w:rFonts w:ascii="Cambria" w:hAnsi="Cambria" w:eastAsia="宋体"/>
      <w:b/>
      <w:bCs/>
    </w:rPr>
  </w:style>
  <w:style w:type="paragraph" w:styleId="6">
    <w:name w:val="footnote text"/>
    <w:basedOn w:val="1"/>
    <w:qFormat/>
    <w:uiPriority w:val="0"/>
    <w:pPr>
      <w:snapToGrid w:val="0"/>
      <w:jc w:val="left"/>
    </w:pPr>
    <w:rPr>
      <w:sz w:val="18"/>
    </w:rPr>
  </w:style>
  <w:style w:type="paragraph" w:styleId="7">
    <w:name w:val="annotation subject"/>
    <w:basedOn w:val="3"/>
    <w:next w:val="3"/>
    <w:link w:val="17"/>
    <w:qFormat/>
    <w:uiPriority w:val="0"/>
    <w:pPr>
      <w:spacing w:after="0" w:line="240" w:lineRule="auto"/>
      <w:jc w:val="left"/>
    </w:pPr>
    <w:rPr>
      <w:rFonts w:asciiTheme="minorHAnsi" w:hAnsiTheme="minorHAnsi" w:eastAsiaTheme="minorEastAsia" w:cstheme="minorBidi"/>
      <w:b/>
      <w:bCs/>
      <w:kern w:val="2"/>
      <w:sz w:val="21"/>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13">
    <w:name w:val="列出段落2"/>
    <w:basedOn w:val="14"/>
    <w:unhideWhenUsed/>
    <w:qFormat/>
    <w:uiPriority w:val="99"/>
    <w:pPr>
      <w:ind w:firstLine="420"/>
    </w:pPr>
  </w:style>
  <w:style w:type="paragraph" w:customStyle="1" w:styleId="14">
    <w:name w:val="星耀正文"/>
    <w:basedOn w:val="1"/>
    <w:qFormat/>
    <w:uiPriority w:val="3"/>
    <w:pPr>
      <w:ind w:firstLine="422"/>
    </w:pPr>
    <w:rPr>
      <w:rFonts w:eastAsia="仿宋_GB2312" w:cs="宋体"/>
      <w:bCs/>
      <w:szCs w:val="21"/>
    </w:rPr>
  </w:style>
  <w:style w:type="paragraph" w:styleId="15">
    <w:name w:val="List Paragraph"/>
    <w:basedOn w:val="1"/>
    <w:qFormat/>
    <w:uiPriority w:val="34"/>
    <w:pPr>
      <w:ind w:firstLine="420" w:firstLineChars="200"/>
    </w:pPr>
  </w:style>
  <w:style w:type="character" w:customStyle="1" w:styleId="16">
    <w:name w:val="批注文字 字符"/>
    <w:basedOn w:val="9"/>
    <w:link w:val="3"/>
    <w:qFormat/>
    <w:uiPriority w:val="0"/>
    <w:rPr>
      <w:rFonts w:ascii="等线" w:hAnsi="等线" w:eastAsia="等线"/>
      <w:sz w:val="22"/>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5974</Words>
  <Characters>6178</Characters>
  <Lines>130</Lines>
  <Paragraphs>119</Paragraphs>
  <TotalTime>15</TotalTime>
  <ScaleCrop>false</ScaleCrop>
  <LinksUpToDate>false</LinksUpToDate>
  <CharactersWithSpaces>6191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2025-06-22T07:53:00Z</dcterms:created>
  <dc:creator>hongxh</dc:creator>
  <cp:lastModifiedBy>luofr</cp:lastModifiedBy>
  <cp:lastPrinted>2025-07-03T08:28:00Z</cp:lastPrinted>
  <dcterms:modified xsi:type="dcterms:W3CDTF">2025-07-17T11:31:52Z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3C072C0222054193B35C56D04343B43C_13</vt:lpwstr>
  </property>
  <property fmtid="{D5CDD505-2E9C-101B-9397-08002B2CF9AE}" pid="4" name="KSOTemplateDocerSaveRecord">
    <vt:lpwstr>eyJoZGlkIjoiZTQ4ODQwNThiYTg4YTBlNDhkZDRmNGNiNWM5NWE1YzAiLCJ1c2VySWQiOiIyMTI4NTk3NDMifQ==</vt:lpwstr>
  </property>
</Properties>
</file>