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sz w:val="32"/>
          <w:szCs w:val="32"/>
        </w:rPr>
      </w:pPr>
      <w:r>
        <w:rPr>
          <w:rFonts w:hint="eastAsia" w:ascii="黑体" w:hAnsi="黑体" w:eastAsia="黑体" w:cs="黑体"/>
          <w:b/>
          <w:sz w:val="44"/>
          <w:szCs w:val="44"/>
        </w:rPr>
        <w:t>《南山区总部用地及产业用地地价评估》采购需求文件（集中采购）</w:t>
      </w:r>
    </w:p>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ascii="黑体" w:hAnsi="黑体" w:eastAsia="黑体" w:cs="黑体"/>
          <w:b w:val="0"/>
          <w:bCs/>
          <w:sz w:val="40"/>
          <w:szCs w:val="40"/>
        </w:rPr>
      </w:pPr>
    </w:p>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黑体" w:hAnsi="黑体" w:eastAsia="黑体" w:cs="黑体"/>
          <w:b w:val="0"/>
          <w:bCs/>
          <w:sz w:val="40"/>
          <w:szCs w:val="40"/>
        </w:rPr>
      </w:pPr>
    </w:p>
    <w:tbl>
      <w:tblPr>
        <w:tblStyle w:val="21"/>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50"/>
        <w:gridCol w:w="2930"/>
        <w:gridCol w:w="1366"/>
        <w:gridCol w:w="2225"/>
        <w:gridCol w:w="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560" w:type="dxa"/>
            <w:vAlign w:val="center"/>
          </w:tcPr>
          <w:p>
            <w:pPr>
              <w:widowControl w:val="0"/>
              <w:rPr>
                <w:rFonts w:hint="eastAsia" w:ascii="仿宋" w:hAnsi="仿宋" w:eastAsia="仿宋" w:cs="仿宋"/>
                <w:szCs w:val="21"/>
              </w:rPr>
            </w:pPr>
            <w:r>
              <w:rPr>
                <w:rFonts w:hint="eastAsia" w:ascii="仿宋" w:hAnsi="仿宋" w:eastAsia="仿宋" w:cs="仿宋"/>
                <w:b/>
                <w:szCs w:val="21"/>
              </w:rPr>
              <w:t>*</w:t>
            </w:r>
            <w:r>
              <w:rPr>
                <w:rFonts w:hint="eastAsia" w:ascii="仿宋" w:hAnsi="仿宋" w:eastAsia="仿宋" w:cs="仿宋"/>
                <w:szCs w:val="21"/>
              </w:rPr>
              <w:t>项目名称</w:t>
            </w:r>
          </w:p>
        </w:tc>
        <w:tc>
          <w:tcPr>
            <w:tcW w:w="7407" w:type="dxa"/>
            <w:gridSpan w:val="5"/>
            <w:vAlign w:val="center"/>
          </w:tcPr>
          <w:p>
            <w:pPr>
              <w:widowControl w:val="0"/>
              <w:rPr>
                <w:rFonts w:hint="eastAsia" w:ascii="仿宋" w:hAnsi="仿宋" w:eastAsia="仿宋" w:cs="仿宋"/>
                <w:szCs w:val="21"/>
              </w:rPr>
            </w:pPr>
            <w:r>
              <w:rPr>
                <w:rFonts w:hint="eastAsia" w:ascii="仿宋" w:hAnsi="仿宋" w:eastAsia="仿宋" w:cs="仿宋"/>
                <w:szCs w:val="21"/>
              </w:rPr>
              <w:t>《南山区总部用地及产业用地地价评估》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560" w:type="dxa"/>
            <w:vAlign w:val="center"/>
          </w:tcPr>
          <w:p>
            <w:pPr>
              <w:widowControl w:val="0"/>
              <w:rPr>
                <w:rFonts w:hint="eastAsia" w:ascii="仿宋" w:hAnsi="仿宋" w:eastAsia="仿宋" w:cs="仿宋"/>
                <w:szCs w:val="21"/>
              </w:rPr>
            </w:pPr>
            <w:r>
              <w:rPr>
                <w:rFonts w:hint="eastAsia" w:ascii="仿宋" w:hAnsi="仿宋" w:eastAsia="仿宋" w:cs="仿宋"/>
                <w:b/>
                <w:szCs w:val="21"/>
              </w:rPr>
              <w:t>*</w:t>
            </w:r>
            <w:r>
              <w:rPr>
                <w:rFonts w:hint="eastAsia" w:ascii="仿宋" w:hAnsi="仿宋" w:eastAsia="仿宋" w:cs="仿宋"/>
                <w:szCs w:val="21"/>
              </w:rPr>
              <w:t>采购人名称</w:t>
            </w:r>
          </w:p>
        </w:tc>
        <w:tc>
          <w:tcPr>
            <w:tcW w:w="3780" w:type="dxa"/>
            <w:gridSpan w:val="2"/>
            <w:vAlign w:val="center"/>
          </w:tcPr>
          <w:p>
            <w:pPr>
              <w:widowControl w:val="0"/>
              <w:rPr>
                <w:rFonts w:hint="eastAsia" w:ascii="仿宋" w:hAnsi="仿宋" w:eastAsia="仿宋" w:cs="仿宋"/>
                <w:szCs w:val="21"/>
              </w:rPr>
            </w:pPr>
            <w:r>
              <w:rPr>
                <w:rFonts w:hint="eastAsia" w:ascii="仿宋" w:hAnsi="仿宋" w:eastAsia="仿宋" w:cs="仿宋"/>
                <w:szCs w:val="21"/>
              </w:rPr>
              <w:t>深圳市规划和自然资源局南山管理局</w:t>
            </w:r>
          </w:p>
        </w:tc>
        <w:tc>
          <w:tcPr>
            <w:tcW w:w="1366" w:type="dxa"/>
            <w:vAlign w:val="center"/>
          </w:tcPr>
          <w:p>
            <w:pPr>
              <w:widowControl w:val="0"/>
              <w:rPr>
                <w:rFonts w:hint="eastAsia" w:ascii="仿宋" w:hAnsi="仿宋" w:eastAsia="仿宋" w:cs="仿宋"/>
                <w:szCs w:val="21"/>
              </w:rPr>
            </w:pPr>
            <w:r>
              <w:rPr>
                <w:rFonts w:hint="eastAsia" w:ascii="仿宋" w:hAnsi="仿宋" w:eastAsia="仿宋" w:cs="仿宋"/>
                <w:b/>
                <w:szCs w:val="21"/>
              </w:rPr>
              <w:t>*</w:t>
            </w:r>
            <w:r>
              <w:rPr>
                <w:rFonts w:hint="eastAsia" w:ascii="仿宋" w:hAnsi="仿宋" w:eastAsia="仿宋" w:cs="仿宋"/>
                <w:szCs w:val="21"/>
              </w:rPr>
              <w:t>采购方式</w:t>
            </w:r>
          </w:p>
        </w:tc>
        <w:tc>
          <w:tcPr>
            <w:tcW w:w="2261" w:type="dxa"/>
            <w:gridSpan w:val="2"/>
            <w:vAlign w:val="center"/>
          </w:tcPr>
          <w:p>
            <w:pPr>
              <w:widowControl w:val="0"/>
              <w:rPr>
                <w:rFonts w:hint="eastAsia" w:ascii="仿宋" w:hAnsi="仿宋" w:eastAsia="仿宋" w:cs="仿宋"/>
                <w:szCs w:val="21"/>
                <w:lang w:eastAsia="zh-CN"/>
              </w:rPr>
            </w:pPr>
            <w:r>
              <w:rPr>
                <w:rFonts w:hint="eastAsia" w:ascii="仿宋" w:hAnsi="仿宋" w:eastAsia="仿宋" w:cs="仿宋"/>
                <w:szCs w:val="21"/>
              </w:rPr>
              <w:t>单一来源</w:t>
            </w:r>
            <w:r>
              <w:rPr>
                <w:rFonts w:hint="eastAsia" w:ascii="仿宋" w:hAnsi="仿宋" w:eastAsia="仿宋" w:cs="仿宋"/>
                <w:szCs w:val="21"/>
                <w:lang w:eastAsia="zh-CN"/>
              </w:rPr>
              <w:t>（集中采购）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560" w:type="dxa"/>
            <w:vAlign w:val="center"/>
          </w:tcPr>
          <w:p>
            <w:pPr>
              <w:widowControl w:val="0"/>
              <w:rPr>
                <w:rFonts w:hint="eastAsia" w:ascii="仿宋" w:hAnsi="仿宋" w:eastAsia="仿宋" w:cs="仿宋"/>
                <w:szCs w:val="21"/>
              </w:rPr>
            </w:pPr>
            <w:r>
              <w:rPr>
                <w:rFonts w:hint="eastAsia" w:ascii="仿宋" w:hAnsi="仿宋" w:eastAsia="仿宋" w:cs="仿宋"/>
                <w:szCs w:val="21"/>
              </w:rPr>
              <w:t>计划立项批文号</w:t>
            </w:r>
          </w:p>
        </w:tc>
        <w:tc>
          <w:tcPr>
            <w:tcW w:w="3780" w:type="dxa"/>
            <w:gridSpan w:val="2"/>
            <w:vAlign w:val="center"/>
          </w:tcPr>
          <w:p>
            <w:pPr>
              <w:widowControl w:val="0"/>
              <w:rPr>
                <w:rFonts w:hint="eastAsia" w:ascii="仿宋" w:hAnsi="仿宋" w:eastAsia="仿宋" w:cs="仿宋"/>
                <w:szCs w:val="21"/>
              </w:rPr>
            </w:pPr>
            <w:r>
              <w:rPr>
                <w:rFonts w:hint="eastAsia" w:ascii="仿宋" w:hAnsi="仿宋" w:eastAsia="仿宋" w:cs="仿宋"/>
                <w:szCs w:val="21"/>
              </w:rPr>
              <w:t>市规划和自然资源局南山管理局2025年第2次局长办公会议纪要</w:t>
            </w:r>
          </w:p>
        </w:tc>
        <w:tc>
          <w:tcPr>
            <w:tcW w:w="1366" w:type="dxa"/>
            <w:vAlign w:val="center"/>
          </w:tcPr>
          <w:p>
            <w:pPr>
              <w:widowControl w:val="0"/>
              <w:rPr>
                <w:rFonts w:hint="eastAsia" w:ascii="仿宋" w:hAnsi="仿宋" w:eastAsia="仿宋" w:cs="仿宋"/>
                <w:szCs w:val="21"/>
              </w:rPr>
            </w:pPr>
            <w:r>
              <w:rPr>
                <w:rFonts w:hint="eastAsia" w:ascii="仿宋" w:hAnsi="仿宋" w:eastAsia="仿宋" w:cs="仿宋"/>
                <w:b/>
                <w:szCs w:val="21"/>
              </w:rPr>
              <w:t>*</w:t>
            </w:r>
            <w:r>
              <w:rPr>
                <w:rFonts w:hint="eastAsia" w:ascii="仿宋" w:hAnsi="仿宋" w:eastAsia="仿宋" w:cs="仿宋"/>
                <w:szCs w:val="21"/>
              </w:rPr>
              <w:t>资金来源</w:t>
            </w:r>
          </w:p>
        </w:tc>
        <w:tc>
          <w:tcPr>
            <w:tcW w:w="2261" w:type="dxa"/>
            <w:gridSpan w:val="2"/>
            <w:vAlign w:val="center"/>
          </w:tcPr>
          <w:p>
            <w:pPr>
              <w:widowControl w:val="0"/>
              <w:rPr>
                <w:rFonts w:hint="eastAsia" w:ascii="仿宋" w:hAnsi="仿宋" w:eastAsia="仿宋" w:cs="仿宋"/>
                <w:szCs w:val="21"/>
              </w:rPr>
            </w:pPr>
            <w:r>
              <w:rPr>
                <w:rFonts w:hint="eastAsia" w:ascii="仿宋" w:hAnsi="仿宋" w:eastAsia="仿宋" w:cs="仿宋"/>
                <w:szCs w:val="21"/>
                <w:lang w:eastAsia="zh-CN"/>
              </w:rPr>
              <w:t>区财政</w:t>
            </w:r>
            <w:r>
              <w:rPr>
                <w:rFonts w:hint="eastAsia" w:ascii="仿宋" w:hAnsi="仿宋" w:eastAsia="仿宋" w:cs="仿宋"/>
                <w:szCs w:val="21"/>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60" w:type="dxa"/>
            <w:vAlign w:val="center"/>
          </w:tcPr>
          <w:p>
            <w:pPr>
              <w:widowControl w:val="0"/>
              <w:rPr>
                <w:rFonts w:hint="eastAsia" w:ascii="仿宋" w:hAnsi="仿宋" w:eastAsia="仿宋" w:cs="仿宋"/>
                <w:szCs w:val="21"/>
              </w:rPr>
            </w:pPr>
            <w:r>
              <w:rPr>
                <w:rFonts w:hint="eastAsia" w:ascii="仿宋" w:hAnsi="仿宋" w:eastAsia="仿宋" w:cs="仿宋"/>
                <w:b/>
                <w:szCs w:val="21"/>
              </w:rPr>
              <w:t>*</w:t>
            </w:r>
            <w:r>
              <w:rPr>
                <w:rFonts w:hint="eastAsia" w:ascii="仿宋" w:hAnsi="仿宋" w:eastAsia="仿宋" w:cs="仿宋"/>
                <w:szCs w:val="21"/>
              </w:rPr>
              <w:t>财政预算限额（元）</w:t>
            </w:r>
          </w:p>
        </w:tc>
        <w:tc>
          <w:tcPr>
            <w:tcW w:w="3780" w:type="dxa"/>
            <w:gridSpan w:val="2"/>
            <w:vAlign w:val="center"/>
          </w:tcPr>
          <w:p>
            <w:pPr>
              <w:widowControl w:val="0"/>
              <w:rPr>
                <w:rFonts w:hint="eastAsia" w:ascii="仿宋" w:hAnsi="仿宋" w:eastAsia="仿宋" w:cs="仿宋"/>
                <w:szCs w:val="21"/>
              </w:rPr>
            </w:pPr>
            <w:r>
              <w:rPr>
                <w:rFonts w:hint="eastAsia" w:ascii="仿宋" w:hAnsi="仿宋" w:eastAsia="仿宋" w:cs="仿宋"/>
                <w:szCs w:val="21"/>
              </w:rPr>
              <w:t>1</w:t>
            </w:r>
            <w:r>
              <w:rPr>
                <w:rFonts w:ascii="仿宋" w:hAnsi="仿宋" w:eastAsia="仿宋" w:cs="仿宋"/>
                <w:szCs w:val="21"/>
              </w:rPr>
              <w:t>,</w:t>
            </w:r>
            <w:r>
              <w:rPr>
                <w:rFonts w:hint="eastAsia" w:ascii="仿宋" w:hAnsi="仿宋" w:eastAsia="仿宋" w:cs="仿宋"/>
                <w:szCs w:val="21"/>
                <w:lang w:val="en-US" w:eastAsia="zh-CN"/>
              </w:rPr>
              <w:t>00</w:t>
            </w:r>
            <w:r>
              <w:rPr>
                <w:rFonts w:ascii="仿宋" w:hAnsi="仿宋" w:eastAsia="仿宋" w:cs="仿宋"/>
                <w:szCs w:val="21"/>
              </w:rPr>
              <w:t>0,000.00</w:t>
            </w:r>
          </w:p>
        </w:tc>
        <w:tc>
          <w:tcPr>
            <w:tcW w:w="1366" w:type="dxa"/>
            <w:vAlign w:val="center"/>
          </w:tcPr>
          <w:p>
            <w:pPr>
              <w:widowControl w:val="0"/>
              <w:rPr>
                <w:rFonts w:hint="eastAsia" w:ascii="仿宋" w:hAnsi="仿宋" w:eastAsia="仿宋" w:cs="仿宋"/>
                <w:szCs w:val="21"/>
              </w:rPr>
            </w:pPr>
          </w:p>
        </w:tc>
        <w:tc>
          <w:tcPr>
            <w:tcW w:w="2261" w:type="dxa"/>
            <w:gridSpan w:val="2"/>
            <w:vAlign w:val="center"/>
          </w:tcPr>
          <w:p>
            <w:pPr>
              <w:widowControl w:val="0"/>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0" w:type="dxa"/>
            <w:vAlign w:val="center"/>
          </w:tcPr>
          <w:p>
            <w:pPr>
              <w:widowControl w:val="0"/>
              <w:rPr>
                <w:rFonts w:hint="eastAsia" w:ascii="仿宋" w:hAnsi="仿宋" w:eastAsia="仿宋" w:cs="仿宋"/>
                <w:szCs w:val="21"/>
              </w:rPr>
            </w:pPr>
            <w:r>
              <w:rPr>
                <w:rFonts w:hint="eastAsia" w:ascii="仿宋" w:hAnsi="仿宋" w:eastAsia="仿宋" w:cs="仿宋"/>
                <w:szCs w:val="21"/>
              </w:rPr>
              <w:t>项目背景</w:t>
            </w:r>
          </w:p>
        </w:tc>
        <w:tc>
          <w:tcPr>
            <w:tcW w:w="7407" w:type="dxa"/>
            <w:gridSpan w:val="5"/>
            <w:vAlign w:val="center"/>
          </w:tcPr>
          <w:p>
            <w:pPr>
              <w:widowControl w:val="0"/>
              <w:ind w:firstLine="420" w:firstLineChars="200"/>
              <w:rPr>
                <w:rFonts w:hint="eastAsia" w:ascii="仿宋" w:hAnsi="仿宋" w:eastAsia="仿宋" w:cs="仿宋"/>
                <w:szCs w:val="21"/>
              </w:rPr>
            </w:pPr>
            <w:r>
              <w:rPr>
                <w:rFonts w:hint="eastAsia" w:ascii="仿宋" w:hAnsi="仿宋" w:eastAsia="仿宋" w:cs="仿宋"/>
                <w:szCs w:val="21"/>
              </w:rPr>
              <w:t>1.根据我市现行的土地政策，商业用地（含总部项目用地）及产业用地基本通过招拍挂方式出让。因此，上述用地在出让前均由我局委托市自然资源和不动产评估发展研究中心进行土地底价评估和备案手续。2025年度，根据市、区政府的工作部署，南山区拟陆续开展大疆超总地块等8个地块招拍挂用地出让。上述项目土地出让过程中所必须的评估经费问题需予以保障。</w:t>
            </w:r>
          </w:p>
          <w:p>
            <w:pPr>
              <w:widowControl w:val="0"/>
              <w:ind w:firstLine="420" w:firstLineChars="200"/>
              <w:rPr>
                <w:rFonts w:hint="eastAsia" w:ascii="仿宋" w:hAnsi="仿宋" w:eastAsia="仿宋" w:cs="仿宋"/>
                <w:szCs w:val="21"/>
              </w:rPr>
            </w:pPr>
            <w:r>
              <w:rPr>
                <w:rFonts w:hint="eastAsia" w:ascii="仿宋" w:hAnsi="仿宋" w:eastAsia="仿宋" w:cs="仿宋"/>
                <w:szCs w:val="21"/>
              </w:rPr>
              <w:t>2.根据自然资源部、省自然资源厅的有关通知要求，我市加大了对存量闲置土地的处置力度。截至2025年1月21日，南山区目前存量闲置土地8宗，其中，有3宗地（即华润五丰用地T402-0019、高新北区T401-0021、T401-0052）属于政府、政府有关部门的行为造成土地闲置，拟通过协商有偿方式收回土地使用权，补偿标准按照市场评估地价确定。上述项目在闲置土地处置过程中所必须的评估经费问题需予以保障。</w:t>
            </w:r>
          </w:p>
          <w:p>
            <w:pPr>
              <w:widowControl w:val="0"/>
              <w:ind w:firstLine="420" w:firstLineChars="200"/>
              <w:rPr>
                <w:rFonts w:hint="eastAsia" w:ascii="仿宋" w:hAnsi="仿宋" w:eastAsia="仿宋" w:cs="仿宋"/>
                <w:szCs w:val="21"/>
              </w:rPr>
            </w:pPr>
            <w:r>
              <w:rPr>
                <w:rFonts w:hint="eastAsia" w:ascii="仿宋" w:hAnsi="仿宋" w:eastAsia="仿宋" w:cs="仿宋"/>
                <w:szCs w:val="21"/>
              </w:rPr>
              <w:t>3.在日常办理业务的过程中，需进行地价评估的项目，均由我局拟定评估条件委托市自然资源和不动产评估发展研究中心进行地价评估，此部分评估经费也需予以保障。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60" w:type="dxa"/>
            <w:vAlign w:val="center"/>
          </w:tcPr>
          <w:p>
            <w:pPr>
              <w:widowControl w:val="0"/>
              <w:rPr>
                <w:rFonts w:hint="eastAsia" w:ascii="仿宋" w:hAnsi="仿宋" w:eastAsia="仿宋" w:cs="仿宋"/>
                <w:szCs w:val="21"/>
                <w:highlight w:val="yellow"/>
              </w:rPr>
            </w:pPr>
            <w:r>
              <w:rPr>
                <w:rFonts w:hint="eastAsia" w:ascii="仿宋" w:hAnsi="仿宋" w:eastAsia="仿宋" w:cs="仿宋"/>
                <w:szCs w:val="21"/>
              </w:rPr>
              <w:t>项目前期设计、规划论证单位</w:t>
            </w:r>
          </w:p>
        </w:tc>
        <w:tc>
          <w:tcPr>
            <w:tcW w:w="7407" w:type="dxa"/>
            <w:gridSpan w:val="5"/>
            <w:vAlign w:val="center"/>
          </w:tcPr>
          <w:p>
            <w:pPr>
              <w:widowControl w:val="0"/>
              <w:jc w:val="both"/>
              <w:rPr>
                <w:rFonts w:hint="eastAsia" w:ascii="仿宋" w:hAnsi="仿宋" w:eastAsia="仿宋" w:cs="仿宋"/>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560" w:type="dxa"/>
            <w:vAlign w:val="center"/>
          </w:tcPr>
          <w:p>
            <w:pPr>
              <w:widowControl w:val="0"/>
              <w:jc w:val="center"/>
              <w:rPr>
                <w:rFonts w:hint="eastAsia" w:ascii="仿宋" w:hAnsi="仿宋" w:eastAsia="仿宋" w:cs="仿宋"/>
                <w:szCs w:val="21"/>
              </w:rPr>
            </w:pPr>
            <w:r>
              <w:rPr>
                <w:rFonts w:hint="eastAsia" w:ascii="仿宋" w:hAnsi="仿宋" w:eastAsia="仿宋" w:cs="仿宋"/>
                <w:kern w:val="0"/>
                <w:szCs w:val="21"/>
              </w:rPr>
              <w:t>投标人资质要求</w:t>
            </w:r>
          </w:p>
        </w:tc>
        <w:tc>
          <w:tcPr>
            <w:tcW w:w="7407" w:type="dxa"/>
            <w:gridSpan w:val="5"/>
          </w:tcPr>
          <w:p>
            <w:pPr>
              <w:rPr>
                <w:rFonts w:ascii="仿宋_GB2312" w:hAnsi="仿宋" w:eastAsia="仿宋_GB2312" w:cs="宋体"/>
                <w:b/>
                <w:color w:val="000000"/>
                <w:kern w:val="0"/>
                <w:szCs w:val="21"/>
              </w:rPr>
            </w:pPr>
            <w:r>
              <w:rPr>
                <w:rFonts w:hint="eastAsia" w:ascii="仿宋_GB2312" w:hAnsi="仿宋" w:eastAsia="仿宋_GB2312" w:cs="宋体"/>
                <w:b/>
                <w:color w:val="000000"/>
                <w:kern w:val="0"/>
                <w:szCs w:val="21"/>
              </w:rPr>
              <w:t>注意：采购人根据项目所需提供明确、具体的资质要求，资质要求的内容必须与项目等级相匹配且符合相关法律规定。（设置的投标人资格要求必须提交有法律法规依据的证明文件，且不具备倾向性）</w:t>
            </w:r>
          </w:p>
          <w:p>
            <w:pPr>
              <w:ind w:firstLine="420" w:firstLineChars="200"/>
              <w:rPr>
                <w:rFonts w:hint="eastAsia" w:ascii="仿宋_GB2312" w:hAnsi="仿宋" w:eastAsia="仿宋_GB2312" w:cs="宋体"/>
                <w:bCs/>
                <w:kern w:val="0"/>
                <w:szCs w:val="21"/>
                <w:lang w:eastAsia="zh-CN"/>
              </w:rPr>
            </w:pPr>
            <w:r>
              <w:rPr>
                <w:rFonts w:hint="eastAsia" w:ascii="仿宋_GB2312" w:hAnsi="仿宋" w:eastAsia="仿宋_GB2312" w:cs="宋体"/>
                <w:bCs/>
                <w:kern w:val="0"/>
                <w:szCs w:val="21"/>
                <w:lang w:eastAsia="zh-CN"/>
              </w:rPr>
              <w:t>1.供应商必须具有深圳市政府采购注册供应商资格（供应商注册网址：http://www.szggzy.com/。以网站查询供应商资格状态显示“有效”的为准；由采购代理机构对注册供应商资格进行查询，投标文件无需提供证明材料）；</w:t>
            </w:r>
          </w:p>
          <w:p>
            <w:pPr>
              <w:ind w:firstLine="420" w:firstLineChars="200"/>
              <w:rPr>
                <w:rFonts w:hint="eastAsia" w:ascii="仿宋_GB2312" w:hAnsi="仿宋" w:eastAsia="仿宋_GB2312" w:cs="宋体"/>
                <w:bCs/>
                <w:kern w:val="0"/>
                <w:szCs w:val="21"/>
                <w:lang w:eastAsia="zh-CN"/>
              </w:rPr>
            </w:pPr>
            <w:r>
              <w:rPr>
                <w:rFonts w:hint="eastAsia" w:ascii="仿宋_GB2312" w:hAnsi="仿宋" w:eastAsia="仿宋_GB2312" w:cs="宋体"/>
                <w:bCs/>
                <w:kern w:val="0"/>
                <w:szCs w:val="21"/>
                <w:lang w:eastAsia="zh-CN"/>
              </w:rPr>
              <w:t>2.参与本项目投标前三年内，在经营活动中没有重大违法记录（由供应商在《政府采购投标及履约承诺函》中作出声明）；</w:t>
            </w:r>
          </w:p>
          <w:p>
            <w:pPr>
              <w:ind w:firstLine="420" w:firstLineChars="200"/>
              <w:rPr>
                <w:rFonts w:hint="eastAsia" w:ascii="仿宋_GB2312" w:hAnsi="仿宋" w:eastAsia="仿宋_GB2312" w:cs="宋体"/>
                <w:bCs/>
                <w:kern w:val="0"/>
                <w:szCs w:val="21"/>
                <w:lang w:eastAsia="zh-CN"/>
              </w:rPr>
            </w:pPr>
            <w:r>
              <w:rPr>
                <w:rFonts w:hint="eastAsia" w:ascii="仿宋_GB2312" w:hAnsi="仿宋" w:eastAsia="仿宋_GB2312" w:cs="宋体"/>
                <w:bCs/>
                <w:kern w:val="0"/>
                <w:szCs w:val="21"/>
                <w:lang w:eastAsia="zh-CN"/>
              </w:rPr>
              <w:t>3.参与本项目政府采购活动时不存在被有关部门禁止参与政府采购活动且在有效期内的情况（由供应商在《政府采购投标及履约承诺函》中作出声明）；</w:t>
            </w:r>
          </w:p>
          <w:p>
            <w:pPr>
              <w:ind w:firstLine="420" w:firstLineChars="200"/>
              <w:rPr>
                <w:rFonts w:hint="eastAsia" w:ascii="仿宋_GB2312" w:hAnsi="仿宋" w:eastAsia="仿宋_GB2312" w:cs="宋体"/>
                <w:bCs/>
                <w:kern w:val="0"/>
                <w:szCs w:val="21"/>
                <w:lang w:eastAsia="zh-CN"/>
              </w:rPr>
            </w:pPr>
            <w:r>
              <w:rPr>
                <w:rFonts w:hint="eastAsia" w:ascii="仿宋_GB2312" w:hAnsi="仿宋" w:eastAsia="仿宋_GB2312" w:cs="宋体"/>
                <w:bCs/>
                <w:kern w:val="0"/>
                <w:szCs w:val="21"/>
                <w:lang w:eastAsia="zh-CN"/>
              </w:rPr>
              <w:t>4.参与政府采购项目投标的供应商未被列入失信被执行人、重大税收违法案件当事人名单、政府采购严重违法失信行为记录名单（由供应商在《政府采购投标及履约承诺函》中作出声明）；</w:t>
            </w:r>
          </w:p>
          <w:p>
            <w:pPr>
              <w:ind w:firstLine="420" w:firstLineChars="200"/>
              <w:rPr>
                <w:rFonts w:hint="eastAsia" w:ascii="仿宋_GB2312" w:hAnsi="仿宋" w:eastAsia="仿宋_GB2312" w:cs="宋体"/>
                <w:bCs/>
                <w:kern w:val="0"/>
                <w:szCs w:val="21"/>
                <w:lang w:eastAsia="zh-CN"/>
              </w:rPr>
            </w:pPr>
            <w:r>
              <w:rPr>
                <w:rFonts w:hint="eastAsia" w:ascii="仿宋_GB2312" w:hAnsi="仿宋" w:eastAsia="仿宋_GB2312" w:cs="宋体"/>
                <w:bCs/>
                <w:kern w:val="0"/>
                <w:szCs w:val="21"/>
                <w:lang w:eastAsia="zh-CN"/>
              </w:rPr>
              <w:t>注：“信用中国”中“信用服务”栏的“重大税收违法案件当事人名单”、“失信被执行人”，“中国政府采购网”中的“政府采购严重违法失信行为记录名单”，“深圳信用网”以及“深圳市政府采购监管网”为供应商信用信息的查询渠道，相关信息以开标当日的查询结果为准。</w:t>
            </w:r>
          </w:p>
          <w:p>
            <w:pPr>
              <w:ind w:firstLine="420" w:firstLineChars="200"/>
              <w:rPr>
                <w:rFonts w:hint="eastAsia" w:ascii="仿宋_GB2312" w:hAnsi="仿宋" w:eastAsia="仿宋_GB2312" w:cs="宋体"/>
                <w:bCs/>
                <w:kern w:val="0"/>
                <w:szCs w:val="21"/>
                <w:lang w:val="en-US" w:eastAsia="zh-CN"/>
              </w:rPr>
            </w:pPr>
            <w:r>
              <w:rPr>
                <w:rFonts w:hint="eastAsia" w:ascii="仿宋_GB2312" w:hAnsi="仿宋" w:eastAsia="仿宋_GB2312" w:cs="宋体"/>
                <w:bCs/>
                <w:kern w:val="0"/>
                <w:szCs w:val="21"/>
                <w:lang w:eastAsia="zh-CN"/>
              </w:rPr>
              <w:t>5.</w:t>
            </w:r>
            <w:r>
              <w:rPr>
                <w:rFonts w:hint="eastAsia" w:ascii="仿宋_GB2312" w:hAnsi="仿宋" w:eastAsia="仿宋_GB2312" w:cs="宋体"/>
                <w:bCs/>
                <w:kern w:val="0"/>
                <w:szCs w:val="21"/>
                <w:lang w:val="en-US" w:eastAsia="zh-CN"/>
              </w:rPr>
              <w:t>本项目不接受联合体投标，本项目不允许转包分包;</w:t>
            </w:r>
          </w:p>
          <w:p>
            <w:pPr>
              <w:ind w:firstLine="420" w:firstLineChars="200"/>
              <w:rPr>
                <w:rFonts w:hint="eastAsia" w:ascii="仿宋_GB2312" w:hAnsi="仿宋" w:eastAsia="仿宋_GB2312" w:cs="宋体"/>
                <w:bCs/>
                <w:kern w:val="0"/>
                <w:szCs w:val="21"/>
                <w:lang w:val="en-US" w:eastAsia="zh-CN"/>
              </w:rPr>
            </w:pPr>
            <w:r>
              <w:rPr>
                <w:rFonts w:hint="eastAsia" w:ascii="仿宋_GB2312" w:hAnsi="仿宋" w:eastAsia="仿宋_GB2312" w:cs="宋体"/>
                <w:bCs/>
                <w:kern w:val="0"/>
                <w:szCs w:val="21"/>
                <w:lang w:val="en-US" w:eastAsia="zh-CN"/>
              </w:rPr>
              <w:t>6.供应商的报价总价不得超过本项目的财政预算限额，否则将作投标无效处理。</w:t>
            </w:r>
          </w:p>
          <w:p>
            <w:pPr>
              <w:ind w:firstLine="420" w:firstLineChars="200"/>
              <w:rPr>
                <w:rFonts w:hint="eastAsia" w:ascii="仿宋_GB2312" w:hAnsi="仿宋" w:eastAsia="仿宋_GB2312" w:cs="宋体"/>
                <w:bCs/>
                <w:kern w:val="0"/>
                <w:szCs w:val="21"/>
                <w:lang w:val="en-US" w:eastAsia="zh-CN"/>
              </w:rPr>
            </w:pPr>
            <w:r>
              <w:rPr>
                <w:rFonts w:hint="eastAsia" w:ascii="仿宋_GB2312" w:hAnsi="仿宋" w:eastAsia="仿宋_GB2312" w:cs="宋体"/>
                <w:bCs/>
                <w:kern w:val="0"/>
                <w:szCs w:val="21"/>
                <w:lang w:val="en-US" w:eastAsia="zh-CN"/>
              </w:rPr>
              <w:t>7.不存在不同投标供应商的法定代表人、主要经营负责人、投标授权代表人、项目负责人、主要技术人员为同一人、属同一单位或者在同一单位缴纳社会保险；不存在不同投标供应商存在单位负责人为同一人或直接控股、管理关系。（由供应商提供《供应商基本情况表》并加盖供应商公章，同时提供供应商社保缴纳证明材料及股权关系证明材料，如供应商存在未提供《供应商基本情况表》、社保缴纳证明材料及股权关系证明材料或所提供证明材料不符合采购文件要求的情形，按资格审查不通过处理）</w:t>
            </w:r>
          </w:p>
          <w:p>
            <w:pPr>
              <w:widowControl w:val="0"/>
              <w:ind w:firstLine="421" w:firstLineChars="200"/>
              <w:rPr>
                <w:rFonts w:hint="eastAsia" w:ascii="仿宋" w:hAnsi="仿宋" w:eastAsia="仿宋" w:cs="仿宋"/>
                <w:b/>
                <w:kern w:val="0"/>
                <w:szCs w:val="21"/>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560" w:type="dxa"/>
            <w:vAlign w:val="center"/>
          </w:tcPr>
          <w:p>
            <w:pPr>
              <w:widowControl w:val="0"/>
              <w:jc w:val="center"/>
              <w:rPr>
                <w:rFonts w:hint="eastAsia" w:ascii="仿宋" w:hAnsi="仿宋" w:eastAsia="仿宋" w:cs="仿宋"/>
                <w:kern w:val="0"/>
                <w:szCs w:val="21"/>
              </w:rPr>
            </w:pPr>
            <w:r>
              <w:rPr>
                <w:rFonts w:hint="eastAsia" w:ascii="仿宋" w:hAnsi="仿宋" w:eastAsia="仿宋" w:cs="仿宋"/>
                <w:kern w:val="0"/>
                <w:szCs w:val="21"/>
              </w:rPr>
              <w:t>商务需求</w:t>
            </w:r>
          </w:p>
        </w:tc>
        <w:tc>
          <w:tcPr>
            <w:tcW w:w="7407" w:type="dxa"/>
            <w:gridSpan w:val="5"/>
          </w:tcPr>
          <w:p>
            <w:pPr>
              <w:widowControl w:val="0"/>
              <w:ind w:firstLine="421" w:firstLineChars="200"/>
              <w:rPr>
                <w:rFonts w:hint="eastAsia" w:ascii="仿宋" w:hAnsi="仿宋" w:eastAsia="仿宋" w:cs="仿宋"/>
                <w:b/>
                <w:bCs/>
                <w:kern w:val="0"/>
                <w:szCs w:val="21"/>
                <w:lang w:eastAsia="zh-CN"/>
              </w:rPr>
            </w:pPr>
            <w:r>
              <w:rPr>
                <w:rFonts w:hint="eastAsia" w:ascii="仿宋" w:hAnsi="仿宋" w:eastAsia="仿宋" w:cs="仿宋"/>
                <w:b/>
                <w:bCs/>
                <w:kern w:val="0"/>
                <w:szCs w:val="21"/>
                <w:lang w:eastAsia="zh-CN"/>
              </w:rPr>
              <w:t>一、项目内容及数量</w:t>
            </w:r>
          </w:p>
          <w:p>
            <w:pPr>
              <w:widowControl w:val="0"/>
              <w:ind w:firstLine="420" w:firstLineChars="200"/>
              <w:rPr>
                <w:rFonts w:hint="eastAsia" w:ascii="仿宋" w:hAnsi="仿宋" w:eastAsia="仿宋" w:cs="仿宋"/>
                <w:kern w:val="0"/>
                <w:szCs w:val="21"/>
                <w:lang w:eastAsia="zh-CN"/>
              </w:rPr>
            </w:pPr>
            <w:r>
              <w:rPr>
                <w:rFonts w:hint="eastAsia" w:ascii="仿宋" w:hAnsi="仿宋" w:eastAsia="仿宋" w:cs="仿宋"/>
                <w:kern w:val="0"/>
                <w:szCs w:val="21"/>
                <w:lang w:eastAsia="zh-CN"/>
              </w:rPr>
              <w:t>（一）项目内容</w:t>
            </w:r>
          </w:p>
          <w:p>
            <w:pPr>
              <w:widowControl w:val="0"/>
              <w:ind w:firstLine="420" w:firstLineChars="200"/>
              <w:rPr>
                <w:rFonts w:hint="eastAsia" w:ascii="仿宋" w:hAnsi="仿宋" w:eastAsia="仿宋" w:cs="仿宋"/>
                <w:kern w:val="0"/>
                <w:szCs w:val="21"/>
                <w:lang w:eastAsia="zh-CN"/>
              </w:rPr>
            </w:pPr>
            <w:r>
              <w:rPr>
                <w:rFonts w:hint="eastAsia" w:ascii="仿宋" w:hAnsi="仿宋" w:eastAsia="仿宋" w:cs="仿宋"/>
                <w:kern w:val="0"/>
                <w:szCs w:val="21"/>
                <w:lang w:val="en-US" w:eastAsia="zh-CN"/>
              </w:rPr>
              <w:t>1.</w:t>
            </w:r>
            <w:r>
              <w:rPr>
                <w:rFonts w:hint="eastAsia" w:ascii="仿宋" w:hAnsi="仿宋" w:eastAsia="仿宋" w:cs="仿宋"/>
                <w:kern w:val="0"/>
                <w:szCs w:val="21"/>
                <w:lang w:eastAsia="zh-CN"/>
              </w:rPr>
              <w:t>出具土地估价报告</w:t>
            </w:r>
          </w:p>
          <w:p>
            <w:pPr>
              <w:widowControl w:val="0"/>
              <w:ind w:firstLine="420" w:firstLineChars="200"/>
              <w:rPr>
                <w:rFonts w:hint="eastAsia" w:ascii="仿宋" w:hAnsi="仿宋" w:eastAsia="仿宋" w:cs="仿宋"/>
                <w:kern w:val="0"/>
                <w:szCs w:val="21"/>
                <w:lang w:eastAsia="zh-CN"/>
              </w:rPr>
            </w:pPr>
            <w:r>
              <w:rPr>
                <w:rFonts w:hint="eastAsia" w:ascii="仿宋" w:hAnsi="仿宋" w:eastAsia="仿宋" w:cs="仿宋"/>
                <w:kern w:val="0"/>
                <w:szCs w:val="21"/>
                <w:lang w:eastAsia="zh-CN"/>
              </w:rPr>
              <w:t>根据采购人提供的拟出让宗地设定的规划建设条件、宗地选址方案、产权限制条件、已形成的土地出让方案等估价资料和依据，对拟出让宗地的地价进行评估，并出具土地估价报告，估价过程及估价报告须严格执行以下标准、技术规范和法律、法规及相关政策。</w:t>
            </w:r>
          </w:p>
          <w:p>
            <w:pPr>
              <w:widowControl w:val="0"/>
              <w:ind w:firstLine="420" w:firstLineChars="200"/>
              <w:rPr>
                <w:rFonts w:hint="eastAsia" w:ascii="仿宋" w:hAnsi="仿宋" w:eastAsia="仿宋" w:cs="仿宋"/>
                <w:kern w:val="0"/>
                <w:szCs w:val="21"/>
                <w:lang w:eastAsia="zh-CN"/>
              </w:rPr>
            </w:pPr>
            <w:r>
              <w:rPr>
                <w:rFonts w:hint="eastAsia" w:ascii="仿宋" w:hAnsi="仿宋" w:eastAsia="仿宋" w:cs="仿宋"/>
                <w:kern w:val="0"/>
                <w:szCs w:val="21"/>
                <w:lang w:val="en-US" w:eastAsia="zh-CN"/>
              </w:rPr>
              <w:t>2.</w:t>
            </w:r>
            <w:r>
              <w:rPr>
                <w:rFonts w:hint="eastAsia" w:ascii="仿宋" w:hAnsi="仿宋" w:eastAsia="仿宋" w:cs="仿宋"/>
                <w:kern w:val="0"/>
                <w:szCs w:val="21"/>
                <w:lang w:eastAsia="zh-CN"/>
              </w:rPr>
              <w:t>履行土地估价报告电子备案程序</w:t>
            </w:r>
          </w:p>
          <w:p>
            <w:pPr>
              <w:widowControl w:val="0"/>
              <w:ind w:firstLine="420" w:firstLineChars="200"/>
              <w:rPr>
                <w:rFonts w:hint="eastAsia" w:ascii="仿宋" w:hAnsi="仿宋" w:eastAsia="仿宋" w:cs="仿宋"/>
                <w:kern w:val="0"/>
                <w:szCs w:val="21"/>
                <w:lang w:eastAsia="zh-CN"/>
              </w:rPr>
            </w:pPr>
            <w:r>
              <w:rPr>
                <w:rFonts w:hint="eastAsia" w:ascii="仿宋" w:hAnsi="仿宋" w:eastAsia="仿宋" w:cs="仿宋"/>
                <w:kern w:val="0"/>
                <w:szCs w:val="21"/>
                <w:lang w:eastAsia="zh-CN"/>
              </w:rPr>
              <w:t>在土地招拍挂出让方案和出让底价经市政府和相关主管部门集体决策后，按照《关于实行电子化备案完善土地估价报告备案制度的通知》（国土资厅〔2012〕35号）、广东省国土资源厅《关于填写土地估价报告备案号的通知》（粤国土资利用发〔2014〕143号）要求履行电子备案程序，取得电子备案号。</w:t>
            </w:r>
          </w:p>
          <w:p>
            <w:pPr>
              <w:widowControl w:val="0"/>
              <w:ind w:firstLine="420" w:firstLineChars="200"/>
              <w:rPr>
                <w:rFonts w:hint="eastAsia" w:ascii="仿宋" w:hAnsi="仿宋" w:eastAsia="仿宋" w:cs="仿宋"/>
                <w:kern w:val="0"/>
                <w:szCs w:val="21"/>
                <w:lang w:eastAsia="zh-CN"/>
              </w:rPr>
            </w:pPr>
            <w:r>
              <w:rPr>
                <w:rFonts w:hint="eastAsia" w:ascii="仿宋" w:hAnsi="仿宋" w:eastAsia="仿宋" w:cs="仿宋"/>
                <w:kern w:val="0"/>
                <w:szCs w:val="21"/>
                <w:lang w:val="en-US" w:eastAsia="zh-CN"/>
              </w:rPr>
              <w:t>3.</w:t>
            </w:r>
            <w:r>
              <w:rPr>
                <w:rFonts w:hint="eastAsia" w:ascii="仿宋" w:hAnsi="仿宋" w:eastAsia="仿宋" w:cs="仿宋"/>
                <w:kern w:val="0"/>
                <w:szCs w:val="21"/>
                <w:lang w:eastAsia="zh-CN"/>
              </w:rPr>
              <w:t>其他需要出具地价评估报告的情形。</w:t>
            </w:r>
          </w:p>
          <w:p>
            <w:pPr>
              <w:widowControl w:val="0"/>
              <w:ind w:firstLine="420" w:firstLineChars="200"/>
              <w:rPr>
                <w:rFonts w:hint="eastAsia" w:ascii="仿宋" w:hAnsi="仿宋" w:eastAsia="仿宋" w:cs="仿宋"/>
                <w:kern w:val="0"/>
                <w:szCs w:val="21"/>
                <w:lang w:eastAsia="zh-CN"/>
              </w:rPr>
            </w:pPr>
            <w:r>
              <w:rPr>
                <w:rFonts w:hint="eastAsia" w:ascii="仿宋" w:hAnsi="仿宋" w:eastAsia="仿宋" w:cs="仿宋"/>
                <w:kern w:val="0"/>
                <w:szCs w:val="21"/>
                <w:lang w:val="en-US" w:eastAsia="zh-CN"/>
              </w:rPr>
              <w:t>4.</w:t>
            </w:r>
            <w:r>
              <w:rPr>
                <w:rFonts w:hint="eastAsia" w:ascii="仿宋" w:hAnsi="仿宋" w:eastAsia="仿宋" w:cs="仿宋"/>
                <w:kern w:val="0"/>
                <w:szCs w:val="21"/>
                <w:lang w:eastAsia="zh-CN"/>
              </w:rPr>
              <w:t>应按采购方的要求参加本项目审查和讨论的全部工作会议。</w:t>
            </w:r>
          </w:p>
          <w:p>
            <w:pPr>
              <w:widowControl w:val="0"/>
              <w:ind w:firstLine="420" w:firstLineChars="200"/>
              <w:rPr>
                <w:rFonts w:hint="eastAsia" w:ascii="仿宋" w:hAnsi="仿宋" w:eastAsia="仿宋" w:cs="仿宋"/>
                <w:kern w:val="0"/>
                <w:szCs w:val="21"/>
                <w:lang w:eastAsia="zh-CN"/>
              </w:rPr>
            </w:pPr>
            <w:r>
              <w:rPr>
                <w:rFonts w:hint="eastAsia" w:ascii="仿宋" w:hAnsi="仿宋" w:eastAsia="仿宋" w:cs="仿宋"/>
                <w:kern w:val="0"/>
                <w:szCs w:val="21"/>
                <w:lang w:val="en-US" w:eastAsia="zh-CN"/>
              </w:rPr>
              <w:t>5.</w:t>
            </w:r>
            <w:r>
              <w:rPr>
                <w:rFonts w:hint="eastAsia" w:ascii="仿宋" w:hAnsi="仿宋" w:eastAsia="仿宋" w:cs="仿宋"/>
                <w:kern w:val="0"/>
                <w:szCs w:val="21"/>
                <w:lang w:eastAsia="zh-CN"/>
              </w:rPr>
              <w:t>提供良好的售后服务</w:t>
            </w:r>
          </w:p>
          <w:p>
            <w:pPr>
              <w:widowControl w:val="0"/>
              <w:ind w:firstLine="420" w:firstLineChars="200"/>
              <w:rPr>
                <w:rFonts w:hint="eastAsia" w:ascii="仿宋" w:hAnsi="仿宋" w:eastAsia="仿宋" w:cs="仿宋"/>
                <w:kern w:val="0"/>
                <w:szCs w:val="21"/>
                <w:lang w:eastAsia="zh-CN"/>
              </w:rPr>
            </w:pPr>
            <w:r>
              <w:rPr>
                <w:rFonts w:hint="eastAsia" w:ascii="仿宋" w:hAnsi="仿宋" w:eastAsia="仿宋" w:cs="仿宋"/>
                <w:kern w:val="0"/>
                <w:szCs w:val="21"/>
                <w:lang w:eastAsia="zh-CN"/>
              </w:rPr>
              <w:t>在售后服务期限内（最后成果提交采购人之日起一年）提供相关咨询、协调、项目审查和报告更新等技术支持；安排专人负责售后技术支持，并提供其联系手机、电话、传真、email；如人员需要调整应及时通知采购人。</w:t>
            </w:r>
          </w:p>
          <w:p>
            <w:pPr>
              <w:widowControl w:val="0"/>
              <w:ind w:firstLine="421" w:firstLineChars="200"/>
              <w:rPr>
                <w:rFonts w:hint="eastAsia" w:ascii="仿宋" w:hAnsi="仿宋" w:eastAsia="仿宋" w:cs="仿宋"/>
                <w:b/>
                <w:bCs/>
                <w:kern w:val="0"/>
                <w:szCs w:val="21"/>
                <w:lang w:eastAsia="zh-CN"/>
              </w:rPr>
            </w:pPr>
            <w:r>
              <w:rPr>
                <w:rFonts w:hint="eastAsia" w:ascii="仿宋" w:hAnsi="仿宋" w:eastAsia="仿宋" w:cs="仿宋"/>
                <w:b/>
                <w:bCs/>
                <w:kern w:val="0"/>
                <w:szCs w:val="21"/>
                <w:lang w:eastAsia="zh-CN"/>
              </w:rPr>
              <w:t>二、项目依据及参考标准</w:t>
            </w:r>
          </w:p>
          <w:p>
            <w:pPr>
              <w:widowControl w:val="0"/>
              <w:ind w:firstLine="420" w:firstLineChars="200"/>
              <w:rPr>
                <w:rFonts w:hint="eastAsia" w:ascii="仿宋" w:hAnsi="仿宋" w:eastAsia="仿宋" w:cs="仿宋"/>
                <w:kern w:val="0"/>
                <w:szCs w:val="21"/>
                <w:lang w:eastAsia="zh-CN"/>
              </w:rPr>
            </w:pPr>
            <w:r>
              <w:rPr>
                <w:rFonts w:hint="eastAsia" w:ascii="仿宋" w:hAnsi="仿宋" w:eastAsia="仿宋" w:cs="仿宋"/>
                <w:kern w:val="0"/>
                <w:szCs w:val="21"/>
                <w:lang w:eastAsia="zh-CN"/>
              </w:rPr>
              <w:t>1.为进一步完善国有建设用地使用权出让底价确定程序，加强出让地价评估管理，促进土地市场平稳健康运行，根据《招标拍卖挂牌出让国有建设用地使用权规定》（国土资源部令第39号，2007年）、《国土资源部办公厅关于印发&lt;国有建设用地使用权出让地价评估技术规范&gt;的通知》（国土资厅发〔2018〕4号）规定，国有建设用地使用权出让地价需经专业评估，底价应由集体决策。市、县国土资源主管部门或国有建设用地使用权出让协调决策机构，应以土地估价结果为重要参考依据，并统筹考虑产业政策、土地供应政策和土地市场运行情况，集体决策确定土地出让底价。</w:t>
            </w:r>
          </w:p>
          <w:p>
            <w:pPr>
              <w:widowControl w:val="0"/>
              <w:ind w:firstLine="420" w:firstLineChars="200"/>
              <w:rPr>
                <w:rFonts w:hint="eastAsia" w:ascii="仿宋" w:hAnsi="仿宋" w:eastAsia="仿宋" w:cs="仿宋"/>
                <w:kern w:val="0"/>
                <w:szCs w:val="21"/>
                <w:lang w:eastAsia="zh-CN"/>
              </w:rPr>
            </w:pPr>
            <w:r>
              <w:rPr>
                <w:rFonts w:hint="eastAsia" w:ascii="仿宋" w:hAnsi="仿宋" w:eastAsia="仿宋" w:cs="仿宋"/>
                <w:kern w:val="0"/>
                <w:szCs w:val="21"/>
                <w:lang w:eastAsia="zh-CN"/>
              </w:rPr>
              <w:t>2.土地估价机构要按照《关于实行电子化备案完善土地估价报告备案制度的通知》（国土资厅发〔2012〕35号）要求履行电子备案程序，通过国家估价报告备案系统进行报告备案，并取得电子备案号。根据《国土资源部关于部署运行土地市场动态监测与监管系统的通知》（国土资发〔2008〕284号），供地计划、出让公告、成交公示、供地结果和出让地价报告的电子备案号等信息必须按要求及时录入土地市场动态监测与监管系统。</w:t>
            </w:r>
          </w:p>
          <w:p>
            <w:pPr>
              <w:widowControl w:val="0"/>
              <w:ind w:firstLine="420" w:firstLineChars="200"/>
              <w:rPr>
                <w:rFonts w:hint="eastAsia" w:ascii="仿宋" w:hAnsi="仿宋" w:eastAsia="仿宋" w:cs="仿宋"/>
                <w:kern w:val="0"/>
                <w:szCs w:val="21"/>
                <w:lang w:eastAsia="zh-CN"/>
              </w:rPr>
            </w:pPr>
            <w:r>
              <w:rPr>
                <w:rFonts w:hint="eastAsia" w:ascii="仿宋" w:hAnsi="仿宋" w:eastAsia="仿宋" w:cs="仿宋"/>
                <w:kern w:val="0"/>
                <w:szCs w:val="21"/>
                <w:lang w:eastAsia="zh-CN"/>
              </w:rPr>
              <w:t>3.根据市规划国土委关于印发《深圳市贯彻执行&lt;闲置土地处置办法&gt;的实施意见（试行）》的通知》（深规土〔2013〕22号），协商有偿收回土地使用权的补偿标准：属于政府、政府有关部门的行为造成动工开发延迟的，国土资源部门与土地使用权人协商有偿收回土地使用权时，补偿标准按照市场评估地价确定。</w:t>
            </w:r>
          </w:p>
          <w:p>
            <w:pPr>
              <w:widowControl w:val="0"/>
              <w:ind w:firstLine="420" w:firstLineChars="200"/>
              <w:rPr>
                <w:rFonts w:hint="eastAsia" w:ascii="仿宋" w:hAnsi="仿宋" w:eastAsia="仿宋" w:cs="仿宋"/>
                <w:kern w:val="0"/>
                <w:szCs w:val="21"/>
                <w:lang w:eastAsia="zh-CN"/>
              </w:rPr>
            </w:pPr>
            <w:r>
              <w:rPr>
                <w:rFonts w:hint="eastAsia" w:ascii="仿宋" w:hAnsi="仿宋" w:eastAsia="仿宋" w:cs="仿宋"/>
                <w:kern w:val="0"/>
                <w:szCs w:val="21"/>
                <w:lang w:eastAsia="zh-CN"/>
              </w:rPr>
              <w:t>4.取费依据：收费标准参照2013年深圳市不动产估价协会颁布的《深圳市不动产估价行业收费管理规定》（深估协字【2013】04号），采取差额定率累进计费，依据土地价格总额分段累进计收。</w:t>
            </w:r>
          </w:p>
          <w:p>
            <w:pPr>
              <w:widowControl w:val="0"/>
              <w:ind w:firstLine="420" w:firstLineChars="200"/>
              <w:rPr>
                <w:rFonts w:hint="eastAsia" w:ascii="仿宋" w:hAnsi="仿宋" w:eastAsia="仿宋" w:cs="仿宋"/>
                <w:kern w:val="0"/>
                <w:szCs w:val="21"/>
                <w:lang w:eastAsia="zh-CN"/>
              </w:rPr>
            </w:pPr>
          </w:p>
          <w:p>
            <w:pPr>
              <w:widowControl w:val="0"/>
              <w:ind w:firstLine="421" w:firstLineChars="200"/>
              <w:rPr>
                <w:rFonts w:hint="eastAsia" w:ascii="仿宋" w:hAnsi="仿宋" w:eastAsia="仿宋" w:cs="仿宋"/>
                <w:b/>
                <w:bCs/>
                <w:kern w:val="0"/>
                <w:szCs w:val="21"/>
              </w:rPr>
            </w:pPr>
            <w:r>
              <w:rPr>
                <w:rFonts w:hint="eastAsia" w:ascii="仿宋" w:hAnsi="仿宋" w:eastAsia="仿宋" w:cs="仿宋"/>
                <w:b/>
                <w:bCs/>
                <w:kern w:val="0"/>
                <w:szCs w:val="21"/>
                <w:lang w:eastAsia="zh-CN"/>
              </w:rPr>
              <w:t>三、</w:t>
            </w:r>
            <w:r>
              <w:rPr>
                <w:rFonts w:hint="eastAsia" w:ascii="仿宋" w:hAnsi="仿宋" w:eastAsia="仿宋" w:cs="仿宋"/>
                <w:b/>
                <w:bCs/>
                <w:kern w:val="0"/>
                <w:szCs w:val="21"/>
              </w:rPr>
              <w:t>项目服务期限</w:t>
            </w:r>
          </w:p>
          <w:p>
            <w:pPr>
              <w:widowControl w:val="0"/>
              <w:ind w:firstLine="420" w:firstLineChars="200"/>
              <w:rPr>
                <w:rFonts w:hint="eastAsia" w:ascii="仿宋" w:hAnsi="仿宋" w:eastAsia="仿宋" w:cs="仿宋"/>
                <w:kern w:val="0"/>
                <w:szCs w:val="21"/>
              </w:rPr>
            </w:pPr>
            <w:r>
              <w:rPr>
                <w:rFonts w:hint="eastAsia" w:ascii="仿宋" w:hAnsi="仿宋" w:eastAsia="仿宋" w:cs="仿宋"/>
                <w:kern w:val="0"/>
                <w:szCs w:val="21"/>
              </w:rPr>
              <w:t>项目服务期限为自合同签订之日起1</w:t>
            </w:r>
            <w:r>
              <w:rPr>
                <w:rFonts w:hint="eastAsia" w:ascii="仿宋" w:hAnsi="仿宋" w:eastAsia="仿宋" w:cs="仿宋"/>
                <w:kern w:val="0"/>
                <w:szCs w:val="21"/>
                <w:lang w:val="en-US" w:eastAsia="zh-CN"/>
              </w:rPr>
              <w:t>2</w:t>
            </w:r>
            <w:r>
              <w:rPr>
                <w:rFonts w:hint="eastAsia" w:ascii="仿宋" w:hAnsi="仿宋" w:eastAsia="仿宋" w:cs="仿宋"/>
                <w:kern w:val="0"/>
                <w:szCs w:val="21"/>
              </w:rPr>
              <w:t>个月内</w:t>
            </w:r>
            <w:r>
              <w:rPr>
                <w:rFonts w:ascii="仿宋" w:hAnsi="仿宋" w:eastAsia="仿宋" w:cs="仿宋"/>
                <w:kern w:val="0"/>
                <w:szCs w:val="21"/>
              </w:rPr>
              <w:t>，售后服务期限从最终成果提交采购人之日起至少12个月。</w:t>
            </w:r>
          </w:p>
          <w:p>
            <w:pPr>
              <w:widowControl w:val="0"/>
              <w:ind w:firstLine="421" w:firstLineChars="200"/>
              <w:rPr>
                <w:rFonts w:hint="eastAsia" w:ascii="仿宋" w:hAnsi="仿宋" w:eastAsia="仿宋" w:cs="仿宋"/>
                <w:b/>
                <w:bCs/>
                <w:kern w:val="0"/>
                <w:szCs w:val="21"/>
                <w:lang w:eastAsia="zh-CN"/>
              </w:rPr>
            </w:pPr>
            <w:r>
              <w:rPr>
                <w:rFonts w:hint="eastAsia" w:ascii="仿宋" w:hAnsi="仿宋" w:eastAsia="仿宋" w:cs="仿宋"/>
                <w:b/>
                <w:bCs/>
                <w:kern w:val="0"/>
                <w:szCs w:val="21"/>
                <w:lang w:eastAsia="zh-CN"/>
              </w:rPr>
              <w:t>四、</w:t>
            </w:r>
            <w:r>
              <w:rPr>
                <w:rFonts w:hint="eastAsia" w:ascii="仿宋" w:hAnsi="仿宋" w:eastAsia="仿宋" w:cs="仿宋"/>
                <w:b/>
                <w:bCs/>
                <w:kern w:val="0"/>
                <w:szCs w:val="21"/>
              </w:rPr>
              <w:t>组织实施</w:t>
            </w:r>
            <w:r>
              <w:rPr>
                <w:rFonts w:hint="eastAsia" w:ascii="仿宋" w:hAnsi="仿宋" w:eastAsia="仿宋" w:cs="仿宋"/>
                <w:b/>
                <w:bCs/>
                <w:kern w:val="0"/>
                <w:szCs w:val="21"/>
                <w:lang w:eastAsia="zh-CN"/>
              </w:rPr>
              <w:t>要求</w:t>
            </w:r>
          </w:p>
          <w:p>
            <w:pPr>
              <w:widowControl w:val="0"/>
              <w:ind w:firstLine="420" w:firstLineChars="200"/>
              <w:rPr>
                <w:rFonts w:hint="eastAsia" w:ascii="仿宋" w:hAnsi="仿宋" w:eastAsia="仿宋" w:cs="仿宋"/>
                <w:kern w:val="0"/>
                <w:szCs w:val="21"/>
              </w:rPr>
            </w:pPr>
            <w:r>
              <w:rPr>
                <w:rFonts w:hint="eastAsia" w:ascii="仿宋" w:hAnsi="仿宋" w:eastAsia="仿宋" w:cs="仿宋"/>
                <w:kern w:val="0"/>
                <w:szCs w:val="21"/>
              </w:rPr>
              <w:t>为确保本次项目工作管理规范、实施有力，中标方应成立项目组，按采购方要求完成</w:t>
            </w:r>
            <w:r>
              <w:rPr>
                <w:rFonts w:hint="eastAsia" w:ascii="仿宋" w:hAnsi="仿宋" w:eastAsia="仿宋" w:cs="仿宋"/>
                <w:kern w:val="0"/>
                <w:szCs w:val="21"/>
                <w:lang w:eastAsia="zh-CN"/>
              </w:rPr>
              <w:t>地价评估项目</w:t>
            </w:r>
            <w:r>
              <w:rPr>
                <w:rFonts w:hint="eastAsia" w:ascii="仿宋" w:hAnsi="仿宋" w:eastAsia="仿宋" w:cs="仿宋"/>
                <w:kern w:val="0"/>
                <w:szCs w:val="21"/>
              </w:rPr>
              <w:t>成果。</w:t>
            </w:r>
          </w:p>
          <w:p>
            <w:pPr>
              <w:widowControl w:val="0"/>
              <w:ind w:firstLine="420" w:firstLineChars="200"/>
              <w:rPr>
                <w:rFonts w:hint="eastAsia" w:ascii="仿宋" w:hAnsi="仿宋" w:eastAsia="仿宋" w:cs="仿宋"/>
                <w:kern w:val="0"/>
                <w:szCs w:val="21"/>
              </w:rPr>
            </w:pPr>
            <w:r>
              <w:rPr>
                <w:rFonts w:hint="eastAsia" w:ascii="仿宋" w:hAnsi="仿宋" w:eastAsia="仿宋" w:cs="仿宋"/>
                <w:kern w:val="0"/>
                <w:szCs w:val="21"/>
              </w:rPr>
              <w:t>中标方须配合采购方组织、举办本项目各工作阶段的汇报</w:t>
            </w:r>
            <w:r>
              <w:rPr>
                <w:rFonts w:hint="eastAsia" w:ascii="仿宋" w:hAnsi="仿宋" w:eastAsia="仿宋" w:cs="仿宋"/>
                <w:kern w:val="0"/>
                <w:szCs w:val="21"/>
                <w:lang w:eastAsia="zh-CN"/>
              </w:rPr>
              <w:t>、会议</w:t>
            </w:r>
            <w:r>
              <w:rPr>
                <w:rFonts w:hint="eastAsia" w:ascii="仿宋" w:hAnsi="仿宋" w:eastAsia="仿宋" w:cs="仿宋"/>
                <w:kern w:val="0"/>
                <w:szCs w:val="21"/>
              </w:rPr>
              <w:t>等工作。</w:t>
            </w:r>
          </w:p>
          <w:p>
            <w:pPr>
              <w:widowControl w:val="0"/>
              <w:ind w:firstLine="421" w:firstLineChars="200"/>
              <w:rPr>
                <w:rFonts w:hint="eastAsia" w:ascii="仿宋" w:hAnsi="仿宋" w:eastAsia="仿宋" w:cs="仿宋"/>
                <w:b/>
                <w:bCs/>
                <w:kern w:val="0"/>
                <w:szCs w:val="21"/>
              </w:rPr>
            </w:pPr>
            <w:r>
              <w:rPr>
                <w:rFonts w:hint="eastAsia" w:ascii="仿宋" w:hAnsi="仿宋" w:eastAsia="仿宋" w:cs="仿宋"/>
                <w:b/>
                <w:bCs/>
                <w:kern w:val="0"/>
                <w:szCs w:val="21"/>
                <w:lang w:eastAsia="zh-CN"/>
              </w:rPr>
              <w:t>五、</w:t>
            </w:r>
            <w:r>
              <w:rPr>
                <w:rFonts w:hint="eastAsia" w:ascii="仿宋" w:hAnsi="仿宋" w:eastAsia="仿宋" w:cs="仿宋"/>
                <w:b/>
                <w:bCs/>
                <w:kern w:val="0"/>
                <w:szCs w:val="21"/>
              </w:rPr>
              <w:t>成果要求</w:t>
            </w:r>
          </w:p>
          <w:p>
            <w:pPr>
              <w:widowControl w:val="0"/>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（一）本项目的主要成果如下：</w:t>
            </w:r>
            <w:r>
              <w:rPr>
                <w:rFonts w:hint="eastAsia" w:ascii="仿宋" w:hAnsi="仿宋" w:eastAsia="仿宋" w:cs="仿宋"/>
                <w:kern w:val="0"/>
                <w:szCs w:val="21"/>
                <w:lang w:eastAsia="zh-CN"/>
              </w:rPr>
              <w:t>单个地价评估项目的《土地估价报告》及电子备案号；单个地价评估项目的地价测算结果（函）；相关会议汇报材料等。</w:t>
            </w:r>
          </w:p>
          <w:p>
            <w:pPr>
              <w:widowControl w:val="0"/>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（二）成果交付形式及数量</w:t>
            </w:r>
          </w:p>
          <w:p>
            <w:pPr>
              <w:widowControl w:val="0"/>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土地估价报告以纸质件装订成册，一式二份，提交数量应能满足招标人的使用要求；电子备案号以word格式提交电子文档。；地价测算结果（函）以纸质或电子文档形式提交；相关会议汇报材料按照甲方要求提供相关材料。</w:t>
            </w:r>
          </w:p>
          <w:p>
            <w:pPr>
              <w:widowControl w:val="0"/>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（三）成果交付时间</w:t>
            </w:r>
          </w:p>
          <w:p>
            <w:pPr>
              <w:widowControl w:val="0"/>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估价资料完备的情况下，中标单位应在15个工作日内提交估价结果，并在土地出让方案审定后3个工作日内提交正式估价报告书及电子备案号；估价资料不完备或者采购人有特殊需要的情况下，由采购人与中标单位双方协商具体工作时间要求，中标单位应配合采购人按时完成土地供应计划。</w:t>
            </w:r>
          </w:p>
          <w:p>
            <w:pPr>
              <w:widowControl w:val="0"/>
              <w:ind w:firstLine="420" w:firstLineChars="200"/>
              <w:rPr>
                <w:rFonts w:hint="eastAsia" w:ascii="仿宋" w:hAnsi="仿宋" w:eastAsia="仿宋" w:cs="仿宋"/>
                <w:kern w:val="0"/>
                <w:szCs w:val="21"/>
                <w:lang w:eastAsia="zh-CN"/>
              </w:rPr>
            </w:pPr>
            <w:r>
              <w:rPr>
                <w:rFonts w:hint="eastAsia" w:ascii="仿宋" w:hAnsi="仿宋" w:eastAsia="仿宋" w:cs="仿宋"/>
                <w:kern w:val="0"/>
                <w:szCs w:val="21"/>
                <w:lang w:val="en-US" w:eastAsia="zh-CN"/>
              </w:rPr>
              <w:t>（四）基于成果的特殊性，成果交付应有安全、保密渠道。</w:t>
            </w:r>
          </w:p>
          <w:p>
            <w:pPr>
              <w:widowControl w:val="0"/>
              <w:ind w:firstLine="421" w:firstLineChars="200"/>
              <w:rPr>
                <w:rFonts w:hint="eastAsia" w:ascii="仿宋" w:hAnsi="仿宋" w:eastAsia="仿宋" w:cs="仿宋"/>
                <w:b/>
                <w:bCs/>
                <w:kern w:val="0"/>
                <w:szCs w:val="21"/>
                <w:lang w:eastAsia="zh-CN"/>
              </w:rPr>
            </w:pPr>
            <w:r>
              <w:rPr>
                <w:rFonts w:hint="eastAsia" w:ascii="仿宋" w:hAnsi="仿宋" w:eastAsia="仿宋" w:cs="仿宋"/>
                <w:b/>
                <w:bCs/>
                <w:kern w:val="0"/>
                <w:szCs w:val="21"/>
                <w:lang w:eastAsia="zh-CN"/>
              </w:rPr>
              <w:t>六、</w:t>
            </w:r>
            <w:r>
              <w:rPr>
                <w:rFonts w:hint="eastAsia" w:ascii="仿宋" w:hAnsi="仿宋" w:eastAsia="仿宋" w:cs="仿宋"/>
                <w:b/>
                <w:bCs/>
                <w:kern w:val="0"/>
                <w:szCs w:val="21"/>
              </w:rPr>
              <w:t>项目人员安排</w:t>
            </w:r>
            <w:r>
              <w:rPr>
                <w:rFonts w:hint="eastAsia" w:ascii="仿宋" w:hAnsi="仿宋" w:eastAsia="仿宋" w:cs="仿宋"/>
                <w:b/>
                <w:bCs/>
                <w:kern w:val="0"/>
                <w:szCs w:val="21"/>
                <w:lang w:eastAsia="zh-CN"/>
              </w:rPr>
              <w:t>要求</w:t>
            </w:r>
          </w:p>
          <w:p>
            <w:pPr>
              <w:widowControl w:val="0"/>
              <w:ind w:firstLine="420" w:firstLineChars="200"/>
              <w:rPr>
                <w:rFonts w:hint="eastAsia" w:ascii="仿宋" w:hAnsi="仿宋" w:eastAsia="仿宋" w:cs="仿宋"/>
                <w:kern w:val="0"/>
                <w:szCs w:val="21"/>
              </w:rPr>
            </w:pPr>
            <w:r>
              <w:rPr>
                <w:rFonts w:hint="eastAsia" w:ascii="仿宋" w:hAnsi="仿宋" w:eastAsia="仿宋" w:cs="仿宋"/>
                <w:kern w:val="0"/>
                <w:szCs w:val="21"/>
                <w:lang w:eastAsia="zh-CN"/>
              </w:rPr>
              <w:t>（一）</w:t>
            </w:r>
            <w:r>
              <w:rPr>
                <w:rFonts w:hint="eastAsia" w:ascii="仿宋" w:hAnsi="仿宋" w:eastAsia="仿宋" w:cs="仿宋"/>
                <w:kern w:val="0"/>
                <w:szCs w:val="21"/>
              </w:rPr>
              <w:t>人员要求</w:t>
            </w:r>
          </w:p>
          <w:p>
            <w:pPr>
              <w:widowControl w:val="0"/>
              <w:ind w:firstLine="420" w:firstLineChars="200"/>
              <w:rPr>
                <w:rFonts w:hint="eastAsia" w:ascii="仿宋" w:hAnsi="仿宋" w:eastAsia="仿宋" w:cs="仿宋"/>
                <w:kern w:val="0"/>
                <w:szCs w:val="21"/>
              </w:rPr>
            </w:pPr>
            <w:r>
              <w:rPr>
                <w:rFonts w:hint="eastAsia" w:ascii="仿宋" w:hAnsi="仿宋" w:eastAsia="仿宋" w:cs="仿宋"/>
                <w:kern w:val="0"/>
                <w:szCs w:val="21"/>
              </w:rPr>
              <w:t>投标人须承诺中标后在本项目投入的土地估价报告的评估人员必须是报告评估单位的专业技术人员，且主要评估人员（三人或以上）应当具备土地估价师或房地产估价师执业资格。以上承诺，投标人须提供承诺函，否则视为未能实质性满足招标文件要求。</w:t>
            </w:r>
          </w:p>
          <w:p>
            <w:pPr>
              <w:widowControl w:val="0"/>
              <w:ind w:firstLine="420" w:firstLineChars="200"/>
              <w:rPr>
                <w:rFonts w:hint="eastAsia" w:ascii="仿宋" w:hAnsi="仿宋" w:eastAsia="仿宋" w:cs="仿宋"/>
                <w:kern w:val="0"/>
                <w:szCs w:val="21"/>
              </w:rPr>
            </w:pPr>
            <w:r>
              <w:rPr>
                <w:rFonts w:hint="eastAsia" w:ascii="仿宋" w:hAnsi="仿宋" w:eastAsia="仿宋" w:cs="仿宋"/>
                <w:kern w:val="0"/>
                <w:szCs w:val="21"/>
                <w:lang w:eastAsia="zh-CN"/>
              </w:rPr>
              <w:t>（二）</w:t>
            </w:r>
            <w:r>
              <w:rPr>
                <w:rFonts w:hint="eastAsia" w:ascii="仿宋" w:hAnsi="仿宋" w:eastAsia="仿宋" w:cs="仿宋"/>
                <w:kern w:val="0"/>
                <w:szCs w:val="21"/>
              </w:rPr>
              <w:t>工作量要求</w:t>
            </w:r>
          </w:p>
          <w:p>
            <w:pPr>
              <w:widowControl w:val="0"/>
              <w:ind w:firstLine="420" w:firstLineChars="200"/>
              <w:rPr>
                <w:rFonts w:hint="eastAsia" w:ascii="仿宋" w:hAnsi="仿宋" w:eastAsia="仿宋" w:cs="仿宋"/>
                <w:kern w:val="0"/>
                <w:szCs w:val="21"/>
              </w:rPr>
            </w:pPr>
            <w:r>
              <w:rPr>
                <w:rFonts w:hint="eastAsia" w:ascii="仿宋" w:hAnsi="仿宋" w:eastAsia="仿宋" w:cs="仿宋"/>
                <w:kern w:val="0"/>
                <w:szCs w:val="21"/>
              </w:rPr>
              <w:t>中标单位根据地块实际情况安排实物工作量，以满足相关法律法规及行业规范为准。</w:t>
            </w:r>
          </w:p>
          <w:p>
            <w:pPr>
              <w:widowControl w:val="0"/>
              <w:ind w:firstLine="420" w:firstLineChars="200"/>
              <w:rPr>
                <w:rFonts w:hint="eastAsia" w:ascii="仿宋" w:hAnsi="仿宋" w:eastAsia="仿宋" w:cs="仿宋"/>
                <w:kern w:val="0"/>
                <w:szCs w:val="21"/>
              </w:rPr>
            </w:pPr>
            <w:r>
              <w:rPr>
                <w:rFonts w:hint="eastAsia" w:ascii="仿宋" w:hAnsi="仿宋" w:eastAsia="仿宋" w:cs="仿宋"/>
                <w:kern w:val="0"/>
                <w:szCs w:val="21"/>
                <w:lang w:eastAsia="zh-CN"/>
              </w:rPr>
              <w:t>（三）</w:t>
            </w:r>
            <w:r>
              <w:rPr>
                <w:rFonts w:hint="eastAsia" w:ascii="仿宋" w:hAnsi="仿宋" w:eastAsia="仿宋" w:cs="仿宋"/>
                <w:kern w:val="0"/>
                <w:szCs w:val="21"/>
              </w:rPr>
              <w:t>项目总体要求</w:t>
            </w:r>
          </w:p>
          <w:p>
            <w:pPr>
              <w:widowControl w:val="0"/>
              <w:ind w:firstLine="420" w:firstLineChars="200"/>
              <w:rPr>
                <w:rFonts w:hint="eastAsia" w:ascii="仿宋" w:hAnsi="仿宋" w:eastAsia="仿宋" w:cs="仿宋"/>
                <w:kern w:val="0"/>
                <w:szCs w:val="21"/>
              </w:rPr>
            </w:pPr>
            <w:r>
              <w:rPr>
                <w:rFonts w:hint="eastAsia" w:ascii="仿宋" w:hAnsi="仿宋" w:eastAsia="仿宋" w:cs="仿宋"/>
                <w:kern w:val="0"/>
                <w:szCs w:val="21"/>
                <w:lang w:val="en-US" w:eastAsia="zh-CN"/>
              </w:rPr>
              <w:t>1.</w:t>
            </w:r>
            <w:r>
              <w:rPr>
                <w:rFonts w:hint="eastAsia" w:ascii="仿宋" w:hAnsi="仿宋" w:eastAsia="仿宋" w:cs="仿宋"/>
                <w:kern w:val="0"/>
                <w:szCs w:val="21"/>
              </w:rPr>
              <w:t>项目成果要严格依照国家、省、市颁布的有关法律、法规、政策要求，符合相关的技术规范和标准。</w:t>
            </w:r>
          </w:p>
          <w:p>
            <w:pPr>
              <w:widowControl w:val="0"/>
              <w:ind w:firstLine="420" w:firstLineChars="200"/>
              <w:rPr>
                <w:rFonts w:hint="eastAsia" w:ascii="仿宋" w:hAnsi="仿宋" w:eastAsia="仿宋" w:cs="仿宋"/>
                <w:kern w:val="0"/>
                <w:szCs w:val="21"/>
              </w:rPr>
            </w:pPr>
            <w:r>
              <w:rPr>
                <w:rFonts w:hint="eastAsia" w:ascii="仿宋" w:hAnsi="仿宋" w:eastAsia="仿宋" w:cs="仿宋"/>
                <w:kern w:val="0"/>
                <w:szCs w:val="21"/>
                <w:lang w:val="en-US" w:eastAsia="zh-CN"/>
              </w:rPr>
              <w:t>2.</w:t>
            </w:r>
            <w:r>
              <w:rPr>
                <w:rFonts w:hint="eastAsia" w:ascii="仿宋" w:hAnsi="仿宋" w:eastAsia="仿宋" w:cs="仿宋"/>
                <w:kern w:val="0"/>
                <w:szCs w:val="21"/>
              </w:rPr>
              <w:t xml:space="preserve">地价评估过程中应当进行深入调查研究，按照规定的程序和方法，参照正常市场价格水平，结合土地、房地产市场实际情况，评估拟出让宗地土地使用权价格。 </w:t>
            </w:r>
          </w:p>
          <w:p>
            <w:pPr>
              <w:widowControl w:val="0"/>
              <w:ind w:firstLine="420" w:firstLineChars="200"/>
              <w:rPr>
                <w:rFonts w:hint="eastAsia" w:ascii="仿宋" w:hAnsi="仿宋" w:eastAsia="仿宋" w:cs="仿宋"/>
                <w:kern w:val="0"/>
                <w:szCs w:val="21"/>
              </w:rPr>
            </w:pPr>
            <w:r>
              <w:rPr>
                <w:rFonts w:hint="eastAsia" w:ascii="仿宋" w:hAnsi="仿宋" w:eastAsia="仿宋" w:cs="仿宋"/>
                <w:kern w:val="0"/>
                <w:szCs w:val="21"/>
                <w:lang w:val="en-US" w:eastAsia="zh-CN"/>
              </w:rPr>
              <w:t>3.</w:t>
            </w:r>
            <w:r>
              <w:rPr>
                <w:rFonts w:hint="eastAsia" w:ascii="仿宋" w:hAnsi="仿宋" w:eastAsia="仿宋" w:cs="仿宋"/>
                <w:kern w:val="0"/>
                <w:szCs w:val="21"/>
              </w:rPr>
              <w:t>中标单位须及时、保质地对拟出让宗地进行估价。</w:t>
            </w:r>
          </w:p>
          <w:p>
            <w:pPr>
              <w:widowControl w:val="0"/>
              <w:ind w:firstLine="420" w:firstLineChars="200"/>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（四）项目服务要求</w:t>
            </w:r>
          </w:p>
          <w:p>
            <w:pPr>
              <w:widowControl w:val="0"/>
              <w:ind w:firstLine="420" w:firstLineChars="200"/>
              <w:rPr>
                <w:rFonts w:hint="eastAsia" w:ascii="仿宋" w:hAnsi="仿宋" w:eastAsia="仿宋" w:cs="仿宋"/>
                <w:kern w:val="0"/>
                <w:szCs w:val="21"/>
              </w:rPr>
            </w:pPr>
            <w:r>
              <w:rPr>
                <w:rFonts w:hint="eastAsia" w:ascii="仿宋" w:hAnsi="仿宋" w:eastAsia="仿宋" w:cs="仿宋"/>
                <w:kern w:val="0"/>
                <w:szCs w:val="21"/>
              </w:rPr>
              <w:t>委托进行地价评估，最终以实际工作量进行结算，结算总额不得超过中标价；中标单位应按合同要求按时、按质、按量推进项目工作；中标单位项目组成员应按采购方的要求参加本项目相关工作会议。</w:t>
            </w:r>
          </w:p>
          <w:p>
            <w:pPr>
              <w:widowControl w:val="0"/>
              <w:ind w:firstLine="421" w:firstLineChars="200"/>
              <w:rPr>
                <w:rFonts w:hint="eastAsia" w:ascii="仿宋" w:hAnsi="仿宋" w:eastAsia="仿宋" w:cs="仿宋"/>
                <w:b/>
                <w:bCs/>
                <w:kern w:val="0"/>
                <w:szCs w:val="21"/>
              </w:rPr>
            </w:pPr>
            <w:r>
              <w:rPr>
                <w:rFonts w:hint="eastAsia" w:ascii="仿宋" w:hAnsi="仿宋" w:eastAsia="仿宋" w:cs="仿宋"/>
                <w:b/>
                <w:bCs/>
                <w:kern w:val="0"/>
                <w:szCs w:val="21"/>
                <w:lang w:eastAsia="zh-CN"/>
              </w:rPr>
              <w:t>七、</w:t>
            </w:r>
            <w:r>
              <w:rPr>
                <w:rFonts w:hint="eastAsia" w:ascii="仿宋" w:hAnsi="仿宋" w:eastAsia="仿宋" w:cs="仿宋"/>
                <w:b/>
                <w:bCs/>
                <w:kern w:val="0"/>
                <w:szCs w:val="21"/>
              </w:rPr>
              <w:t>售后服务内容、要求和期限</w:t>
            </w:r>
          </w:p>
          <w:p>
            <w:pPr>
              <w:widowControl w:val="0"/>
              <w:ind w:firstLine="420" w:firstLineChars="200"/>
              <w:rPr>
                <w:rFonts w:hint="eastAsia" w:ascii="仿宋" w:hAnsi="仿宋" w:eastAsia="仿宋" w:cs="仿宋"/>
                <w:kern w:val="0"/>
                <w:szCs w:val="21"/>
              </w:rPr>
            </w:pPr>
            <w:r>
              <w:rPr>
                <w:rFonts w:hint="eastAsia" w:ascii="仿宋" w:hAnsi="仿宋" w:eastAsia="仿宋" w:cs="仿宋"/>
                <w:kern w:val="0"/>
                <w:szCs w:val="21"/>
              </w:rPr>
              <w:t>本项目最后成果提交采购人后即进入售后服务期，要求由中标单位提供1年的技术支持；投标人在投标文件中应提供详细的售后服务承诺书，并加盖投标人的单位公章；安排专人负责售后技术支持，并提供其联系手机、电话、传真、Email；如人员需要调整应及时通知采购人；中标单位应配合采购方进行与本项目相关的技术审查工作，并提供专业技术意见；按采购人要求完成售后服务。</w:t>
            </w:r>
          </w:p>
          <w:p>
            <w:pPr>
              <w:widowControl w:val="0"/>
              <w:ind w:firstLine="420" w:firstLineChars="20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1560" w:type="dxa"/>
            <w:vAlign w:val="center"/>
          </w:tcPr>
          <w:p>
            <w:pPr>
              <w:widowControl w:val="0"/>
              <w:jc w:val="center"/>
              <w:rPr>
                <w:rFonts w:hint="eastAsia" w:ascii="仿宋" w:hAnsi="仿宋" w:eastAsia="仿宋" w:cs="仿宋"/>
                <w:kern w:val="0"/>
                <w:szCs w:val="21"/>
              </w:rPr>
            </w:pPr>
            <w:r>
              <w:rPr>
                <w:rFonts w:hint="eastAsia" w:ascii="仿宋" w:hAnsi="仿宋" w:eastAsia="仿宋" w:cs="仿宋"/>
                <w:kern w:val="0"/>
                <w:szCs w:val="21"/>
              </w:rPr>
              <w:t>具体技术要求</w:t>
            </w:r>
          </w:p>
        </w:tc>
        <w:tc>
          <w:tcPr>
            <w:tcW w:w="7407" w:type="dxa"/>
            <w:gridSpan w:val="5"/>
          </w:tcPr>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ascii="仿宋" w:hAnsi="仿宋" w:eastAsia="仿宋" w:cs="仿宋"/>
                <w:kern w:val="0"/>
                <w:szCs w:val="21"/>
              </w:rPr>
              <w:t>中标单位应严格执行的技术规范、遵守的法律政策包括但不限于：《国有建设用地使用权出让地价评估技术规范》（国土资厅发【201</w:t>
            </w:r>
            <w:r>
              <w:rPr>
                <w:rFonts w:hint="eastAsia" w:ascii="仿宋" w:hAnsi="仿宋" w:eastAsia="仿宋" w:cs="仿宋"/>
                <w:kern w:val="0"/>
                <w:szCs w:val="21"/>
                <w:lang w:val="en-US" w:eastAsia="zh-CN"/>
              </w:rPr>
              <w:t>8</w:t>
            </w:r>
            <w:r>
              <w:rPr>
                <w:rFonts w:hint="eastAsia" w:ascii="仿宋" w:hAnsi="仿宋" w:eastAsia="仿宋" w:cs="仿宋"/>
                <w:kern w:val="0"/>
                <w:szCs w:val="21"/>
              </w:rPr>
              <w:t>】</w:t>
            </w:r>
            <w:r>
              <w:rPr>
                <w:rFonts w:hint="eastAsia" w:ascii="仿宋" w:hAnsi="仿宋" w:eastAsia="仿宋" w:cs="仿宋"/>
                <w:kern w:val="0"/>
                <w:szCs w:val="21"/>
                <w:lang w:val="en-US" w:eastAsia="zh-CN"/>
              </w:rPr>
              <w:t>4</w:t>
            </w:r>
            <w:r>
              <w:rPr>
                <w:rFonts w:hint="eastAsia" w:ascii="仿宋" w:hAnsi="仿宋" w:eastAsia="仿宋" w:cs="仿宋"/>
                <w:kern w:val="0"/>
                <w:szCs w:val="21"/>
              </w:rPr>
              <w:t>号）、GB/T 18508-2014《城镇土地估价规程》、GB/T 18507-2014《城镇土地分等定级规程》、GB/T 21010-2007《土地利用现状分类》、TD/T 1009-20</w:t>
            </w:r>
            <w:r>
              <w:rPr>
                <w:rFonts w:hint="eastAsia" w:ascii="仿宋" w:hAnsi="仿宋" w:eastAsia="仿宋" w:cs="仿宋"/>
                <w:kern w:val="0"/>
                <w:szCs w:val="21"/>
                <w:lang w:val="en-US" w:eastAsia="zh-CN"/>
              </w:rPr>
              <w:t>1</w:t>
            </w:r>
            <w:r>
              <w:rPr>
                <w:rFonts w:hint="eastAsia" w:ascii="仿宋" w:hAnsi="仿宋" w:eastAsia="仿宋" w:cs="仿宋"/>
                <w:kern w:val="0"/>
                <w:szCs w:val="21"/>
              </w:rPr>
              <w:t>7《城市地价动态监测技术规范》、《深圳市城市规划标准与准则》、《中华人民共和国</w:t>
            </w:r>
            <w:r>
              <w:rPr>
                <w:rFonts w:hint="eastAsia" w:ascii="仿宋" w:hAnsi="仿宋" w:eastAsia="仿宋" w:cs="仿宋"/>
                <w:kern w:val="0"/>
                <w:szCs w:val="21"/>
                <w:lang w:eastAsia="zh-CN"/>
              </w:rPr>
              <w:t>民法典</w:t>
            </w:r>
            <w:r>
              <w:rPr>
                <w:rFonts w:hint="eastAsia" w:ascii="仿宋" w:hAnsi="仿宋" w:eastAsia="仿宋" w:cs="仿宋"/>
                <w:kern w:val="0"/>
                <w:szCs w:val="21"/>
              </w:rPr>
              <w:t>》、《中华人民共和国土地管理法》、《中华人民共和国城市房地产管理法》、《中华人民共和国城镇国有土地使用权出让和转让暂</w:t>
            </w:r>
            <w:r>
              <w:rPr>
                <w:rFonts w:hint="eastAsia" w:ascii="仿宋" w:hAnsi="仿宋" w:eastAsia="仿宋" w:cs="仿宋"/>
                <w:kern w:val="0"/>
                <w:szCs w:val="21"/>
                <w:lang w:eastAsia="zh-CN"/>
              </w:rPr>
              <w:t>行</w:t>
            </w:r>
            <w:r>
              <w:rPr>
                <w:rFonts w:hint="eastAsia" w:ascii="仿宋" w:hAnsi="仿宋" w:eastAsia="仿宋" w:cs="仿宋"/>
                <w:kern w:val="0"/>
                <w:szCs w:val="21"/>
              </w:rPr>
              <w:t>条例》（国务院</w:t>
            </w:r>
            <w:r>
              <w:rPr>
                <w:rFonts w:hint="eastAsia" w:ascii="仿宋" w:hAnsi="仿宋" w:eastAsia="仿宋" w:cs="仿宋"/>
                <w:kern w:val="0"/>
                <w:szCs w:val="21"/>
                <w:lang w:val="en-US" w:eastAsia="zh-CN"/>
              </w:rPr>
              <w:t>732</w:t>
            </w:r>
            <w:r>
              <w:rPr>
                <w:rFonts w:hint="eastAsia" w:ascii="仿宋" w:hAnsi="仿宋" w:eastAsia="仿宋" w:cs="仿宋"/>
                <w:kern w:val="0"/>
                <w:szCs w:val="21"/>
              </w:rPr>
              <w:t>号令）、《招标拍卖挂牌出让国有建设用地使用权规定》（国土资源部令第39号）、《深圳市工业及其他产业用地供应管理办法》（深府规[2019]4号）。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560" w:type="dxa"/>
            <w:vAlign w:val="center"/>
          </w:tcPr>
          <w:p>
            <w:pPr>
              <w:widowControl w:val="0"/>
              <w:jc w:val="center"/>
              <w:rPr>
                <w:rFonts w:hint="eastAsia" w:ascii="仿宋" w:hAnsi="仿宋" w:eastAsia="仿宋" w:cs="仿宋"/>
                <w:kern w:val="0"/>
                <w:szCs w:val="21"/>
              </w:rPr>
            </w:pPr>
            <w:r>
              <w:rPr>
                <w:rFonts w:hint="eastAsia" w:ascii="仿宋" w:hAnsi="仿宋" w:eastAsia="仿宋" w:cs="仿宋"/>
                <w:bCs/>
                <w:szCs w:val="21"/>
              </w:rPr>
              <w:t>需求内容</w:t>
            </w:r>
          </w:p>
        </w:tc>
        <w:tc>
          <w:tcPr>
            <w:tcW w:w="7407" w:type="dxa"/>
            <w:gridSpan w:val="5"/>
          </w:tcPr>
          <w:p>
            <w:pPr>
              <w:widowControl w:val="0"/>
              <w:rPr>
                <w:rFonts w:hint="eastAsia" w:ascii="仿宋" w:hAnsi="仿宋" w:eastAsia="仿宋" w:cs="仿宋"/>
                <w:kern w:val="0"/>
                <w:szCs w:val="21"/>
              </w:rPr>
            </w:pPr>
            <w:r>
              <w:rPr>
                <w:rFonts w:hint="eastAsia" w:ascii="仿宋" w:hAnsi="仿宋" w:eastAsia="仿宋" w:cs="仿宋"/>
                <w:kern w:val="0"/>
                <w:szCs w:val="21"/>
              </w:rPr>
              <w:t>1</w:t>
            </w:r>
            <w:r>
              <w:rPr>
                <w:rFonts w:hint="eastAsia" w:ascii="仿宋" w:hAnsi="仿宋" w:eastAsia="仿宋" w:cs="仿宋"/>
                <w:kern w:val="0"/>
                <w:szCs w:val="21"/>
                <w:lang w:eastAsia="zh-CN"/>
              </w:rPr>
              <w:t>.</w:t>
            </w:r>
            <w:r>
              <w:rPr>
                <w:rFonts w:hint="eastAsia" w:ascii="仿宋" w:hAnsi="仿宋" w:eastAsia="仿宋" w:cs="仿宋"/>
                <w:kern w:val="0"/>
                <w:szCs w:val="21"/>
              </w:rPr>
              <w:t>报价要求</w:t>
            </w:r>
          </w:p>
          <w:p>
            <w:pPr>
              <w:widowControl w:val="0"/>
              <w:ind w:firstLine="420" w:firstLineChars="200"/>
              <w:rPr>
                <w:rFonts w:hint="eastAsia" w:ascii="仿宋" w:hAnsi="仿宋" w:eastAsia="仿宋" w:cs="仿宋"/>
                <w:kern w:val="0"/>
                <w:szCs w:val="21"/>
              </w:rPr>
            </w:pPr>
            <w:r>
              <w:rPr>
                <w:rFonts w:hint="eastAsia" w:ascii="仿宋" w:hAnsi="仿宋" w:eastAsia="仿宋" w:cs="仿宋"/>
                <w:kern w:val="0"/>
                <w:szCs w:val="21"/>
              </w:rPr>
              <w:t>（</w:t>
            </w:r>
            <w:r>
              <w:rPr>
                <w:rFonts w:ascii="仿宋" w:hAnsi="仿宋" w:eastAsia="仿宋" w:cs="仿宋"/>
                <w:kern w:val="0"/>
                <w:szCs w:val="21"/>
              </w:rPr>
              <w:t>1）投标人不得以低于企业成本的报价竞标；</w:t>
            </w:r>
          </w:p>
          <w:p>
            <w:pPr>
              <w:widowControl w:val="0"/>
              <w:ind w:firstLine="420" w:firstLineChars="200"/>
              <w:rPr>
                <w:rFonts w:hint="eastAsia" w:ascii="仿宋" w:hAnsi="仿宋" w:eastAsia="仿宋" w:cs="仿宋"/>
                <w:kern w:val="0"/>
                <w:szCs w:val="21"/>
              </w:rPr>
            </w:pPr>
            <w:r>
              <w:rPr>
                <w:rFonts w:hint="eastAsia" w:ascii="仿宋" w:hAnsi="仿宋" w:eastAsia="仿宋" w:cs="仿宋"/>
                <w:kern w:val="0"/>
                <w:szCs w:val="21"/>
              </w:rPr>
              <w:t>（</w:t>
            </w:r>
            <w:r>
              <w:rPr>
                <w:rFonts w:ascii="仿宋" w:hAnsi="仿宋" w:eastAsia="仿宋" w:cs="仿宋"/>
                <w:kern w:val="0"/>
                <w:szCs w:val="21"/>
              </w:rPr>
              <w:t>2）投标单位提供报价详细清单；</w:t>
            </w:r>
          </w:p>
          <w:p>
            <w:pPr>
              <w:widowControl w:val="0"/>
              <w:ind w:firstLine="420" w:firstLineChars="200"/>
              <w:rPr>
                <w:rFonts w:hint="eastAsia" w:ascii="仿宋" w:hAnsi="仿宋" w:eastAsia="仿宋" w:cs="仿宋"/>
                <w:kern w:val="0"/>
                <w:szCs w:val="21"/>
              </w:rPr>
            </w:pPr>
            <w:r>
              <w:rPr>
                <w:rFonts w:hint="eastAsia" w:ascii="仿宋" w:hAnsi="仿宋" w:eastAsia="仿宋" w:cs="仿宋"/>
                <w:kern w:val="0"/>
                <w:szCs w:val="21"/>
              </w:rPr>
              <w:t>（</w:t>
            </w:r>
            <w:r>
              <w:rPr>
                <w:rFonts w:ascii="仿宋" w:hAnsi="仿宋" w:eastAsia="仿宋" w:cs="仿宋"/>
                <w:kern w:val="0"/>
                <w:szCs w:val="21"/>
              </w:rPr>
              <w:t>3）在合同实施期间，服务费用不随国家政策或法规、标准及市场因素的变化而进行调整。</w:t>
            </w:r>
          </w:p>
          <w:p>
            <w:pPr>
              <w:widowControl w:val="0"/>
              <w:rPr>
                <w:rFonts w:hint="eastAsia" w:ascii="仿宋" w:hAnsi="仿宋" w:eastAsia="仿宋" w:cs="仿宋"/>
                <w:kern w:val="0"/>
                <w:szCs w:val="21"/>
              </w:rPr>
            </w:pPr>
            <w:r>
              <w:rPr>
                <w:rFonts w:hint="eastAsia" w:ascii="仿宋" w:hAnsi="仿宋" w:eastAsia="仿宋" w:cs="仿宋"/>
                <w:kern w:val="0"/>
                <w:szCs w:val="21"/>
              </w:rPr>
              <w:t>2、付款方式</w:t>
            </w:r>
          </w:p>
          <w:p>
            <w:pPr>
              <w:widowControl w:val="0"/>
              <w:ind w:firstLine="420" w:firstLineChars="200"/>
              <w:rPr>
                <w:rFonts w:hint="eastAsia" w:ascii="仿宋" w:hAnsi="仿宋" w:eastAsia="仿宋" w:cs="仿宋"/>
                <w:kern w:val="0"/>
                <w:szCs w:val="21"/>
                <w:lang w:eastAsia="zh-CN"/>
              </w:rPr>
            </w:pPr>
            <w:r>
              <w:rPr>
                <w:rFonts w:hint="eastAsia" w:ascii="仿宋" w:hAnsi="仿宋" w:eastAsia="仿宋" w:cs="仿宋"/>
                <w:kern w:val="0"/>
                <w:szCs w:val="21"/>
                <w:lang w:eastAsia="zh-CN"/>
              </w:rPr>
              <w:t>具体以签订合同为准。</w:t>
            </w:r>
          </w:p>
          <w:p>
            <w:pPr>
              <w:widowControl w:val="0"/>
              <w:rPr>
                <w:rFonts w:hint="eastAsia" w:ascii="仿宋" w:hAnsi="仿宋" w:eastAsia="仿宋" w:cs="仿宋"/>
                <w:kern w:val="0"/>
                <w:szCs w:val="21"/>
              </w:rPr>
            </w:pPr>
            <w:r>
              <w:rPr>
                <w:rFonts w:hint="eastAsia" w:ascii="仿宋" w:hAnsi="仿宋" w:eastAsia="仿宋" w:cs="仿宋"/>
                <w:kern w:val="0"/>
                <w:szCs w:val="21"/>
              </w:rPr>
              <w:t>3、履约保证金</w:t>
            </w:r>
          </w:p>
          <w:p>
            <w:pPr>
              <w:widowControl w:val="0"/>
              <w:ind w:firstLine="420" w:firstLineChars="200"/>
              <w:rPr>
                <w:rFonts w:hint="eastAsia" w:ascii="仿宋" w:hAnsi="仿宋" w:eastAsia="仿宋" w:cs="仿宋"/>
                <w:kern w:val="0"/>
                <w:szCs w:val="21"/>
              </w:rPr>
            </w:pPr>
            <w:r>
              <w:rPr>
                <w:rFonts w:hint="eastAsia" w:ascii="仿宋" w:hAnsi="仿宋" w:eastAsia="仿宋" w:cs="仿宋"/>
                <w:kern w:val="0"/>
                <w:szCs w:val="21"/>
              </w:rPr>
              <w:t>无。</w:t>
            </w:r>
          </w:p>
          <w:p>
            <w:pPr>
              <w:widowControl w:val="0"/>
              <w:rPr>
                <w:rFonts w:hint="eastAsia" w:ascii="仿宋" w:hAnsi="仿宋" w:eastAsia="仿宋" w:cs="仿宋"/>
                <w:kern w:val="0"/>
                <w:szCs w:val="21"/>
              </w:rPr>
            </w:pPr>
            <w:r>
              <w:rPr>
                <w:rFonts w:hint="eastAsia" w:ascii="仿宋" w:hAnsi="仿宋" w:eastAsia="仿宋" w:cs="仿宋"/>
                <w:kern w:val="0"/>
                <w:szCs w:val="21"/>
              </w:rPr>
              <w:t>4、违约责任</w:t>
            </w:r>
          </w:p>
          <w:p>
            <w:pPr>
              <w:widowControl w:val="0"/>
              <w:ind w:firstLine="420" w:firstLineChars="200"/>
              <w:rPr>
                <w:rFonts w:hint="eastAsia" w:ascii="仿宋" w:hAnsi="仿宋" w:eastAsia="仿宋" w:cs="仿宋"/>
                <w:kern w:val="0"/>
                <w:szCs w:val="21"/>
              </w:rPr>
            </w:pPr>
            <w:r>
              <w:rPr>
                <w:rFonts w:hint="eastAsia" w:ascii="仿宋" w:hAnsi="仿宋" w:eastAsia="仿宋" w:cs="仿宋"/>
                <w:kern w:val="0"/>
                <w:szCs w:val="21"/>
              </w:rPr>
              <w:t>（1）</w:t>
            </w:r>
            <w:r>
              <w:rPr>
                <w:rFonts w:ascii="仿宋" w:hAnsi="仿宋" w:eastAsia="仿宋" w:cs="仿宋"/>
                <w:kern w:val="0"/>
                <w:szCs w:val="21"/>
              </w:rPr>
              <w:t>任何一方不履行合同义务或者履行合同义务不符合约定条件的，应当承担继续履行、采取补救措施或者赔偿损失等违约责任。</w:t>
            </w:r>
          </w:p>
          <w:p>
            <w:pPr>
              <w:widowControl w:val="0"/>
              <w:ind w:firstLine="420" w:firstLineChars="200"/>
              <w:rPr>
                <w:rFonts w:hint="eastAsia" w:ascii="仿宋" w:hAnsi="仿宋" w:eastAsia="仿宋" w:cs="仿宋"/>
                <w:kern w:val="0"/>
                <w:szCs w:val="21"/>
              </w:rPr>
            </w:pPr>
            <w:r>
              <w:rPr>
                <w:rFonts w:hint="eastAsia" w:ascii="仿宋" w:hAnsi="仿宋" w:eastAsia="仿宋" w:cs="仿宋"/>
                <w:kern w:val="0"/>
                <w:szCs w:val="21"/>
              </w:rPr>
              <w:t>（2）</w:t>
            </w:r>
            <w:r>
              <w:rPr>
                <w:rFonts w:ascii="仿宋" w:hAnsi="仿宋" w:eastAsia="仿宋" w:cs="仿宋"/>
                <w:kern w:val="0"/>
                <w:szCs w:val="21"/>
              </w:rPr>
              <w:t>合同生效后，任何一方无正当理由解除合同或不按期履行合同时，应向对方支付合同款10%的违约金。</w:t>
            </w:r>
          </w:p>
          <w:p>
            <w:pPr>
              <w:widowControl w:val="0"/>
              <w:ind w:firstLine="420" w:firstLineChars="200"/>
              <w:rPr>
                <w:rFonts w:hint="eastAsia" w:ascii="仿宋" w:hAnsi="仿宋" w:eastAsia="仿宋" w:cs="仿宋"/>
                <w:kern w:val="0"/>
                <w:szCs w:val="21"/>
              </w:rPr>
            </w:pPr>
            <w:r>
              <w:rPr>
                <w:rFonts w:hint="eastAsia" w:ascii="仿宋" w:hAnsi="仿宋" w:eastAsia="仿宋" w:cs="仿宋"/>
                <w:kern w:val="0"/>
                <w:szCs w:val="21"/>
              </w:rPr>
              <w:t>（3）</w:t>
            </w:r>
            <w:r>
              <w:rPr>
                <w:rFonts w:ascii="仿宋" w:hAnsi="仿宋" w:eastAsia="仿宋" w:cs="仿宋"/>
                <w:kern w:val="0"/>
                <w:szCs w:val="21"/>
              </w:rPr>
              <w:t>因中标方原因未按合同期限提交技术咨询成果，超过30日以上，甲方有权解除合同。</w:t>
            </w:r>
          </w:p>
          <w:p>
            <w:pPr>
              <w:widowControl w:val="0"/>
              <w:rPr>
                <w:rFonts w:hint="eastAsia" w:ascii="仿宋" w:hAnsi="仿宋" w:eastAsia="仿宋" w:cs="仿宋"/>
                <w:kern w:val="0"/>
                <w:szCs w:val="21"/>
              </w:rPr>
            </w:pPr>
            <w:r>
              <w:rPr>
                <w:rFonts w:hint="eastAsia" w:ascii="仿宋" w:hAnsi="仿宋" w:eastAsia="仿宋" w:cs="仿宋"/>
                <w:kern w:val="0"/>
                <w:szCs w:val="21"/>
              </w:rPr>
              <w:t>5、服务质量监督和项目验收要求</w:t>
            </w:r>
          </w:p>
          <w:p>
            <w:pPr>
              <w:widowControl w:val="0"/>
              <w:ind w:firstLine="420" w:firstLineChars="200"/>
              <w:rPr>
                <w:rFonts w:hint="eastAsia" w:ascii="仿宋" w:hAnsi="仿宋" w:eastAsia="仿宋" w:cs="仿宋"/>
                <w:kern w:val="0"/>
                <w:szCs w:val="21"/>
              </w:rPr>
            </w:pPr>
            <w:r>
              <w:rPr>
                <w:rFonts w:hint="eastAsia" w:ascii="仿宋" w:hAnsi="仿宋" w:eastAsia="仿宋" w:cs="仿宋"/>
                <w:kern w:val="0"/>
                <w:szCs w:val="21"/>
              </w:rPr>
              <w:t>（1）中标方应按照合同规定，在限定期限内完成该项目</w:t>
            </w:r>
            <w:r>
              <w:rPr>
                <w:rFonts w:hint="eastAsia" w:ascii="仿宋" w:hAnsi="仿宋" w:eastAsia="仿宋" w:cs="仿宋"/>
                <w:kern w:val="0"/>
                <w:szCs w:val="21"/>
                <w:lang w:eastAsia="zh-CN"/>
              </w:rPr>
              <w:t>所有</w:t>
            </w:r>
            <w:r>
              <w:rPr>
                <w:rFonts w:hint="eastAsia" w:ascii="仿宋" w:hAnsi="仿宋" w:eastAsia="仿宋" w:cs="仿宋"/>
                <w:kern w:val="0"/>
                <w:szCs w:val="21"/>
              </w:rPr>
              <w:t>工作。项目售后服务期限自最终成果提交采购方之日起的</w:t>
            </w:r>
            <w:r>
              <w:rPr>
                <w:rFonts w:ascii="仿宋" w:hAnsi="仿宋" w:eastAsia="仿宋" w:cs="仿宋"/>
                <w:kern w:val="0"/>
                <w:szCs w:val="21"/>
              </w:rPr>
              <w:t>12个月内，中标方须与采购方保持密切沟通，随时跟进项目后续的服务需求，为</w:t>
            </w:r>
            <w:r>
              <w:rPr>
                <w:rFonts w:hint="eastAsia" w:ascii="仿宋" w:hAnsi="仿宋" w:eastAsia="仿宋" w:cs="仿宋"/>
                <w:kern w:val="0"/>
                <w:szCs w:val="21"/>
              </w:rPr>
              <w:t>深圳经济特区湿地保护制度体系构建和立法</w:t>
            </w:r>
            <w:r>
              <w:rPr>
                <w:rFonts w:ascii="仿宋" w:hAnsi="仿宋" w:eastAsia="仿宋" w:cs="仿宋"/>
                <w:kern w:val="0"/>
                <w:szCs w:val="21"/>
              </w:rPr>
              <w:t>提供相关技术支持。</w:t>
            </w:r>
          </w:p>
          <w:p>
            <w:pPr>
              <w:widowControl w:val="0"/>
              <w:ind w:firstLine="420" w:firstLineChars="200"/>
              <w:rPr>
                <w:rFonts w:hint="eastAsia" w:ascii="仿宋" w:hAnsi="仿宋" w:eastAsia="仿宋" w:cs="仿宋"/>
                <w:kern w:val="0"/>
                <w:szCs w:val="21"/>
              </w:rPr>
            </w:pPr>
            <w:r>
              <w:rPr>
                <w:rFonts w:hint="eastAsia" w:ascii="仿宋" w:hAnsi="仿宋" w:eastAsia="仿宋" w:cs="仿宋"/>
                <w:kern w:val="0"/>
                <w:szCs w:val="21"/>
              </w:rPr>
              <w:t>（2）中标方需按采购方的招标技术及时间要求，</w:t>
            </w:r>
            <w:r>
              <w:rPr>
                <w:rFonts w:hint="eastAsia" w:ascii="仿宋" w:hAnsi="仿宋" w:eastAsia="仿宋" w:cs="仿宋"/>
                <w:kern w:val="0"/>
                <w:szCs w:val="21"/>
                <w:lang w:eastAsia="zh-CN"/>
              </w:rPr>
              <w:t>完成</w:t>
            </w:r>
            <w:r>
              <w:rPr>
                <w:rFonts w:hint="eastAsia" w:ascii="仿宋" w:hAnsi="仿宋" w:eastAsia="仿宋" w:cs="仿宋"/>
                <w:kern w:val="0"/>
                <w:szCs w:val="21"/>
              </w:rPr>
              <w:t>项目成果</w:t>
            </w:r>
            <w:r>
              <w:rPr>
                <w:rFonts w:hint="eastAsia" w:ascii="仿宋" w:hAnsi="仿宋" w:eastAsia="仿宋" w:cs="仿宋"/>
                <w:kern w:val="0"/>
                <w:szCs w:val="21"/>
                <w:lang w:eastAsia="zh-CN"/>
              </w:rPr>
              <w:t>并</w:t>
            </w:r>
            <w:r>
              <w:rPr>
                <w:rFonts w:hint="eastAsia" w:ascii="仿宋" w:hAnsi="仿宋" w:eastAsia="仿宋" w:cs="仿宋"/>
                <w:kern w:val="0"/>
                <w:szCs w:val="21"/>
              </w:rPr>
              <w:t>由深圳市规划和自然资源局南山管理局专题会审议验收。。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560" w:type="dxa"/>
            <w:vMerge w:val="restart"/>
          </w:tcPr>
          <w:p>
            <w:pPr>
              <w:widowControl w:val="0"/>
              <w:jc w:val="center"/>
              <w:rPr>
                <w:rFonts w:hint="eastAsia" w:ascii="仿宋" w:hAnsi="仿宋" w:eastAsia="仿宋" w:cs="仿宋"/>
                <w:kern w:val="0"/>
                <w:szCs w:val="21"/>
              </w:rPr>
            </w:pPr>
            <w:r>
              <w:rPr>
                <w:rFonts w:hint="eastAsia" w:ascii="仿宋" w:hAnsi="仿宋" w:eastAsia="仿宋" w:cs="仿宋"/>
                <w:kern w:val="0"/>
                <w:szCs w:val="21"/>
              </w:rPr>
              <w:t>其他要求</w:t>
            </w:r>
          </w:p>
        </w:tc>
        <w:tc>
          <w:tcPr>
            <w:tcW w:w="7407" w:type="dxa"/>
            <w:gridSpan w:val="5"/>
          </w:tcPr>
          <w:p>
            <w:pPr>
              <w:widowControl w:val="0"/>
              <w:rPr>
                <w:rFonts w:hint="eastAsia" w:ascii="仿宋" w:hAnsi="仿宋" w:eastAsia="仿宋" w:cs="仿宋"/>
                <w:kern w:val="0"/>
                <w:szCs w:val="21"/>
              </w:rPr>
            </w:pPr>
            <w:r>
              <w:rPr>
                <w:rFonts w:hint="eastAsia" w:ascii="仿宋" w:hAnsi="仿宋" w:eastAsia="仿宋" w:cs="仿宋"/>
                <w:b/>
                <w:szCs w:val="21"/>
              </w:rPr>
              <w:t>特定供应商的名称、项目负责人及联系方式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560" w:type="dxa"/>
            <w:vMerge w:val="continue"/>
          </w:tcPr>
          <w:p>
            <w:pPr>
              <w:widowControl w:val="0"/>
              <w:rPr>
                <w:rFonts w:hint="eastAsia" w:ascii="仿宋" w:hAnsi="仿宋" w:eastAsia="仿宋" w:cs="仿宋"/>
                <w:kern w:val="0"/>
                <w:szCs w:val="21"/>
              </w:rPr>
            </w:pPr>
          </w:p>
        </w:tc>
        <w:tc>
          <w:tcPr>
            <w:tcW w:w="850" w:type="dxa"/>
            <w:vMerge w:val="restart"/>
          </w:tcPr>
          <w:p>
            <w:pPr>
              <w:widowControl w:val="0"/>
              <w:rPr>
                <w:rFonts w:hint="eastAsia" w:ascii="仿宋" w:hAnsi="仿宋" w:eastAsia="仿宋" w:cs="仿宋"/>
                <w:bCs/>
                <w:kern w:val="0"/>
                <w:szCs w:val="21"/>
              </w:rPr>
            </w:pPr>
            <w:r>
              <w:rPr>
                <w:rFonts w:hint="eastAsia" w:ascii="仿宋" w:hAnsi="仿宋" w:eastAsia="仿宋" w:cs="仿宋"/>
                <w:bCs/>
                <w:szCs w:val="21"/>
              </w:rPr>
              <w:t>特定供应商</w:t>
            </w:r>
          </w:p>
        </w:tc>
        <w:tc>
          <w:tcPr>
            <w:tcW w:w="6557" w:type="dxa"/>
            <w:gridSpan w:val="4"/>
            <w:vAlign w:val="top"/>
          </w:tcPr>
          <w:p>
            <w:pPr>
              <w:jc w:val="left"/>
              <w:rPr>
                <w:rFonts w:hint="eastAsia" w:ascii="仿宋" w:hAnsi="仿宋" w:eastAsia="仿宋" w:cs="仿宋"/>
                <w:bCs/>
                <w:kern w:val="0"/>
                <w:szCs w:val="21"/>
              </w:rPr>
            </w:pPr>
            <w:r>
              <w:rPr>
                <w:rFonts w:hint="eastAsia" w:ascii="仿宋" w:hAnsi="仿宋" w:eastAsia="仿宋" w:cs="仿宋"/>
                <w:bCs/>
                <w:szCs w:val="21"/>
                <w:highlight w:val="none"/>
              </w:rPr>
              <w:t>单位名称：深圳市自然资源和不动产评估发展研究中心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560" w:type="dxa"/>
            <w:vMerge w:val="continue"/>
          </w:tcPr>
          <w:p>
            <w:pPr>
              <w:widowControl w:val="0"/>
              <w:rPr>
                <w:rFonts w:hint="eastAsia" w:ascii="仿宋" w:hAnsi="仿宋" w:eastAsia="仿宋" w:cs="仿宋"/>
                <w:kern w:val="0"/>
                <w:szCs w:val="21"/>
              </w:rPr>
            </w:pPr>
          </w:p>
        </w:tc>
        <w:tc>
          <w:tcPr>
            <w:tcW w:w="850" w:type="dxa"/>
            <w:vMerge w:val="continue"/>
          </w:tcPr>
          <w:p>
            <w:pPr>
              <w:widowControl w:val="0"/>
              <w:rPr>
                <w:rFonts w:hint="eastAsia" w:ascii="仿宋" w:hAnsi="仿宋" w:eastAsia="仿宋" w:cs="仿宋"/>
                <w:bCs/>
                <w:kern w:val="0"/>
                <w:szCs w:val="21"/>
              </w:rPr>
            </w:pPr>
          </w:p>
        </w:tc>
        <w:tc>
          <w:tcPr>
            <w:tcW w:w="6557" w:type="dxa"/>
            <w:gridSpan w:val="4"/>
            <w:vAlign w:val="top"/>
          </w:tcPr>
          <w:p>
            <w:pPr>
              <w:jc w:val="left"/>
              <w:rPr>
                <w:rFonts w:hint="eastAsia" w:ascii="仿宋" w:hAnsi="仿宋" w:eastAsia="仿宋" w:cs="仿宋"/>
                <w:bCs/>
                <w:kern w:val="0"/>
                <w:szCs w:val="21"/>
              </w:rPr>
            </w:pPr>
            <w:r>
              <w:rPr>
                <w:rFonts w:hint="eastAsia" w:ascii="仿宋" w:hAnsi="仿宋" w:eastAsia="仿宋" w:cs="仿宋"/>
                <w:bCs/>
                <w:szCs w:val="21"/>
                <w:highlight w:val="none"/>
              </w:rPr>
              <w:t>项目经办人：</w:t>
            </w:r>
            <w:r>
              <w:rPr>
                <w:rFonts w:hint="eastAsia" w:ascii="仿宋" w:hAnsi="仿宋" w:eastAsia="仿宋" w:cs="仿宋"/>
                <w:bCs/>
                <w:szCs w:val="21"/>
                <w:highlight w:val="none"/>
                <w:lang w:eastAsia="zh-CN"/>
              </w:rPr>
              <w:t>强成武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60" w:type="dxa"/>
            <w:vMerge w:val="continue"/>
          </w:tcPr>
          <w:p>
            <w:pPr>
              <w:widowControl w:val="0"/>
              <w:rPr>
                <w:rFonts w:hint="eastAsia" w:ascii="仿宋" w:hAnsi="仿宋" w:eastAsia="仿宋" w:cs="仿宋"/>
                <w:kern w:val="0"/>
                <w:szCs w:val="21"/>
              </w:rPr>
            </w:pPr>
          </w:p>
        </w:tc>
        <w:tc>
          <w:tcPr>
            <w:tcW w:w="850" w:type="dxa"/>
            <w:vMerge w:val="continue"/>
          </w:tcPr>
          <w:p>
            <w:pPr>
              <w:widowControl w:val="0"/>
              <w:rPr>
                <w:rFonts w:hint="eastAsia" w:ascii="仿宋" w:hAnsi="仿宋" w:eastAsia="仿宋" w:cs="仿宋"/>
                <w:bCs/>
                <w:kern w:val="0"/>
                <w:szCs w:val="21"/>
              </w:rPr>
            </w:pPr>
          </w:p>
        </w:tc>
        <w:tc>
          <w:tcPr>
            <w:tcW w:w="6557" w:type="dxa"/>
            <w:gridSpan w:val="4"/>
            <w:vAlign w:val="top"/>
          </w:tcPr>
          <w:p>
            <w:pPr>
              <w:jc w:val="left"/>
              <w:rPr>
                <w:rFonts w:hint="eastAsia" w:ascii="仿宋" w:hAnsi="仿宋" w:eastAsia="仿宋" w:cs="仿宋"/>
                <w:bCs/>
                <w:kern w:val="0"/>
                <w:szCs w:val="21"/>
              </w:rPr>
            </w:pPr>
            <w:r>
              <w:rPr>
                <w:rFonts w:hint="eastAsia" w:ascii="仿宋" w:hAnsi="仿宋" w:eastAsia="仿宋" w:cs="仿宋"/>
                <w:bCs/>
                <w:szCs w:val="21"/>
                <w:highlight w:val="none"/>
              </w:rPr>
              <w:t>联系电话：</w:t>
            </w:r>
            <w:r>
              <w:rPr>
                <w:rFonts w:hint="eastAsia" w:ascii="仿宋" w:hAnsi="仿宋" w:eastAsia="仿宋" w:cs="仿宋"/>
                <w:bCs/>
                <w:szCs w:val="21"/>
                <w:highlight w:val="none"/>
                <w:lang w:val="en-US" w:eastAsia="zh-CN"/>
              </w:rPr>
              <w:t>15211090723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jc w:val="center"/>
        </w:trPr>
        <w:tc>
          <w:tcPr>
            <w:tcW w:w="1560" w:type="dxa"/>
            <w:tcBorders>
              <w:top w:val="single" w:color="auto" w:sz="4" w:space="0"/>
              <w:left w:val="single" w:color="auto" w:sz="4" w:space="0"/>
              <w:right w:val="single" w:color="auto" w:sz="4" w:space="0"/>
            </w:tcBorders>
          </w:tcPr>
          <w:p>
            <w:pPr>
              <w:widowControl w:val="0"/>
              <w:jc w:val="center"/>
              <w:rPr>
                <w:rFonts w:hint="eastAsia" w:ascii="仿宋" w:hAnsi="仿宋" w:eastAsia="仿宋" w:cs="仿宋"/>
              </w:rPr>
            </w:pPr>
            <w:r>
              <w:rPr>
                <w:rFonts w:hint="eastAsia" w:ascii="仿宋" w:hAnsi="仿宋" w:eastAsia="仿宋" w:cs="仿宋"/>
              </w:rPr>
              <w:t>评标信息</w:t>
            </w:r>
          </w:p>
        </w:tc>
        <w:tc>
          <w:tcPr>
            <w:tcW w:w="7371"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ordWrap/>
              <w:overflowPunct/>
              <w:topLinePunct w:val="0"/>
              <w:bidi w:val="0"/>
              <w:adjustRightInd w:val="0"/>
              <w:snapToGrid w:val="0"/>
              <w:spacing w:line="312" w:lineRule="auto"/>
              <w:ind w:firstLine="421" w:firstLineChars="200"/>
              <w:rPr>
                <w:rFonts w:hint="eastAsia" w:ascii="仿宋" w:hAnsi="仿宋" w:eastAsia="仿宋" w:cs="仿宋"/>
                <w:b/>
                <w:color w:val="000000" w:themeColor="text1"/>
                <w:sz w:val="21"/>
                <w:szCs w:val="21"/>
                <w:highlight w:val="none"/>
                <w:lang w:eastAsia="zh-CN"/>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评标方法</w:t>
            </w:r>
            <w:r>
              <w:rPr>
                <w:rFonts w:hint="eastAsia" w:ascii="仿宋" w:hAnsi="仿宋" w:eastAsia="仿宋" w:cs="仿宋"/>
                <w:b/>
                <w:color w:val="000000" w:themeColor="text1"/>
                <w:sz w:val="21"/>
                <w:szCs w:val="21"/>
                <w:highlight w:val="none"/>
                <w:lang w:eastAsia="zh-CN"/>
                <w14:textFill>
                  <w14:solidFill>
                    <w14:schemeClr w14:val="tx1"/>
                  </w14:solidFill>
                </w14:textFill>
              </w:rPr>
              <w:t>：</w:t>
            </w:r>
          </w:p>
          <w:p>
            <w:pPr>
              <w:keepNext w:val="0"/>
              <w:keepLines w:val="0"/>
              <w:pageBreakBefore w:val="0"/>
              <w:wordWrap/>
              <w:overflowPunct/>
              <w:topLinePunct w:val="0"/>
              <w:bidi w:val="0"/>
              <w:adjustRightInd w:val="0"/>
              <w:snapToGrid w:val="0"/>
              <w:spacing w:line="312" w:lineRule="auto"/>
              <w:ind w:firstLine="421" w:firstLineChars="200"/>
              <w:rPr>
                <w:rFonts w:hint="eastAsia" w:ascii="仿宋" w:hAnsi="仿宋" w:eastAsia="仿宋" w:cs="仿宋"/>
                <w:b/>
                <w:color w:val="000000" w:themeColor="text1"/>
                <w:sz w:val="21"/>
                <w:szCs w:val="21"/>
                <w:highlight w:val="none"/>
                <w:lang w:val="en-US" w:eastAsia="zh-CN"/>
                <w14:textFill>
                  <w14:solidFill>
                    <w14:schemeClr w14:val="tx1"/>
                  </w14:solidFill>
                </w14:textFill>
              </w:rPr>
            </w:pPr>
            <w:r>
              <w:rPr>
                <w:rFonts w:hint="eastAsia" w:ascii="仿宋" w:hAnsi="仿宋" w:eastAsia="仿宋" w:cs="仿宋"/>
                <w:b/>
                <w:color w:val="000000" w:themeColor="text1"/>
                <w:sz w:val="21"/>
                <w:szCs w:val="21"/>
                <w:highlight w:val="none"/>
                <w:lang w:val="en-US" w:eastAsia="zh-CN"/>
                <w14:textFill>
                  <w14:solidFill>
                    <w14:schemeClr w14:val="tx1"/>
                  </w14:solidFill>
                </w14:textFill>
              </w:rPr>
              <w:t>采购方式：单一来源。</w:t>
            </w:r>
          </w:p>
          <w:p>
            <w:pPr>
              <w:widowControl w:val="0"/>
              <w:ind w:firstLine="420" w:firstLineChars="200"/>
              <w:rPr>
                <w:rFonts w:hint="eastAsia" w:ascii="仿宋" w:hAnsi="仿宋" w:eastAsia="仿宋" w:cs="仿宋"/>
                <w:kern w:val="0"/>
                <w:szCs w:val="21"/>
              </w:rPr>
            </w:pPr>
            <w:r>
              <w:rPr>
                <w:rFonts w:hint="eastAsia" w:ascii="仿宋" w:hAnsi="仿宋" w:eastAsia="仿宋" w:cs="仿宋"/>
                <w:kern w:val="0"/>
                <w:szCs w:val="21"/>
              </w:rPr>
              <w:t>该项目符合《深圳经济特区政府采购条例》第二十一条第（三）项规定的“为保证与原有政府采购项目的一致性或者服务配套的要求，需要向原供应商添购的”情形。一方面，根据《深圳市地价测算规则》规定，我市土地的市场价格由市自然资源行政主管部门组织市非盈利性评估机构评估确定。深圳市自然资源和不动产评估发展研究中心（以下简称“评估中心”）属我局事业单位，不承接市场业务，是非盈利性评估机构，同时根据市编办《关于深圳市国土房产评估发展中心“八定”的批复》（深编办〔2009〕81号）、《深圳市机构编制委员会办公室关于市规划国土委下属事业单位有关机构编制问题的批复》（深编办〔2016〕10号）、《中共深圳市委机构编制委员会办公室关于市规划和自然资源局所属单位有关机构编制事项的通知》（深编办〔2019〕58号）规定的职能，评估中心是我市唯一能够开展该类业务的非盈利性评估机构。另一方面，土地的市场价格评估过程复杂、专业性强，需要大量的基础数据支撑，地价管理工作有相当的敏感性、特殊性、保密性。因此</w:t>
            </w:r>
            <w:r>
              <w:rPr>
                <w:rFonts w:hint="eastAsia" w:ascii="仿宋" w:hAnsi="仿宋" w:eastAsia="仿宋" w:cs="仿宋"/>
                <w:kern w:val="0"/>
                <w:szCs w:val="21"/>
                <w:lang w:eastAsia="zh-CN"/>
              </w:rPr>
              <w:t>，</w:t>
            </w:r>
            <w:r>
              <w:rPr>
                <w:rFonts w:hint="eastAsia" w:ascii="仿宋" w:hAnsi="仿宋" w:eastAsia="仿宋" w:cs="仿宋"/>
                <w:kern w:val="0"/>
                <w:szCs w:val="21"/>
              </w:rPr>
              <w:t>我局</w:t>
            </w:r>
            <w:r>
              <w:rPr>
                <w:rFonts w:hint="eastAsia" w:ascii="仿宋" w:hAnsi="仿宋" w:eastAsia="仿宋" w:cs="仿宋"/>
                <w:kern w:val="0"/>
                <w:szCs w:val="21"/>
                <w:lang w:eastAsia="zh-CN"/>
              </w:rPr>
              <w:t>长期以来</w:t>
            </w:r>
            <w:r>
              <w:rPr>
                <w:rFonts w:hint="eastAsia" w:ascii="仿宋" w:hAnsi="仿宋" w:eastAsia="仿宋" w:cs="仿宋"/>
                <w:kern w:val="0"/>
                <w:szCs w:val="21"/>
              </w:rPr>
              <w:t>均委托评估中心开展</w:t>
            </w:r>
            <w:r>
              <w:rPr>
                <w:rFonts w:hint="eastAsia" w:ascii="仿宋" w:hAnsi="仿宋" w:eastAsia="仿宋" w:cs="仿宋"/>
                <w:kern w:val="0"/>
                <w:szCs w:val="21"/>
                <w:lang w:eastAsia="zh-CN"/>
              </w:rPr>
              <w:t>深圳市南山区</w:t>
            </w:r>
            <w:r>
              <w:rPr>
                <w:rFonts w:hint="eastAsia" w:ascii="仿宋" w:hAnsi="仿宋" w:eastAsia="仿宋" w:cs="仿宋"/>
                <w:kern w:val="0"/>
                <w:szCs w:val="21"/>
              </w:rPr>
              <w:t>出让</w:t>
            </w:r>
            <w:r>
              <w:rPr>
                <w:rFonts w:hint="eastAsia" w:ascii="仿宋" w:hAnsi="仿宋" w:eastAsia="仿宋" w:cs="仿宋"/>
                <w:kern w:val="0"/>
                <w:szCs w:val="21"/>
                <w:lang w:eastAsia="zh-CN"/>
              </w:rPr>
              <w:t>地价</w:t>
            </w:r>
            <w:r>
              <w:rPr>
                <w:rFonts w:hint="eastAsia" w:ascii="仿宋" w:hAnsi="仿宋" w:eastAsia="仿宋" w:cs="仿宋"/>
                <w:kern w:val="0"/>
                <w:szCs w:val="21"/>
              </w:rPr>
              <w:t>评估、补地价评估、土地置换评估等工作。</w:t>
            </w:r>
          </w:p>
          <w:p>
            <w:pPr>
              <w:widowControl w:val="0"/>
              <w:ind w:firstLine="420" w:firstLineChars="200"/>
              <w:rPr>
                <w:rFonts w:hint="eastAsia" w:ascii="仿宋" w:hAnsi="仿宋" w:eastAsia="仿宋" w:cs="仿宋"/>
                <w:szCs w:val="21"/>
              </w:rPr>
            </w:pPr>
            <w:r>
              <w:rPr>
                <w:rFonts w:hint="eastAsia" w:ascii="仿宋" w:hAnsi="仿宋" w:eastAsia="仿宋" w:cs="仿宋"/>
                <w:kern w:val="0"/>
                <w:szCs w:val="21"/>
              </w:rPr>
              <w:t>综合考虑到评估中心历年来承担我市不动产评估和标定地价体系的建立和维护工作，专业性强，专业基础扎实，人才队伍素质高，有利于工作的顺利开展，拟按单一来源采购的方式由深圳市自然资源和不动产评估发展研究中心承担本项目。</w:t>
            </w:r>
          </w:p>
        </w:tc>
      </w:tr>
    </w:tbl>
    <w:p>
      <w:pPr>
        <w:widowControl w:val="0"/>
        <w:spacing w:line="360" w:lineRule="exact"/>
        <w:rPr>
          <w:rFonts w:hint="eastAsia" w:ascii="仿宋" w:hAnsi="仿宋" w:eastAsia="仿宋" w:cs="Times New Roman"/>
          <w:bCs/>
          <w:szCs w:val="21"/>
        </w:rPr>
      </w:pPr>
      <w:r>
        <w:rPr>
          <w:rFonts w:hint="eastAsia" w:ascii="仿宋" w:hAnsi="仿宋" w:eastAsia="仿宋" w:cs="Times New Roman"/>
          <w:bCs/>
          <w:szCs w:val="21"/>
        </w:rPr>
        <w:t>注：1、带“*”号的为必填表内容，其他内容可根据项目作适当增减。</w:t>
      </w:r>
    </w:p>
    <w:p>
      <w:pPr>
        <w:widowControl w:val="0"/>
        <w:spacing w:line="360" w:lineRule="exact"/>
        <w:ind w:firstLine="420" w:firstLineChars="200"/>
        <w:rPr>
          <w:rFonts w:hint="eastAsia" w:ascii="仿宋" w:hAnsi="仿宋" w:eastAsia="仿宋" w:cs="Times New Roman"/>
          <w:bCs/>
          <w:szCs w:val="21"/>
        </w:rPr>
      </w:pPr>
      <w:r>
        <w:rPr>
          <w:rFonts w:hint="eastAsia" w:ascii="仿宋" w:hAnsi="仿宋" w:eastAsia="仿宋" w:cs="Times New Roman"/>
          <w:bCs/>
          <w:szCs w:val="21"/>
        </w:rPr>
        <w:t>2、其他要求栏目仅适用非公开招标采购方式项目，采购推荐供应商名单必须经过主管部门报批，并将主管部门批复材料提交至采购中心。根据采购条例第十九条规定适用非公开招标方式需要公示的，应同时向采购中心提交公示的证明材料。</w:t>
      </w:r>
    </w:p>
    <w:p>
      <w:pPr>
        <w:widowControl w:val="0"/>
        <w:spacing w:line="360" w:lineRule="exact"/>
        <w:ind w:firstLine="420" w:firstLineChars="200"/>
        <w:rPr>
          <w:rFonts w:hint="eastAsia" w:ascii="仿宋" w:hAnsi="仿宋" w:eastAsia="仿宋" w:cs="Times New Roman"/>
          <w:bCs/>
          <w:szCs w:val="21"/>
        </w:rPr>
      </w:pPr>
      <w:r>
        <w:rPr>
          <w:rFonts w:hint="eastAsia" w:ascii="仿宋" w:hAnsi="仿宋" w:eastAsia="仿宋" w:cs="Times New Roman"/>
          <w:bCs/>
          <w:szCs w:val="21"/>
        </w:rPr>
        <w:t>3、采购单位以上填报的商务条款、技术条款若存在倾向性或不公正性条款，由此引起的不良后果将由采购单位自行承担。</w:t>
      </w:r>
    </w:p>
    <w:p>
      <w:pPr>
        <w:widowControl w:val="0"/>
        <w:rPr>
          <w:rFonts w:hint="eastAsia" w:ascii="仿宋_GB2312" w:hAnsi="仿宋_GB2312" w:eastAsia="仿宋_GB2312" w:cs="仿宋_GB2312"/>
          <w:bCs/>
          <w:sz w:val="32"/>
          <w:szCs w:val="32"/>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Calibri Light">
    <w:altName w:val="DejaVu Sans"/>
    <w:panose1 w:val="020F0302020204030204"/>
    <w:charset w:val="00"/>
    <w:family w:val="swiss"/>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Wingdings 2">
    <w:altName w:val="MathJax_Vector"/>
    <w:panose1 w:val="05020102010507070707"/>
    <w:charset w:val="02"/>
    <w:family w:val="roman"/>
    <w:pitch w:val="default"/>
    <w:sig w:usb0="00000000" w:usb1="00000000" w:usb2="00000000" w:usb3="00000000" w:csb0="80000000" w:csb1="00000000"/>
  </w:font>
  <w:font w:name="MathJax_Vector">
    <w:panose1 w:val="02000603000000000000"/>
    <w:charset w:val="00"/>
    <w:family w:val="auto"/>
    <w:pitch w:val="default"/>
    <w:sig w:usb0="00000001" w:usb1="00000020" w:usb2="00000000" w:usb3="00000000" w:csb0="00000001" w:csb1="00000000"/>
  </w:font>
  <w:font w:name="仿宋_GB2312">
    <w:altName w:val="方正仿宋_GBK"/>
    <w:panose1 w:val="02010609030101010101"/>
    <w:charset w:val="86"/>
    <w:family w:val="modern"/>
    <w:pitch w:val="default"/>
    <w:sig w:usb0="00000000" w:usb1="00000000" w:usb2="0000001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6A5"/>
    <w:rsid w:val="00033CEC"/>
    <w:rsid w:val="000530A6"/>
    <w:rsid w:val="00067825"/>
    <w:rsid w:val="00095892"/>
    <w:rsid w:val="00096EAE"/>
    <w:rsid w:val="000B1AF1"/>
    <w:rsid w:val="000B5645"/>
    <w:rsid w:val="000C341D"/>
    <w:rsid w:val="000D20C2"/>
    <w:rsid w:val="000E1C08"/>
    <w:rsid w:val="00144EAA"/>
    <w:rsid w:val="001453B1"/>
    <w:rsid w:val="00172A27"/>
    <w:rsid w:val="00181B48"/>
    <w:rsid w:val="00190C4A"/>
    <w:rsid w:val="001F6231"/>
    <w:rsid w:val="002647AE"/>
    <w:rsid w:val="00272D92"/>
    <w:rsid w:val="002E13F6"/>
    <w:rsid w:val="0030042A"/>
    <w:rsid w:val="003369F0"/>
    <w:rsid w:val="00381D80"/>
    <w:rsid w:val="00394492"/>
    <w:rsid w:val="003A1CD3"/>
    <w:rsid w:val="003A7480"/>
    <w:rsid w:val="003C6B0A"/>
    <w:rsid w:val="004218A8"/>
    <w:rsid w:val="00495AA1"/>
    <w:rsid w:val="00495DA8"/>
    <w:rsid w:val="004A0582"/>
    <w:rsid w:val="004B2AE2"/>
    <w:rsid w:val="004B3644"/>
    <w:rsid w:val="004E0FE6"/>
    <w:rsid w:val="00541F66"/>
    <w:rsid w:val="00554CD3"/>
    <w:rsid w:val="00582F6A"/>
    <w:rsid w:val="00590FC2"/>
    <w:rsid w:val="005A2A26"/>
    <w:rsid w:val="005F7CC4"/>
    <w:rsid w:val="0061615E"/>
    <w:rsid w:val="0067245B"/>
    <w:rsid w:val="00672B2E"/>
    <w:rsid w:val="00683082"/>
    <w:rsid w:val="006B7CE5"/>
    <w:rsid w:val="006E7231"/>
    <w:rsid w:val="007379AD"/>
    <w:rsid w:val="00761CCA"/>
    <w:rsid w:val="007F2AE3"/>
    <w:rsid w:val="00804CB3"/>
    <w:rsid w:val="00895592"/>
    <w:rsid w:val="008A57EF"/>
    <w:rsid w:val="008A5F26"/>
    <w:rsid w:val="008D25E6"/>
    <w:rsid w:val="00966733"/>
    <w:rsid w:val="00997466"/>
    <w:rsid w:val="009C0902"/>
    <w:rsid w:val="00A05CE6"/>
    <w:rsid w:val="00A06684"/>
    <w:rsid w:val="00A1093B"/>
    <w:rsid w:val="00A52B2B"/>
    <w:rsid w:val="00A6602D"/>
    <w:rsid w:val="00AF3AD3"/>
    <w:rsid w:val="00AF3FD6"/>
    <w:rsid w:val="00B00E40"/>
    <w:rsid w:val="00B96DAE"/>
    <w:rsid w:val="00BA2FAC"/>
    <w:rsid w:val="00BD1C48"/>
    <w:rsid w:val="00C35FA1"/>
    <w:rsid w:val="00C4367A"/>
    <w:rsid w:val="00C71878"/>
    <w:rsid w:val="00CA561E"/>
    <w:rsid w:val="00CB68C4"/>
    <w:rsid w:val="00CC208E"/>
    <w:rsid w:val="00CE0F58"/>
    <w:rsid w:val="00CE1772"/>
    <w:rsid w:val="00CF1B14"/>
    <w:rsid w:val="00CF2BA4"/>
    <w:rsid w:val="00D718EA"/>
    <w:rsid w:val="00D82E54"/>
    <w:rsid w:val="00D86536"/>
    <w:rsid w:val="00DB3A7C"/>
    <w:rsid w:val="00DD7C05"/>
    <w:rsid w:val="00DE32CD"/>
    <w:rsid w:val="00E13256"/>
    <w:rsid w:val="00E66FB1"/>
    <w:rsid w:val="00EB1B46"/>
    <w:rsid w:val="00F12406"/>
    <w:rsid w:val="00F23A72"/>
    <w:rsid w:val="00F939AE"/>
    <w:rsid w:val="1DF744FB"/>
    <w:rsid w:val="1E234C86"/>
    <w:rsid w:val="1ECF3773"/>
    <w:rsid w:val="1EDFBEF6"/>
    <w:rsid w:val="284E7F2E"/>
    <w:rsid w:val="37CEDFCC"/>
    <w:rsid w:val="3E0AEE5E"/>
    <w:rsid w:val="3F6F2BC6"/>
    <w:rsid w:val="58FFC1B4"/>
    <w:rsid w:val="5DAFCEFE"/>
    <w:rsid w:val="62EB77C1"/>
    <w:rsid w:val="6BFB7DF2"/>
    <w:rsid w:val="6D3F75E8"/>
    <w:rsid w:val="6F7F4E52"/>
    <w:rsid w:val="7340114F"/>
    <w:rsid w:val="77FF4813"/>
    <w:rsid w:val="7956F73C"/>
    <w:rsid w:val="7B5F11AA"/>
    <w:rsid w:val="7BF7230A"/>
    <w:rsid w:val="7DBF6202"/>
    <w:rsid w:val="7DF8BE69"/>
    <w:rsid w:val="7F3F37B8"/>
    <w:rsid w:val="7FAF2179"/>
    <w:rsid w:val="87E3F900"/>
    <w:rsid w:val="AAB61DC4"/>
    <w:rsid w:val="ACEFA323"/>
    <w:rsid w:val="CC7D538B"/>
    <w:rsid w:val="D7FDEBA1"/>
    <w:rsid w:val="DEFF0E85"/>
    <w:rsid w:val="DFED573C"/>
    <w:rsid w:val="ECEE25B1"/>
    <w:rsid w:val="EDFDEF81"/>
    <w:rsid w:val="EEEF6696"/>
    <w:rsid w:val="EEFED8DC"/>
    <w:rsid w:val="F7F7B86A"/>
    <w:rsid w:val="F7F99062"/>
    <w:rsid w:val="F7FDCC3A"/>
    <w:rsid w:val="F8FC8CE7"/>
    <w:rsid w:val="FDF5E0C2"/>
    <w:rsid w:val="FF7D5A95"/>
    <w:rsid w:val="FFFC8847"/>
    <w:rsid w:val="FFFF5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name="heading 4"/>
    <w:lsdException w:qFormat="1" w:uiPriority="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30"/>
    <w:semiHidden/>
    <w:unhideWhenUsed/>
    <w:qFormat/>
    <w:uiPriority w:val="0"/>
    <w:pPr>
      <w:keepNext/>
      <w:keepLines/>
      <w:spacing w:before="40" w:line="259" w:lineRule="auto"/>
      <w:outlineLvl w:val="2"/>
    </w:pPr>
    <w:rPr>
      <w:rFonts w:ascii="Calibri Light" w:hAnsi="Calibri Light" w:eastAsia="宋体" w:cs="Times New Roman"/>
      <w:color w:val="1F4E79"/>
      <w:kern w:val="0"/>
      <w:sz w:val="24"/>
      <w:szCs w:val="24"/>
    </w:rPr>
  </w:style>
  <w:style w:type="paragraph" w:styleId="7">
    <w:name w:val="heading 5"/>
    <w:basedOn w:val="1"/>
    <w:next w:val="1"/>
    <w:link w:val="31"/>
    <w:semiHidden/>
    <w:unhideWhenUsed/>
    <w:qFormat/>
    <w:uiPriority w:val="0"/>
    <w:pPr>
      <w:keepNext/>
      <w:keepLines/>
      <w:spacing w:before="280" w:after="290" w:line="376" w:lineRule="auto"/>
      <w:outlineLvl w:val="4"/>
    </w:pPr>
    <w:rPr>
      <w:b/>
      <w:bCs/>
      <w:sz w:val="28"/>
      <w:szCs w:val="28"/>
    </w:rPr>
  </w:style>
  <w:style w:type="character" w:default="1" w:styleId="23">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style>
  <w:style w:type="paragraph" w:styleId="3">
    <w:name w:val="Body Text Indent"/>
    <w:basedOn w:val="1"/>
    <w:qFormat/>
    <w:uiPriority w:val="0"/>
    <w:pPr>
      <w:spacing w:line="360" w:lineRule="auto"/>
      <w:ind w:firstLine="420" w:firstLineChars="200"/>
    </w:pPr>
  </w:style>
  <w:style w:type="paragraph" w:styleId="8">
    <w:name w:val="Normal Indent"/>
    <w:basedOn w:val="1"/>
    <w:next w:val="9"/>
    <w:qFormat/>
    <w:uiPriority w:val="0"/>
    <w:pPr>
      <w:spacing w:line="360" w:lineRule="auto"/>
      <w:ind w:firstLine="560" w:firstLineChars="200"/>
    </w:pPr>
    <w:rPr>
      <w:rFonts w:ascii="宋体" w:hAnsi="宋体" w:eastAsia="宋体" w:cs="宋体"/>
      <w:bCs/>
      <w:kern w:val="0"/>
      <w:sz w:val="28"/>
      <w:szCs w:val="28"/>
    </w:rPr>
  </w:style>
  <w:style w:type="paragraph" w:styleId="9">
    <w:name w:val="Body Text"/>
    <w:basedOn w:val="1"/>
    <w:next w:val="10"/>
    <w:link w:val="32"/>
    <w:qFormat/>
    <w:uiPriority w:val="0"/>
    <w:pPr>
      <w:widowControl w:val="0"/>
      <w:spacing w:before="61"/>
      <w:ind w:left="102"/>
    </w:pPr>
    <w:rPr>
      <w:rFonts w:ascii="宋体" w:hAnsi="宋体" w:eastAsia="宋体"/>
      <w:kern w:val="0"/>
      <w:sz w:val="28"/>
      <w:szCs w:val="28"/>
      <w:lang w:eastAsia="en-US"/>
    </w:rPr>
  </w:style>
  <w:style w:type="paragraph" w:styleId="10">
    <w:name w:val="Title"/>
    <w:basedOn w:val="1"/>
    <w:next w:val="1"/>
    <w:link w:val="33"/>
    <w:qFormat/>
    <w:uiPriority w:val="0"/>
    <w:pPr>
      <w:spacing w:before="240" w:after="60"/>
      <w:jc w:val="center"/>
      <w:outlineLvl w:val="0"/>
    </w:pPr>
    <w:rPr>
      <w:rFonts w:ascii="Cambria" w:hAnsi="Cambria" w:eastAsia="宋体"/>
      <w:b/>
      <w:bCs/>
    </w:rPr>
  </w:style>
  <w:style w:type="paragraph" w:styleId="11">
    <w:name w:val="annotation text"/>
    <w:basedOn w:val="1"/>
    <w:link w:val="34"/>
    <w:qFormat/>
    <w:uiPriority w:val="0"/>
    <w:pPr>
      <w:spacing w:after="160" w:line="259" w:lineRule="auto"/>
    </w:pPr>
    <w:rPr>
      <w:rFonts w:ascii="等线" w:hAnsi="等线" w:eastAsia="等线" w:cs="Times New Roman"/>
      <w:kern w:val="0"/>
      <w:sz w:val="22"/>
    </w:rPr>
  </w:style>
  <w:style w:type="paragraph" w:styleId="12">
    <w:name w:val="toc 3"/>
    <w:basedOn w:val="1"/>
    <w:next w:val="1"/>
    <w:qFormat/>
    <w:uiPriority w:val="0"/>
    <w:pPr>
      <w:ind w:left="840" w:leftChars="400"/>
    </w:pPr>
  </w:style>
  <w:style w:type="paragraph" w:styleId="13">
    <w:name w:val="Plain Text"/>
    <w:basedOn w:val="1"/>
    <w:link w:val="35"/>
    <w:qFormat/>
    <w:uiPriority w:val="0"/>
    <w:pPr>
      <w:spacing w:before="100" w:beforeAutospacing="1" w:after="100" w:afterAutospacing="1"/>
    </w:pPr>
    <w:rPr>
      <w:rFonts w:ascii="宋体" w:hAnsi="宋体" w:cs="宋体"/>
      <w:kern w:val="0"/>
      <w:sz w:val="24"/>
      <w:szCs w:val="24"/>
    </w:rPr>
  </w:style>
  <w:style w:type="paragraph" w:styleId="14">
    <w:name w:val="Balloon Text"/>
    <w:basedOn w:val="1"/>
    <w:link w:val="65"/>
    <w:semiHidden/>
    <w:unhideWhenUsed/>
    <w:qFormat/>
    <w:uiPriority w:val="99"/>
    <w:rPr>
      <w:sz w:val="18"/>
      <w:szCs w:val="18"/>
    </w:rPr>
  </w:style>
  <w:style w:type="paragraph" w:styleId="15">
    <w:name w:val="footer"/>
    <w:basedOn w:val="1"/>
    <w:link w:val="36"/>
    <w:qFormat/>
    <w:uiPriority w:val="0"/>
    <w:pPr>
      <w:tabs>
        <w:tab w:val="center" w:pos="4153"/>
        <w:tab w:val="right" w:pos="8306"/>
      </w:tabs>
      <w:snapToGrid w:val="0"/>
    </w:pPr>
    <w:rPr>
      <w:sz w:val="18"/>
      <w:szCs w:val="18"/>
    </w:rPr>
  </w:style>
  <w:style w:type="paragraph" w:styleId="16">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style>
  <w:style w:type="paragraph" w:styleId="18">
    <w:name w:val="toc 2"/>
    <w:basedOn w:val="1"/>
    <w:next w:val="1"/>
    <w:qFormat/>
    <w:uiPriority w:val="0"/>
    <w:pPr>
      <w:widowControl w:val="0"/>
      <w:ind w:left="420" w:leftChars="200"/>
      <w:jc w:val="both"/>
    </w:pPr>
  </w:style>
  <w:style w:type="paragraph" w:styleId="19">
    <w:name w:val="Normal (Web)"/>
    <w:basedOn w:val="1"/>
    <w:qFormat/>
    <w:uiPriority w:val="0"/>
    <w:pPr>
      <w:spacing w:before="100" w:beforeAutospacing="1" w:after="100" w:afterAutospacing="1" w:line="500" w:lineRule="exact"/>
    </w:pPr>
    <w:rPr>
      <w:rFonts w:ascii="宋体" w:hAnsi="宋体" w:eastAsia="宋体" w:cs="宋体"/>
      <w:kern w:val="0"/>
      <w:sz w:val="24"/>
      <w:szCs w:val="24"/>
    </w:rPr>
  </w:style>
  <w:style w:type="paragraph" w:styleId="20">
    <w:name w:val="Body Text First Indent"/>
    <w:basedOn w:val="9"/>
    <w:link w:val="38"/>
    <w:qFormat/>
    <w:uiPriority w:val="0"/>
    <w:pPr>
      <w:ind w:firstLine="420" w:firstLineChars="100"/>
    </w:p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style>
  <w:style w:type="character" w:styleId="26">
    <w:name w:val="Hyperlink"/>
    <w:basedOn w:val="23"/>
    <w:qFormat/>
    <w:uiPriority w:val="0"/>
    <w:rPr>
      <w:color w:val="3F88BF"/>
      <w:u w:val="none"/>
    </w:rPr>
  </w:style>
  <w:style w:type="character" w:styleId="27">
    <w:name w:val="annotation reference"/>
    <w:qFormat/>
    <w:uiPriority w:val="0"/>
    <w:rPr>
      <w:sz w:val="21"/>
      <w:szCs w:val="21"/>
    </w:rPr>
  </w:style>
  <w:style w:type="character" w:customStyle="1" w:styleId="28">
    <w:name w:val="标题 1 字符"/>
    <w:basedOn w:val="23"/>
    <w:link w:val="4"/>
    <w:qFormat/>
    <w:uiPriority w:val="0"/>
    <w:rPr>
      <w:b/>
      <w:bCs/>
      <w:kern w:val="44"/>
      <w:sz w:val="44"/>
      <w:szCs w:val="44"/>
    </w:rPr>
  </w:style>
  <w:style w:type="character" w:customStyle="1" w:styleId="29">
    <w:name w:val="标题 2 字符"/>
    <w:basedOn w:val="23"/>
    <w:link w:val="5"/>
    <w:qFormat/>
    <w:uiPriority w:val="9"/>
    <w:rPr>
      <w:rFonts w:ascii="Cambria" w:hAnsi="Cambria" w:eastAsia="宋体" w:cs="Times New Roman"/>
      <w:b/>
      <w:bCs/>
      <w:sz w:val="32"/>
      <w:szCs w:val="32"/>
    </w:rPr>
  </w:style>
  <w:style w:type="character" w:customStyle="1" w:styleId="30">
    <w:name w:val="标题 3 字符"/>
    <w:basedOn w:val="23"/>
    <w:link w:val="6"/>
    <w:semiHidden/>
    <w:qFormat/>
    <w:uiPriority w:val="0"/>
    <w:rPr>
      <w:rFonts w:ascii="Calibri Light" w:hAnsi="Calibri Light" w:eastAsia="宋体" w:cs="Times New Roman"/>
      <w:color w:val="1F4E79"/>
      <w:kern w:val="0"/>
      <w:sz w:val="24"/>
      <w:szCs w:val="24"/>
    </w:rPr>
  </w:style>
  <w:style w:type="character" w:customStyle="1" w:styleId="31">
    <w:name w:val="标题 5 字符"/>
    <w:basedOn w:val="23"/>
    <w:link w:val="7"/>
    <w:semiHidden/>
    <w:qFormat/>
    <w:uiPriority w:val="0"/>
    <w:rPr>
      <w:b/>
      <w:bCs/>
      <w:sz w:val="28"/>
      <w:szCs w:val="28"/>
    </w:rPr>
  </w:style>
  <w:style w:type="character" w:customStyle="1" w:styleId="32">
    <w:name w:val="正文文本 字符"/>
    <w:basedOn w:val="23"/>
    <w:link w:val="9"/>
    <w:qFormat/>
    <w:uiPriority w:val="0"/>
    <w:rPr>
      <w:rFonts w:ascii="宋体" w:hAnsi="宋体" w:eastAsia="宋体"/>
      <w:kern w:val="0"/>
      <w:sz w:val="28"/>
      <w:szCs w:val="28"/>
      <w:lang w:eastAsia="en-US"/>
    </w:rPr>
  </w:style>
  <w:style w:type="character" w:customStyle="1" w:styleId="33">
    <w:name w:val="标题 字符"/>
    <w:basedOn w:val="23"/>
    <w:link w:val="10"/>
    <w:qFormat/>
    <w:uiPriority w:val="0"/>
    <w:rPr>
      <w:rFonts w:ascii="Cambria" w:hAnsi="Cambria" w:eastAsia="宋体"/>
      <w:b/>
      <w:bCs/>
    </w:rPr>
  </w:style>
  <w:style w:type="character" w:customStyle="1" w:styleId="34">
    <w:name w:val="批注文字 字符"/>
    <w:basedOn w:val="23"/>
    <w:link w:val="11"/>
    <w:qFormat/>
    <w:uiPriority w:val="0"/>
    <w:rPr>
      <w:rFonts w:ascii="等线" w:hAnsi="等线" w:eastAsia="等线" w:cs="Times New Roman"/>
      <w:kern w:val="0"/>
      <w:sz w:val="22"/>
    </w:rPr>
  </w:style>
  <w:style w:type="character" w:customStyle="1" w:styleId="35">
    <w:name w:val="纯文本 字符"/>
    <w:basedOn w:val="23"/>
    <w:link w:val="13"/>
    <w:qFormat/>
    <w:uiPriority w:val="0"/>
    <w:rPr>
      <w:rFonts w:ascii="宋体" w:hAnsi="宋体" w:cs="宋体"/>
      <w:kern w:val="0"/>
      <w:sz w:val="24"/>
      <w:szCs w:val="24"/>
    </w:rPr>
  </w:style>
  <w:style w:type="character" w:customStyle="1" w:styleId="36">
    <w:name w:val="页脚 字符"/>
    <w:basedOn w:val="23"/>
    <w:link w:val="15"/>
    <w:qFormat/>
    <w:uiPriority w:val="0"/>
    <w:rPr>
      <w:sz w:val="18"/>
      <w:szCs w:val="18"/>
    </w:rPr>
  </w:style>
  <w:style w:type="character" w:customStyle="1" w:styleId="37">
    <w:name w:val="页眉 字符"/>
    <w:basedOn w:val="23"/>
    <w:link w:val="16"/>
    <w:qFormat/>
    <w:uiPriority w:val="0"/>
    <w:rPr>
      <w:sz w:val="18"/>
      <w:szCs w:val="18"/>
    </w:rPr>
  </w:style>
  <w:style w:type="character" w:customStyle="1" w:styleId="38">
    <w:name w:val="正文文本首行缩进 字符"/>
    <w:basedOn w:val="32"/>
    <w:link w:val="20"/>
    <w:qFormat/>
    <w:uiPriority w:val="0"/>
    <w:rPr>
      <w:rFonts w:ascii="宋体" w:hAnsi="宋体" w:eastAsia="宋体"/>
      <w:kern w:val="0"/>
      <w:sz w:val="28"/>
      <w:szCs w:val="28"/>
      <w:lang w:eastAsia="en-US"/>
    </w:rPr>
  </w:style>
  <w:style w:type="paragraph" w:customStyle="1" w:styleId="39">
    <w:name w:val="列表段落1"/>
    <w:basedOn w:val="1"/>
    <w:qFormat/>
    <w:uiPriority w:val="34"/>
    <w:pPr>
      <w:ind w:firstLine="420" w:firstLineChars="200"/>
    </w:pPr>
  </w:style>
  <w:style w:type="paragraph" w:customStyle="1" w:styleId="40">
    <w:name w:val="Table Paragraph"/>
    <w:basedOn w:val="1"/>
    <w:qFormat/>
    <w:uiPriority w:val="1"/>
    <w:rPr>
      <w:rFonts w:ascii="Times New Roman" w:hAnsi="Times New Roman" w:eastAsia="Times New Roman" w:cs="Times New Roman"/>
    </w:rPr>
  </w:style>
  <w:style w:type="character" w:customStyle="1" w:styleId="41">
    <w:name w:val="font61"/>
    <w:basedOn w:val="23"/>
    <w:qFormat/>
    <w:uiPriority w:val="0"/>
    <w:rPr>
      <w:rFonts w:hint="eastAsia" w:ascii="仿宋" w:hAnsi="仿宋" w:eastAsia="仿宋" w:cs="仿宋"/>
      <w:color w:val="0070C0"/>
      <w:sz w:val="18"/>
      <w:szCs w:val="18"/>
      <w:u w:val="none"/>
    </w:rPr>
  </w:style>
  <w:style w:type="character" w:customStyle="1" w:styleId="42">
    <w:name w:val="font101"/>
    <w:basedOn w:val="23"/>
    <w:qFormat/>
    <w:uiPriority w:val="0"/>
    <w:rPr>
      <w:rFonts w:hint="eastAsia" w:ascii="仿宋" w:hAnsi="仿宋" w:eastAsia="仿宋" w:cs="仿宋"/>
      <w:color w:val="000000"/>
      <w:sz w:val="18"/>
      <w:szCs w:val="18"/>
      <w:u w:val="none"/>
    </w:rPr>
  </w:style>
  <w:style w:type="character" w:customStyle="1" w:styleId="43">
    <w:name w:val="font12"/>
    <w:basedOn w:val="23"/>
    <w:qFormat/>
    <w:uiPriority w:val="0"/>
    <w:rPr>
      <w:rFonts w:hint="eastAsia" w:ascii="仿宋" w:hAnsi="仿宋" w:eastAsia="仿宋" w:cs="仿宋"/>
      <w:color w:val="000000"/>
      <w:sz w:val="21"/>
      <w:szCs w:val="21"/>
      <w:u w:val="none"/>
    </w:rPr>
  </w:style>
  <w:style w:type="paragraph" w:customStyle="1" w:styleId="44">
    <w:name w:val="无间隔1"/>
    <w:qFormat/>
    <w:uiPriority w:val="1"/>
    <w:rPr>
      <w:rFonts w:ascii="等线" w:hAnsi="等线" w:eastAsia="等线" w:cs="Times New Roman"/>
      <w:sz w:val="22"/>
      <w:szCs w:val="22"/>
      <w:lang w:val="en-US" w:eastAsia="zh-CN" w:bidi="ar-SA"/>
    </w:rPr>
  </w:style>
  <w:style w:type="paragraph" w:customStyle="1" w:styleId="45">
    <w:name w:val="msolistparagraph"/>
    <w:basedOn w:val="1"/>
    <w:qFormat/>
    <w:uiPriority w:val="0"/>
    <w:pPr>
      <w:ind w:firstLine="420" w:firstLineChars="200"/>
    </w:pPr>
  </w:style>
  <w:style w:type="paragraph" w:customStyle="1" w:styleId="46">
    <w:name w:val="s2"/>
    <w:basedOn w:val="1"/>
    <w:qFormat/>
    <w:uiPriority w:val="0"/>
    <w:pPr>
      <w:spacing w:before="100" w:beforeAutospacing="1" w:after="100" w:afterAutospacing="1"/>
    </w:pPr>
    <w:rPr>
      <w:rFonts w:ascii="Times New Roman" w:hAnsi="Times New Roman" w:eastAsia="Times New Roman" w:cs="Times New Roman"/>
      <w:kern w:val="0"/>
      <w:sz w:val="24"/>
      <w:szCs w:val="24"/>
      <w:lang w:val="en-GB"/>
    </w:rPr>
  </w:style>
  <w:style w:type="character" w:customStyle="1" w:styleId="47">
    <w:name w:val="s3"/>
    <w:basedOn w:val="23"/>
    <w:qFormat/>
    <w:uiPriority w:val="0"/>
  </w:style>
  <w:style w:type="paragraph" w:customStyle="1" w:styleId="48">
    <w:name w:val="s5"/>
    <w:basedOn w:val="1"/>
    <w:qFormat/>
    <w:uiPriority w:val="0"/>
    <w:pPr>
      <w:spacing w:before="100" w:beforeAutospacing="1" w:after="100" w:afterAutospacing="1"/>
    </w:pPr>
    <w:rPr>
      <w:rFonts w:ascii="Times New Roman" w:hAnsi="Times New Roman" w:eastAsia="Times New Roman" w:cs="Times New Roman"/>
      <w:kern w:val="0"/>
      <w:sz w:val="24"/>
      <w:szCs w:val="24"/>
      <w:lang w:val="en-GB"/>
    </w:rPr>
  </w:style>
  <w:style w:type="character" w:customStyle="1" w:styleId="49">
    <w:name w:val="bumpedfont15"/>
    <w:basedOn w:val="23"/>
    <w:qFormat/>
    <w:uiPriority w:val="0"/>
  </w:style>
  <w:style w:type="paragraph" w:customStyle="1" w:styleId="50">
    <w:name w:val="s8"/>
    <w:basedOn w:val="1"/>
    <w:qFormat/>
    <w:uiPriority w:val="0"/>
    <w:pPr>
      <w:spacing w:before="100" w:beforeAutospacing="1" w:after="100" w:afterAutospacing="1"/>
    </w:pPr>
    <w:rPr>
      <w:rFonts w:ascii="Times New Roman" w:hAnsi="Times New Roman" w:eastAsia="Times New Roman" w:cs="Times New Roman"/>
      <w:kern w:val="0"/>
      <w:sz w:val="24"/>
      <w:szCs w:val="24"/>
      <w:lang w:val="en-GB"/>
    </w:rPr>
  </w:style>
  <w:style w:type="paragraph" w:customStyle="1" w:styleId="51">
    <w:name w:val="s9"/>
    <w:basedOn w:val="1"/>
    <w:qFormat/>
    <w:uiPriority w:val="0"/>
    <w:pPr>
      <w:spacing w:before="100" w:beforeAutospacing="1" w:after="100" w:afterAutospacing="1"/>
    </w:pPr>
    <w:rPr>
      <w:rFonts w:ascii="Times New Roman" w:hAnsi="Times New Roman" w:eastAsia="Times New Roman" w:cs="Times New Roman"/>
      <w:kern w:val="0"/>
      <w:sz w:val="24"/>
      <w:szCs w:val="24"/>
      <w:lang w:val="en-GB"/>
    </w:rPr>
  </w:style>
  <w:style w:type="character" w:customStyle="1" w:styleId="52">
    <w:name w:val="apple-converted-space"/>
    <w:basedOn w:val="23"/>
    <w:qFormat/>
    <w:uiPriority w:val="0"/>
  </w:style>
  <w:style w:type="paragraph" w:customStyle="1" w:styleId="53">
    <w:name w:val="_Style 1"/>
    <w:basedOn w:val="1"/>
    <w:qFormat/>
    <w:uiPriority w:val="34"/>
    <w:pPr>
      <w:ind w:firstLine="420" w:firstLineChars="200"/>
    </w:pPr>
  </w:style>
  <w:style w:type="paragraph" w:customStyle="1" w:styleId="54">
    <w:name w:val="标题5"/>
    <w:basedOn w:val="7"/>
    <w:qFormat/>
    <w:uiPriority w:val="0"/>
    <w:pPr>
      <w:snapToGrid w:val="0"/>
      <w:spacing w:before="160" w:after="160" w:line="360" w:lineRule="auto"/>
    </w:pPr>
    <w:rPr>
      <w:rFonts w:hAnsi="黑体" w:cs="Times New Roman"/>
      <w:sz w:val="32"/>
      <w:szCs w:val="32"/>
    </w:rPr>
  </w:style>
  <w:style w:type="paragraph" w:customStyle="1" w:styleId="55">
    <w:name w:val="列表段落11"/>
    <w:basedOn w:val="1"/>
    <w:qFormat/>
    <w:uiPriority w:val="34"/>
    <w:pPr>
      <w:ind w:firstLine="420" w:firstLineChars="200"/>
    </w:pPr>
  </w:style>
  <w:style w:type="character" w:customStyle="1" w:styleId="56">
    <w:name w:val="16"/>
    <w:basedOn w:val="23"/>
    <w:qFormat/>
    <w:uiPriority w:val="0"/>
    <w:rPr>
      <w:rFonts w:hint="default" w:ascii="Wingdings 2" w:hAnsi="Wingdings 2"/>
      <w:color w:val="000000"/>
      <w:sz w:val="24"/>
      <w:szCs w:val="24"/>
    </w:rPr>
  </w:style>
  <w:style w:type="character" w:customStyle="1" w:styleId="57">
    <w:name w:val="15"/>
    <w:basedOn w:val="23"/>
    <w:qFormat/>
    <w:uiPriority w:val="0"/>
    <w:rPr>
      <w:rFonts w:hint="eastAsia" w:ascii="仿宋_GB2312" w:eastAsia="仿宋_GB2312"/>
      <w:color w:val="000000"/>
      <w:sz w:val="24"/>
      <w:szCs w:val="24"/>
    </w:rPr>
  </w:style>
  <w:style w:type="paragraph" w:customStyle="1" w:styleId="58">
    <w:name w:val="TOC 标题1"/>
    <w:basedOn w:val="4"/>
    <w:next w:val="1"/>
    <w:unhideWhenUsed/>
    <w:qFormat/>
    <w:uiPriority w:val="39"/>
    <w:pPr>
      <w:spacing w:before="480" w:after="0" w:line="276" w:lineRule="auto"/>
      <w:outlineLvl w:val="9"/>
    </w:pPr>
    <w:rPr>
      <w:rFonts w:asciiTheme="majorHAnsi" w:hAnsiTheme="majorHAnsi" w:eastAsiaTheme="majorEastAsia" w:cstheme="majorBidi"/>
      <w:color w:val="2F5597" w:themeColor="accent1" w:themeShade="BF"/>
      <w:kern w:val="0"/>
      <w:sz w:val="28"/>
      <w:szCs w:val="28"/>
    </w:rPr>
  </w:style>
  <w:style w:type="paragraph" w:customStyle="1" w:styleId="59">
    <w:name w:val="列出段落1"/>
    <w:basedOn w:val="1"/>
    <w:qFormat/>
    <w:uiPriority w:val="34"/>
    <w:pPr>
      <w:ind w:firstLine="420" w:firstLineChars="200"/>
    </w:pPr>
  </w:style>
  <w:style w:type="paragraph" w:customStyle="1" w:styleId="60">
    <w:name w:val="修订1"/>
    <w:hidden/>
    <w:semiHidden/>
    <w:qFormat/>
    <w:uiPriority w:val="99"/>
    <w:rPr>
      <w:rFonts w:asciiTheme="minorHAnsi" w:hAnsiTheme="minorHAnsi" w:eastAsiaTheme="minorEastAsia" w:cstheme="minorBidi"/>
      <w:kern w:val="2"/>
      <w:sz w:val="21"/>
      <w:szCs w:val="22"/>
      <w:lang w:val="en-US" w:eastAsia="zh-CN" w:bidi="ar-SA"/>
    </w:rPr>
  </w:style>
  <w:style w:type="table" w:customStyle="1" w:styleId="61">
    <w:name w:val="样式1"/>
    <w:basedOn w:val="21"/>
    <w:qFormat/>
    <w:uiPriority w:val="99"/>
    <w:tblPr>
      <w:tblBorders>
        <w:top w:val="single" w:color="auto" w:sz="12" w:space="0"/>
        <w:bottom w:val="single" w:color="auto" w:sz="12" w:space="0"/>
        <w:insideH w:val="dotted" w:color="auto" w:sz="4" w:space="0"/>
        <w:insideV w:val="dotted" w:color="auto" w:sz="4" w:space="0"/>
      </w:tblBorders>
    </w:tblPr>
    <w:tcPr>
      <w:vAlign w:val="center"/>
    </w:tcPr>
  </w:style>
  <w:style w:type="paragraph" w:styleId="62">
    <w:name w:val="List Paragraph"/>
    <w:basedOn w:val="1"/>
    <w:qFormat/>
    <w:uiPriority w:val="34"/>
    <w:pPr>
      <w:ind w:firstLine="420" w:firstLineChars="200"/>
    </w:pPr>
  </w:style>
  <w:style w:type="paragraph" w:styleId="63">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64">
    <w:name w:val="awspan"/>
    <w:qFormat/>
    <w:uiPriority w:val="0"/>
    <w:rPr>
      <w:rFonts w:cs="Times New Roman"/>
    </w:rPr>
  </w:style>
  <w:style w:type="character" w:customStyle="1" w:styleId="65">
    <w:name w:val="批注框文本 字符"/>
    <w:basedOn w:val="23"/>
    <w:link w:val="14"/>
    <w:semiHidden/>
    <w:qFormat/>
    <w:uiPriority w:val="99"/>
    <w:rPr>
      <w:sz w:val="18"/>
      <w:szCs w:val="18"/>
    </w:rPr>
  </w:style>
  <w:style w:type="paragraph" w:customStyle="1" w:styleId="66">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663</Words>
  <Characters>3785</Characters>
  <Lines>31</Lines>
  <Paragraphs>8</Paragraphs>
  <TotalTime>0</TotalTime>
  <ScaleCrop>false</ScaleCrop>
  <LinksUpToDate>false</LinksUpToDate>
  <CharactersWithSpaces>4440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2024-03-08T00:26:00Z</dcterms:created>
  <dc:creator>syy</dc:creator>
  <cp:lastModifiedBy>zhangjt</cp:lastModifiedBy>
  <cp:lastPrinted>2025-02-28T23:44:00Z</cp:lastPrinted>
  <dcterms:modified xsi:type="dcterms:W3CDTF">2025-07-04T17:11:15Z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eyJoZGlkIjoiODI4NTlkYTZmNjRkMjEwYmI0OWQ3ZTFiMzNjNTQyYTIiLCJ1c2VySWQiOiIyNTU0OTMxMDEifQ==</vt:lpwstr>
  </property>
  <property fmtid="{D5CDD505-2E9C-101B-9397-08002B2CF9AE}" pid="3" name="KSOProductBuildVer">
    <vt:lpwstr>2052-11.8.2.11764</vt:lpwstr>
  </property>
  <property fmtid="{D5CDD505-2E9C-101B-9397-08002B2CF9AE}" pid="4" name="ICV">
    <vt:lpwstr>ECC089B9BC239F6D012F4A682A5592A6</vt:lpwstr>
  </property>
</Properties>
</file>