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color w:val="000000" w:themeColor="text1"/>
          <w:sz w:val="32"/>
          <w:szCs w:val="32"/>
          <w14:textFill>
            <w14:solidFill>
              <w14:schemeClr w14:val="tx1"/>
            </w14:solidFill>
          </w14:textFill>
        </w:rPr>
      </w:pPr>
      <w:bookmarkStart w:id="2" w:name="_GoBack"/>
      <w:bookmarkEnd w:id="2"/>
      <w:r>
        <w:rPr>
          <w:rFonts w:hint="eastAsia" w:ascii="黑体" w:hAnsi="黑体" w:eastAsia="黑体" w:cs="黑体"/>
          <w:b/>
          <w:color w:val="000000" w:themeColor="text1"/>
          <w:sz w:val="44"/>
          <w:szCs w:val="44"/>
          <w14:textFill>
            <w14:solidFill>
              <w14:schemeClr w14:val="tx1"/>
            </w14:solidFill>
          </w14:textFill>
        </w:rPr>
        <w:t xml:space="preserve">    服务类项目采购需求</w:t>
      </w:r>
    </w:p>
    <w:tbl>
      <w:tblPr>
        <w:tblStyle w:val="9"/>
        <w:tblW w:w="896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850"/>
        <w:gridCol w:w="2930"/>
        <w:gridCol w:w="1366"/>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560" w:type="dxa"/>
            <w:vAlign w:val="center"/>
          </w:tcPr>
          <w:p>
            <w:pPr>
              <w:jc w:val="left"/>
              <w:rPr>
                <w:rFonts w:ascii="仿宋" w:hAnsi="仿宋" w:eastAsia="仿宋" w:cs="仿宋"/>
                <w:color w:val="auto"/>
                <w:szCs w:val="21"/>
                <w:highlight w:val="none"/>
              </w:rPr>
            </w:pPr>
            <w:r>
              <w:rPr>
                <w:rFonts w:hint="eastAsia" w:ascii="仿宋" w:hAnsi="仿宋" w:eastAsia="仿宋" w:cs="仿宋"/>
                <w:b/>
                <w:color w:val="auto"/>
                <w:szCs w:val="21"/>
                <w:highlight w:val="none"/>
              </w:rPr>
              <w:t>*</w:t>
            </w:r>
            <w:r>
              <w:rPr>
                <w:rFonts w:hint="eastAsia" w:ascii="仿宋" w:hAnsi="仿宋" w:eastAsia="仿宋" w:cs="仿宋"/>
                <w:color w:val="auto"/>
                <w:szCs w:val="21"/>
                <w:highlight w:val="none"/>
              </w:rPr>
              <w:t>项目名称</w:t>
            </w:r>
          </w:p>
        </w:tc>
        <w:tc>
          <w:tcPr>
            <w:tcW w:w="7407" w:type="dxa"/>
            <w:gridSpan w:val="4"/>
            <w:vAlign w:val="center"/>
          </w:tcPr>
          <w:p>
            <w:pPr>
              <w:jc w:val="left"/>
              <w:rPr>
                <w:rFonts w:ascii="仿宋" w:hAnsi="仿宋" w:eastAsia="仿宋" w:cs="仿宋"/>
                <w:color w:val="auto"/>
                <w:szCs w:val="21"/>
                <w:highlight w:val="none"/>
              </w:rPr>
            </w:pPr>
            <w:r>
              <w:rPr>
                <w:rFonts w:hint="eastAsia" w:ascii="仿宋" w:hAnsi="仿宋" w:eastAsia="仿宋" w:cs="仿宋"/>
                <w:color w:val="auto"/>
                <w:szCs w:val="21"/>
                <w:highlight w:val="none"/>
              </w:rPr>
              <w:t>深圳市2025年度耕地和永久基本农田数量保护专项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560" w:type="dxa"/>
            <w:vAlign w:val="center"/>
          </w:tcPr>
          <w:p>
            <w:pPr>
              <w:jc w:val="left"/>
              <w:rPr>
                <w:rFonts w:ascii="仿宋" w:hAnsi="仿宋" w:eastAsia="仿宋" w:cs="仿宋"/>
                <w:color w:val="auto"/>
                <w:szCs w:val="21"/>
                <w:highlight w:val="none"/>
              </w:rPr>
            </w:pPr>
            <w:r>
              <w:rPr>
                <w:rFonts w:hint="eastAsia" w:ascii="仿宋" w:hAnsi="仿宋" w:eastAsia="仿宋" w:cs="仿宋"/>
                <w:b/>
                <w:color w:val="auto"/>
                <w:szCs w:val="21"/>
                <w:highlight w:val="none"/>
              </w:rPr>
              <w:t>*</w:t>
            </w:r>
            <w:r>
              <w:rPr>
                <w:rFonts w:hint="eastAsia" w:ascii="仿宋" w:hAnsi="仿宋" w:eastAsia="仿宋" w:cs="仿宋"/>
                <w:color w:val="auto"/>
                <w:szCs w:val="21"/>
                <w:highlight w:val="none"/>
              </w:rPr>
              <w:t>采购人名称</w:t>
            </w:r>
          </w:p>
        </w:tc>
        <w:tc>
          <w:tcPr>
            <w:tcW w:w="3780" w:type="dxa"/>
            <w:gridSpan w:val="2"/>
            <w:vAlign w:val="center"/>
          </w:tcPr>
          <w:p>
            <w:pPr>
              <w:jc w:val="left"/>
              <w:rPr>
                <w:rFonts w:ascii="仿宋" w:hAnsi="仿宋" w:eastAsia="仿宋" w:cs="仿宋"/>
                <w:color w:val="auto"/>
                <w:szCs w:val="21"/>
                <w:highlight w:val="none"/>
              </w:rPr>
            </w:pPr>
            <w:r>
              <w:rPr>
                <w:rFonts w:hint="eastAsia" w:ascii="仿宋" w:hAnsi="仿宋" w:eastAsia="仿宋" w:cs="仿宋"/>
                <w:color w:val="auto"/>
                <w:szCs w:val="21"/>
                <w:highlight w:val="none"/>
              </w:rPr>
              <w:t>深圳市规划和自然资源局</w:t>
            </w:r>
          </w:p>
        </w:tc>
        <w:tc>
          <w:tcPr>
            <w:tcW w:w="1366" w:type="dxa"/>
            <w:vAlign w:val="center"/>
          </w:tcPr>
          <w:p>
            <w:pPr>
              <w:jc w:val="left"/>
              <w:rPr>
                <w:rFonts w:ascii="仿宋" w:hAnsi="仿宋" w:eastAsia="仿宋" w:cs="仿宋"/>
                <w:color w:val="auto"/>
                <w:szCs w:val="21"/>
                <w:highlight w:val="none"/>
              </w:rPr>
            </w:pPr>
            <w:r>
              <w:rPr>
                <w:rFonts w:hint="eastAsia" w:ascii="仿宋" w:hAnsi="仿宋" w:eastAsia="仿宋" w:cs="仿宋"/>
                <w:b/>
                <w:color w:val="auto"/>
                <w:szCs w:val="21"/>
                <w:highlight w:val="none"/>
              </w:rPr>
              <w:t>*</w:t>
            </w:r>
            <w:r>
              <w:rPr>
                <w:rFonts w:hint="eastAsia" w:ascii="仿宋" w:hAnsi="仿宋" w:eastAsia="仿宋" w:cs="仿宋"/>
                <w:color w:val="auto"/>
                <w:szCs w:val="21"/>
                <w:highlight w:val="none"/>
              </w:rPr>
              <w:t>采购方式</w:t>
            </w:r>
          </w:p>
        </w:tc>
        <w:tc>
          <w:tcPr>
            <w:tcW w:w="2261" w:type="dxa"/>
            <w:vAlign w:val="center"/>
          </w:tcPr>
          <w:p>
            <w:pPr>
              <w:jc w:val="left"/>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单一来源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560" w:type="dxa"/>
            <w:vAlign w:val="center"/>
          </w:tcPr>
          <w:p>
            <w:pPr>
              <w:jc w:val="left"/>
              <w:rPr>
                <w:rFonts w:ascii="仿宋" w:hAnsi="仿宋" w:eastAsia="仿宋" w:cs="仿宋"/>
                <w:color w:val="auto"/>
                <w:szCs w:val="21"/>
                <w:highlight w:val="none"/>
              </w:rPr>
            </w:pPr>
            <w:r>
              <w:rPr>
                <w:rFonts w:hint="eastAsia" w:ascii="仿宋" w:hAnsi="仿宋" w:eastAsia="仿宋" w:cs="仿宋"/>
                <w:color w:val="auto"/>
                <w:szCs w:val="21"/>
                <w:highlight w:val="none"/>
              </w:rPr>
              <w:t>计划立项批文号</w:t>
            </w:r>
          </w:p>
        </w:tc>
        <w:tc>
          <w:tcPr>
            <w:tcW w:w="3780" w:type="dxa"/>
            <w:gridSpan w:val="2"/>
            <w:vAlign w:val="center"/>
          </w:tcPr>
          <w:p>
            <w:pPr>
              <w:jc w:val="left"/>
              <w:rPr>
                <w:rFonts w:ascii="仿宋" w:hAnsi="仿宋" w:eastAsia="仿宋" w:cs="仿宋"/>
                <w:color w:val="auto"/>
                <w:szCs w:val="21"/>
                <w:highlight w:val="none"/>
              </w:rPr>
            </w:pPr>
          </w:p>
        </w:tc>
        <w:tc>
          <w:tcPr>
            <w:tcW w:w="1366" w:type="dxa"/>
            <w:vAlign w:val="center"/>
          </w:tcPr>
          <w:p>
            <w:pPr>
              <w:jc w:val="left"/>
              <w:rPr>
                <w:rFonts w:ascii="仿宋" w:hAnsi="仿宋" w:eastAsia="仿宋" w:cs="仿宋"/>
                <w:color w:val="auto"/>
                <w:szCs w:val="21"/>
                <w:highlight w:val="none"/>
              </w:rPr>
            </w:pPr>
            <w:r>
              <w:rPr>
                <w:rFonts w:hint="eastAsia" w:ascii="仿宋" w:hAnsi="仿宋" w:eastAsia="仿宋" w:cs="仿宋"/>
                <w:b/>
                <w:color w:val="auto"/>
                <w:szCs w:val="21"/>
                <w:highlight w:val="none"/>
              </w:rPr>
              <w:t>*</w:t>
            </w:r>
            <w:r>
              <w:rPr>
                <w:rFonts w:hint="eastAsia" w:ascii="仿宋" w:hAnsi="仿宋" w:eastAsia="仿宋" w:cs="仿宋"/>
                <w:color w:val="auto"/>
                <w:szCs w:val="21"/>
                <w:highlight w:val="none"/>
              </w:rPr>
              <w:t>资金来源</w:t>
            </w:r>
          </w:p>
        </w:tc>
        <w:tc>
          <w:tcPr>
            <w:tcW w:w="2261" w:type="dxa"/>
            <w:vAlign w:val="center"/>
          </w:tcPr>
          <w:p>
            <w:pPr>
              <w:jc w:val="left"/>
              <w:rPr>
                <w:rFonts w:ascii="仿宋" w:hAnsi="仿宋" w:eastAsia="仿宋" w:cs="仿宋"/>
                <w:color w:val="auto"/>
                <w:szCs w:val="21"/>
                <w:highlight w:val="none"/>
              </w:rPr>
            </w:pPr>
            <w:r>
              <w:rPr>
                <w:rFonts w:hint="eastAsia" w:ascii="仿宋" w:hAnsi="仿宋" w:eastAsia="仿宋" w:cs="仿宋"/>
                <w:color w:val="auto"/>
                <w:szCs w:val="21"/>
                <w:highlight w:val="none"/>
              </w:rPr>
              <w:t>一般公共预算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560" w:type="dxa"/>
            <w:vAlign w:val="center"/>
          </w:tcPr>
          <w:p>
            <w:pPr>
              <w:jc w:val="left"/>
              <w:rPr>
                <w:rFonts w:ascii="仿宋" w:hAnsi="仿宋" w:eastAsia="仿宋" w:cs="仿宋"/>
                <w:color w:val="auto"/>
                <w:szCs w:val="21"/>
                <w:highlight w:val="none"/>
              </w:rPr>
            </w:pPr>
            <w:r>
              <w:rPr>
                <w:rFonts w:hint="eastAsia" w:ascii="仿宋" w:hAnsi="仿宋" w:eastAsia="仿宋" w:cs="仿宋"/>
                <w:b/>
                <w:color w:val="auto"/>
                <w:szCs w:val="21"/>
                <w:highlight w:val="none"/>
              </w:rPr>
              <w:t>*</w:t>
            </w:r>
            <w:r>
              <w:rPr>
                <w:rFonts w:hint="eastAsia" w:ascii="仿宋" w:hAnsi="仿宋" w:eastAsia="仿宋" w:cs="仿宋"/>
                <w:color w:val="auto"/>
                <w:szCs w:val="21"/>
                <w:highlight w:val="none"/>
              </w:rPr>
              <w:t>财政预算限额（元）</w:t>
            </w:r>
          </w:p>
        </w:tc>
        <w:tc>
          <w:tcPr>
            <w:tcW w:w="3780" w:type="dxa"/>
            <w:gridSpan w:val="2"/>
            <w:vAlign w:val="center"/>
          </w:tcPr>
          <w:p>
            <w:pPr>
              <w:jc w:val="left"/>
              <w:rPr>
                <w:rFonts w:ascii="仿宋" w:hAnsi="仿宋" w:eastAsia="仿宋" w:cs="仿宋"/>
                <w:color w:val="auto"/>
                <w:szCs w:val="21"/>
                <w:highlight w:val="none"/>
              </w:rPr>
            </w:pPr>
            <w:r>
              <w:rPr>
                <w:rFonts w:hint="eastAsia" w:ascii="仿宋" w:hAnsi="仿宋" w:eastAsia="仿宋" w:cs="仿宋"/>
                <w:color w:val="auto"/>
                <w:szCs w:val="21"/>
                <w:highlight w:val="none"/>
              </w:rPr>
              <w:t>1385</w:t>
            </w:r>
            <w:r>
              <w:rPr>
                <w:rFonts w:hint="eastAsia" w:ascii="仿宋" w:hAnsi="仿宋" w:eastAsia="仿宋" w:cs="仿宋"/>
                <w:color w:val="auto"/>
                <w:szCs w:val="21"/>
                <w:highlight w:val="none"/>
                <w:lang w:val="en-US" w:eastAsia="zh-CN"/>
              </w:rPr>
              <w:t>000</w:t>
            </w:r>
          </w:p>
        </w:tc>
        <w:tc>
          <w:tcPr>
            <w:tcW w:w="1366" w:type="dxa"/>
            <w:vAlign w:val="center"/>
          </w:tcPr>
          <w:p>
            <w:pPr>
              <w:jc w:val="left"/>
              <w:rPr>
                <w:rFonts w:ascii="仿宋" w:hAnsi="仿宋" w:eastAsia="仿宋" w:cs="仿宋"/>
                <w:color w:val="auto"/>
                <w:szCs w:val="21"/>
                <w:highlight w:val="none"/>
              </w:rPr>
            </w:pPr>
          </w:p>
        </w:tc>
        <w:tc>
          <w:tcPr>
            <w:tcW w:w="2261" w:type="dxa"/>
            <w:vAlign w:val="center"/>
          </w:tcPr>
          <w:p>
            <w:pPr>
              <w:jc w:val="left"/>
              <w:rPr>
                <w:rFonts w:ascii="仿宋" w:hAnsi="仿宋" w:eastAsia="仿宋" w:cs="仿宋"/>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560" w:type="dxa"/>
            <w:vAlign w:val="center"/>
          </w:tcPr>
          <w:p>
            <w:pPr>
              <w:jc w:val="left"/>
              <w:rPr>
                <w:rFonts w:ascii="仿宋" w:hAnsi="仿宋" w:eastAsia="仿宋" w:cs="仿宋"/>
                <w:color w:val="auto"/>
                <w:szCs w:val="21"/>
                <w:highlight w:val="none"/>
              </w:rPr>
            </w:pPr>
            <w:r>
              <w:rPr>
                <w:rFonts w:hint="eastAsia" w:ascii="仿宋" w:hAnsi="仿宋" w:eastAsia="仿宋" w:cs="仿宋"/>
                <w:color w:val="auto"/>
                <w:szCs w:val="21"/>
                <w:highlight w:val="none"/>
              </w:rPr>
              <w:t>项目背景</w:t>
            </w:r>
          </w:p>
        </w:tc>
        <w:tc>
          <w:tcPr>
            <w:tcW w:w="7407" w:type="dxa"/>
            <w:gridSpan w:val="4"/>
            <w:vAlign w:val="center"/>
          </w:tcPr>
          <w:p>
            <w:pPr>
              <w:ind w:firstLine="420" w:firstLineChars="200"/>
              <w:jc w:val="left"/>
              <w:rPr>
                <w:rFonts w:ascii="仿宋" w:hAnsi="仿宋" w:eastAsia="仿宋" w:cs="仿宋"/>
                <w:color w:val="auto"/>
                <w:szCs w:val="21"/>
                <w:highlight w:val="none"/>
              </w:rPr>
            </w:pPr>
            <w:r>
              <w:rPr>
                <w:rFonts w:hint="eastAsia" w:ascii="仿宋" w:hAnsi="仿宋" w:eastAsia="仿宋" w:cs="仿宋"/>
                <w:color w:val="auto"/>
                <w:szCs w:val="21"/>
                <w:highlight w:val="none"/>
              </w:rPr>
              <w:t>党中央、国务院高度重视耕地保护工作，要求坚持最严格的耕地保护制度，严格耕地用途管制，实行耕地保护党政同责。2023年12月29日，十四届全国人大常委会第七次会议表决通过《中华人民共和国粮食安全保障法》，专设“耕地保护”一章。2024年中央一号文件开篇强调，要严格落实耕地保护制度。健全耕地数量、质量、生态“三位一体”保护制度体系，落实新一轮国土空间规划明确的耕地和永久基本农田保护任务，改革完善耕地占补平衡制度。2024年2月，自然资源部印发《关于进一步改进优化能源、交通、水利等重大建设项目用地组卷报批工作的通知（自然资发〔2024〕36号）》，明确改进建设项目耕地占补平衡管控方式。深圳市作为改革开放的窗口和试验场，更应坚决贯彻落实党中央、国务院严格耕地保护的决策部署，坚持最严格的耕地保护制度，带头落实好耕地用途管制各项工作要求，完成国家下达的耕地保有量和永久基本农田保护任务。2024年2月5日，中共中央办公厅、国务院办公厅印发《关于加强耕地保护提升耕地质量完善占补平衡的意见》，2024年9月30日，自然资源部、农业农村部印发《关于改革完善耕地占补平衡管理的通知》，先后提出：改革占补平衡管理方式，实施“以补定占”管控，将省域内稳定利用耕地净增加量作为下年度非农建设允许占用耕地规模上限。2025年中央一号文件再次强调，要强化耕地保护和质量提升。严格耕地总量管控和“以补定占”，将各类耕地占用纳入占补平衡统一管理，确保省域内年度耕地总量动态平衡。完善补充耕地质量评价和验收标准。持续整治“大棚房”、侵占耕地“挖湖造景”、乱占耕地建房等问题，坚决遏制破坏耕地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60" w:type="dxa"/>
            <w:vAlign w:val="center"/>
          </w:tcPr>
          <w:p>
            <w:pPr>
              <w:jc w:val="left"/>
              <w:rPr>
                <w:rFonts w:ascii="仿宋" w:hAnsi="仿宋" w:eastAsia="仿宋" w:cs="仿宋"/>
                <w:color w:val="auto"/>
                <w:szCs w:val="21"/>
                <w:highlight w:val="none"/>
              </w:rPr>
            </w:pPr>
            <w:r>
              <w:rPr>
                <w:rFonts w:hint="eastAsia" w:ascii="仿宋" w:hAnsi="仿宋" w:eastAsia="仿宋" w:cs="仿宋"/>
                <w:color w:val="auto"/>
                <w:szCs w:val="21"/>
                <w:highlight w:val="none"/>
              </w:rPr>
              <w:t>项目前期设计、规划论证单位</w:t>
            </w:r>
          </w:p>
        </w:tc>
        <w:tc>
          <w:tcPr>
            <w:tcW w:w="7407" w:type="dxa"/>
            <w:gridSpan w:val="4"/>
            <w:vAlign w:val="center"/>
          </w:tcPr>
          <w:p>
            <w:pPr>
              <w:jc w:val="left"/>
              <w:rPr>
                <w:rFonts w:ascii="仿宋" w:hAnsi="仿宋" w:eastAsia="仿宋" w:cs="仿宋"/>
                <w:color w:val="auto"/>
                <w:szCs w:val="21"/>
                <w:highlight w:val="none"/>
              </w:rPr>
            </w:pPr>
            <w:r>
              <w:rPr>
                <w:rFonts w:hint="eastAsia" w:ascii="仿宋" w:hAnsi="仿宋" w:eastAsia="仿宋" w:cs="仿宋"/>
                <w:color w:val="auto"/>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560" w:type="dxa"/>
            <w:vAlign w:val="center"/>
          </w:tcPr>
          <w:p>
            <w:pPr>
              <w:jc w:val="center"/>
              <w:rPr>
                <w:rFonts w:ascii="仿宋" w:hAnsi="仿宋" w:eastAsia="仿宋" w:cs="仿宋"/>
                <w:color w:val="auto"/>
                <w:szCs w:val="21"/>
                <w:highlight w:val="none"/>
              </w:rPr>
            </w:pPr>
            <w:r>
              <w:rPr>
                <w:rFonts w:hint="eastAsia" w:ascii="仿宋" w:hAnsi="仿宋" w:eastAsia="仿宋" w:cs="仿宋"/>
                <w:color w:val="auto"/>
                <w:kern w:val="0"/>
                <w:szCs w:val="21"/>
                <w:highlight w:val="none"/>
              </w:rPr>
              <w:t>投标人资质要求</w:t>
            </w:r>
          </w:p>
        </w:tc>
        <w:tc>
          <w:tcPr>
            <w:tcW w:w="7407" w:type="dxa"/>
            <w:gridSpan w:val="4"/>
          </w:tcPr>
          <w:p>
            <w:pPr>
              <w:jc w:val="left"/>
              <w:rPr>
                <w:rFonts w:ascii="仿宋" w:hAnsi="仿宋" w:eastAsia="仿宋" w:cs="仿宋"/>
                <w:b/>
                <w:color w:val="auto"/>
                <w:kern w:val="0"/>
                <w:szCs w:val="21"/>
                <w:highlight w:val="none"/>
              </w:rPr>
            </w:pPr>
            <w:r>
              <w:rPr>
                <w:rFonts w:hint="eastAsia" w:ascii="仿宋" w:hAnsi="仿宋" w:eastAsia="仿宋" w:cs="仿宋"/>
                <w:b/>
                <w:color w:val="auto"/>
                <w:kern w:val="0"/>
                <w:szCs w:val="21"/>
                <w:highlight w:val="none"/>
              </w:rPr>
              <w:t>注意：采购人根据项目所需提供明确、具体的资质要求，资质要求的内容必须与项目等级相匹配且符合相关法律规定。（设置的投标人资格要求必须提交有法律法规依据的证明文件，且不具备倾向性）</w:t>
            </w:r>
          </w:p>
          <w:p>
            <w:pPr>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具有独立法人资格；</w:t>
            </w:r>
          </w:p>
          <w:p>
            <w:pPr>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lang w:eastAsia="zh-CN"/>
              </w:rPr>
              <w:t>2</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本项目不接受联合体投标，不允许转包、分包，（不接受投标人选用进口产品参与投标）。</w:t>
            </w:r>
          </w:p>
          <w:p>
            <w:pPr>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lang w:eastAsia="zh-CN"/>
              </w:rPr>
              <w:t>3</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参与本项目投标前三年内，在经营活动中没有重大违法记录（由供应商在《政府采购投标及履约承诺函》中作出声明）。</w:t>
            </w:r>
          </w:p>
          <w:p>
            <w:pPr>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lang w:eastAsia="zh-CN"/>
              </w:rPr>
              <w:t>4</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参与本项目政府采购活动时不存在被有关部门禁止参与政府采购活动且在有效期内的情况（由供应商在《政府采购投标及履约承诺函》中作出声明）。</w:t>
            </w:r>
          </w:p>
          <w:p>
            <w:pPr>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lang w:eastAsia="zh-CN"/>
              </w:rPr>
              <w:t>5</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具备《中华人民共和国政府采购法》第二十二条第一款的条件（由供应商在《政府采购投标及履约承诺函》中作出声明）。</w:t>
            </w:r>
          </w:p>
          <w:p>
            <w:pPr>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lang w:eastAsia="zh-CN"/>
              </w:rPr>
              <w:t>6</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未被列入失信被执行人、重大税收违法案件当事人名单、政府采购严重违法失信行为记录名单（由供应商在《政府采购投标及履约承诺函》中作出声明）。</w:t>
            </w:r>
          </w:p>
          <w:p>
            <w:pPr>
              <w:jc w:val="left"/>
              <w:rPr>
                <w:rFonts w:hint="default" w:eastAsia="仿宋"/>
                <w:lang w:val="en-US" w:eastAsia="zh-CN"/>
              </w:rPr>
            </w:pPr>
            <w:r>
              <w:rPr>
                <w:rFonts w:hint="eastAsia" w:ascii="仿宋" w:hAnsi="仿宋" w:eastAsia="仿宋" w:cs="仿宋"/>
                <w:color w:val="auto"/>
                <w:szCs w:val="21"/>
                <w:highlight w:val="none"/>
              </w:rPr>
              <w:t>注：“信用中国”、“中国政府采购网”、“深圳信用网”以及“深圳市政府采购监管网”为供应商信用信息的查询渠道，相关信息以开标当日的查询结果为准。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560" w:type="dxa"/>
            <w:vAlign w:val="center"/>
          </w:tcPr>
          <w:p>
            <w:pPr>
              <w:jc w:val="center"/>
              <w:rPr>
                <w:rFonts w:ascii="仿宋" w:hAnsi="仿宋" w:eastAsia="仿宋" w:cs="仿宋"/>
                <w:color w:val="auto"/>
                <w:kern w:val="0"/>
                <w:szCs w:val="21"/>
                <w:highlight w:val="none"/>
              </w:rPr>
            </w:pPr>
            <w:r>
              <w:rPr>
                <w:rFonts w:hint="eastAsia" w:ascii="仿宋" w:hAnsi="仿宋" w:eastAsia="仿宋" w:cs="仿宋"/>
                <w:bCs/>
                <w:color w:val="auto"/>
                <w:szCs w:val="21"/>
                <w:highlight w:val="none"/>
              </w:rPr>
              <w:t>需求内容</w:t>
            </w:r>
          </w:p>
        </w:tc>
        <w:tc>
          <w:tcPr>
            <w:tcW w:w="7407" w:type="dxa"/>
            <w:gridSpan w:val="4"/>
          </w:tcPr>
          <w:p>
            <w:pPr>
              <w:spacing w:line="240" w:lineRule="auto"/>
              <w:jc w:val="left"/>
              <w:rPr>
                <w:rFonts w:ascii="仿宋" w:hAnsi="仿宋" w:eastAsia="仿宋" w:cs="仿宋"/>
                <w:color w:val="auto"/>
                <w:szCs w:val="21"/>
                <w:highlight w:val="none"/>
              </w:rPr>
            </w:pPr>
            <w:r>
              <w:rPr>
                <w:rFonts w:hint="eastAsia" w:ascii="仿宋" w:hAnsi="仿宋" w:eastAsia="仿宋" w:cs="仿宋"/>
                <w:b/>
                <w:color w:val="auto"/>
                <w:szCs w:val="21"/>
                <w:highlight w:val="none"/>
              </w:rPr>
              <w:t>*</w:t>
            </w:r>
            <w:r>
              <w:rPr>
                <w:rFonts w:hint="eastAsia" w:ascii="仿宋" w:hAnsi="仿宋" w:eastAsia="仿宋" w:cs="仿宋"/>
                <w:color w:val="auto"/>
                <w:szCs w:val="21"/>
                <w:highlight w:val="none"/>
              </w:rPr>
              <w:t>1、报价要求（明确分项报价要求）</w:t>
            </w:r>
          </w:p>
          <w:p>
            <w:pPr>
              <w:spacing w:before="61" w:line="240" w:lineRule="auto"/>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1）本项目服务费采用包干制，应包括服务成本、法定税费和企业的利润。由企业根据招标文件所提供的资料自行测算投标报价；一经中标，投标报价总价作为中标单位与采购人签定的合同金额，合同期限内不做调整。</w:t>
            </w:r>
          </w:p>
          <w:p>
            <w:pPr>
              <w:spacing w:before="61" w:line="240" w:lineRule="auto"/>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2）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spacing w:before="61" w:line="240" w:lineRule="auto"/>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3）投标单位提供报价详细清单。</w:t>
            </w:r>
          </w:p>
          <w:p>
            <w:pPr>
              <w:spacing w:before="61" w:line="240" w:lineRule="auto"/>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4）在合同实施期间，服务费用不随国家政策或法规、标准及市场因素的变化而进行调整。</w:t>
            </w:r>
          </w:p>
          <w:p>
            <w:pPr>
              <w:spacing w:before="61" w:line="240" w:lineRule="auto"/>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5）投标人的投标报价，应是本项目招标范围和招标文件及合同条款上所列的各项内容中所述的全部，不得以任何理由予以重复，并以投标人在投标文件中提出的综合单价或总价为依据。</w:t>
            </w:r>
          </w:p>
          <w:p>
            <w:pPr>
              <w:spacing w:before="61" w:line="240" w:lineRule="auto"/>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6）例外地按招标文件所列的清单中项目和数量填报综合单价或总价。投标人未填综合单价或总价的项目，在实施后，将不得以支付，并视作该项费用已包括在其它有价款的综合单价或总价内。</w:t>
            </w:r>
          </w:p>
          <w:p>
            <w:pPr>
              <w:spacing w:before="61" w:line="240" w:lineRule="auto"/>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7</w:t>
            </w:r>
            <w:r>
              <w:rPr>
                <w:rFonts w:hint="eastAsia" w:ascii="仿宋" w:hAnsi="仿宋" w:eastAsia="仿宋" w:cs="Times New Roman"/>
                <w:color w:val="auto"/>
                <w:kern w:val="0"/>
                <w:szCs w:val="21"/>
                <w:highlight w:val="none"/>
              </w:rPr>
              <w:t>）投标人应充分了解项目的位置、情况、道路及任何其它足以影响投标报价的情况，任何因忽视或误解项目情况而导致的索赔或服务期限延长申请将不获批准。</w:t>
            </w:r>
          </w:p>
          <w:p>
            <w:pPr>
              <w:spacing w:before="61" w:line="240" w:lineRule="auto"/>
              <w:rPr>
                <w:rFonts w:ascii="仿宋" w:hAnsi="仿宋" w:eastAsia="仿宋" w:cs="仿宋"/>
                <w:color w:val="auto"/>
                <w:szCs w:val="21"/>
                <w:highlight w:val="none"/>
              </w:rPr>
            </w:pPr>
            <w:r>
              <w:rPr>
                <w:rFonts w:hint="eastAsia" w:ascii="仿宋" w:hAnsi="仿宋" w:eastAsia="仿宋" w:cs="Times New Roman"/>
                <w:color w:val="auto"/>
                <w:kern w:val="0"/>
                <w:szCs w:val="21"/>
                <w:highlight w:val="none"/>
              </w:rPr>
              <w:t>8）投标人不得期望通过索赔等方式获取补偿，否则，除可能遭到拒绝外，还可能将被作为不良行为记录在案，并可能影响其以后参加政府采购的项目投标。各投标人在投标报价时，应充分考虑投标报价的风险。</w:t>
            </w:r>
          </w:p>
          <w:p>
            <w:pPr>
              <w:spacing w:line="240" w:lineRule="auto"/>
              <w:jc w:val="left"/>
              <w:rPr>
                <w:rFonts w:ascii="仿宋" w:hAnsi="仿宋" w:eastAsia="仿宋" w:cs="仿宋"/>
                <w:color w:val="auto"/>
                <w:szCs w:val="21"/>
                <w:highlight w:val="none"/>
              </w:rPr>
            </w:pPr>
            <w:r>
              <w:rPr>
                <w:rFonts w:hint="eastAsia" w:ascii="仿宋" w:hAnsi="仿宋" w:eastAsia="仿宋" w:cs="仿宋"/>
                <w:b/>
                <w:color w:val="auto"/>
                <w:szCs w:val="21"/>
                <w:highlight w:val="none"/>
              </w:rPr>
              <w:t>*</w:t>
            </w:r>
            <w:r>
              <w:rPr>
                <w:rFonts w:hint="eastAsia" w:ascii="仿宋" w:hAnsi="仿宋" w:eastAsia="仿宋" w:cs="仿宋"/>
                <w:color w:val="auto"/>
                <w:szCs w:val="21"/>
                <w:highlight w:val="none"/>
              </w:rPr>
              <w:t>2、付款方式</w:t>
            </w:r>
          </w:p>
          <w:p>
            <w:pPr>
              <w:spacing w:before="61" w:line="240" w:lineRule="auto"/>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本项目分三期支付合同款。</w:t>
            </w:r>
          </w:p>
          <w:p>
            <w:pPr>
              <w:spacing w:before="61" w:line="240" w:lineRule="auto"/>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首期款：自双方签订合同之日起20个工作日内，根据中标方提出的付款申请，采购方按照合同要求支付中标方合同总价款的20%；</w:t>
            </w:r>
          </w:p>
          <w:p>
            <w:pPr>
              <w:spacing w:before="61" w:line="240" w:lineRule="auto"/>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二期款：中标方提交部分成果：包含深圳市2025年耕地占补平衡汇总数据统计表、深圳市2025年耕地和永久基本农田排查整改分析与核查报告，经采购方负责处室审查通过后</w:t>
            </w:r>
            <w:r>
              <w:rPr>
                <w:rFonts w:ascii="仿宋" w:hAnsi="仿宋" w:eastAsia="仿宋" w:cs="宋体"/>
                <w:color w:val="auto"/>
                <w:kern w:val="0"/>
                <w:szCs w:val="21"/>
                <w:highlight w:val="none"/>
              </w:rPr>
              <w:t>2</w:t>
            </w:r>
            <w:r>
              <w:rPr>
                <w:rFonts w:hint="eastAsia" w:ascii="仿宋" w:hAnsi="仿宋" w:eastAsia="仿宋" w:cs="宋体"/>
                <w:color w:val="auto"/>
                <w:kern w:val="0"/>
                <w:szCs w:val="21"/>
                <w:highlight w:val="none"/>
              </w:rPr>
              <w:t>0个工作日内支付</w:t>
            </w:r>
            <w:r>
              <w:rPr>
                <w:rFonts w:hint="eastAsia" w:ascii="仿宋" w:hAnsi="仿宋" w:eastAsia="仿宋" w:cs="Times New Roman"/>
                <w:color w:val="auto"/>
                <w:kern w:val="0"/>
                <w:szCs w:val="21"/>
                <w:highlight w:val="none"/>
              </w:rPr>
              <w:t>，采购方按照合同要求支付中标方合同总价款的4</w:t>
            </w:r>
            <w:r>
              <w:rPr>
                <w:rFonts w:ascii="仿宋" w:hAnsi="仿宋" w:eastAsia="仿宋" w:cs="Times New Roman"/>
                <w:color w:val="auto"/>
                <w:kern w:val="0"/>
                <w:szCs w:val="21"/>
                <w:highlight w:val="none"/>
              </w:rPr>
              <w:t>4.19</w:t>
            </w:r>
            <w:r>
              <w:rPr>
                <w:rFonts w:hint="eastAsia" w:ascii="仿宋" w:hAnsi="仿宋" w:eastAsia="仿宋" w:cs="Times New Roman"/>
                <w:color w:val="auto"/>
                <w:kern w:val="0"/>
                <w:szCs w:val="21"/>
                <w:highlight w:val="none"/>
              </w:rPr>
              <w:t>%；</w:t>
            </w:r>
          </w:p>
          <w:p>
            <w:pPr>
              <w:spacing w:before="61" w:line="240" w:lineRule="auto"/>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尾款：中标方提交完成本项目全部成果，并通过采购方成果验收后</w:t>
            </w:r>
            <w:r>
              <w:rPr>
                <w:rFonts w:ascii="仿宋" w:hAnsi="仿宋" w:eastAsia="仿宋" w:cs="Times New Roman"/>
                <w:color w:val="auto"/>
                <w:kern w:val="0"/>
                <w:szCs w:val="21"/>
                <w:highlight w:val="none"/>
              </w:rPr>
              <w:t>2</w:t>
            </w:r>
            <w:r>
              <w:rPr>
                <w:rFonts w:hint="eastAsia" w:ascii="仿宋" w:hAnsi="仿宋" w:eastAsia="仿宋" w:cs="Times New Roman"/>
                <w:color w:val="auto"/>
                <w:kern w:val="0"/>
                <w:szCs w:val="21"/>
                <w:highlight w:val="none"/>
              </w:rPr>
              <w:t>0个工作日内，采购方按照合同要求支付中标方合同总价款的</w:t>
            </w:r>
            <w:r>
              <w:rPr>
                <w:rFonts w:ascii="仿宋" w:hAnsi="仿宋" w:eastAsia="仿宋" w:cs="Times New Roman"/>
                <w:color w:val="auto"/>
                <w:kern w:val="0"/>
                <w:szCs w:val="21"/>
                <w:highlight w:val="none"/>
              </w:rPr>
              <w:t>35.81</w:t>
            </w:r>
            <w:r>
              <w:rPr>
                <w:rFonts w:hint="eastAsia" w:ascii="仿宋" w:hAnsi="仿宋" w:eastAsia="仿宋" w:cs="Times New Roman"/>
                <w:color w:val="auto"/>
                <w:kern w:val="0"/>
                <w:szCs w:val="21"/>
                <w:highlight w:val="none"/>
              </w:rPr>
              <w:t>%。</w:t>
            </w:r>
          </w:p>
          <w:p>
            <w:pPr>
              <w:spacing w:line="240" w:lineRule="auto"/>
              <w:jc w:val="left"/>
              <w:rPr>
                <w:rFonts w:ascii="仿宋" w:hAnsi="仿宋" w:eastAsia="仿宋" w:cs="仿宋"/>
                <w:color w:val="auto"/>
                <w:szCs w:val="21"/>
                <w:highlight w:val="none"/>
              </w:rPr>
            </w:pPr>
            <w:r>
              <w:rPr>
                <w:rFonts w:hint="eastAsia" w:ascii="仿宋" w:hAnsi="仿宋" w:eastAsia="仿宋" w:cs="仿宋"/>
                <w:b/>
                <w:color w:val="auto"/>
                <w:szCs w:val="21"/>
                <w:highlight w:val="none"/>
              </w:rPr>
              <w:t>*</w:t>
            </w:r>
            <w:r>
              <w:rPr>
                <w:rFonts w:hint="eastAsia" w:ascii="仿宋" w:hAnsi="仿宋" w:eastAsia="仿宋" w:cs="仿宋"/>
                <w:color w:val="auto"/>
                <w:szCs w:val="21"/>
                <w:highlight w:val="none"/>
              </w:rPr>
              <w:t>3、履约保证金</w:t>
            </w:r>
          </w:p>
          <w:p>
            <w:pPr>
              <w:spacing w:before="61" w:line="240" w:lineRule="auto"/>
              <w:rPr>
                <w:b/>
                <w:bCs/>
                <w:color w:val="auto"/>
                <w:highlight w:val="none"/>
              </w:rPr>
            </w:pPr>
            <w:r>
              <w:rPr>
                <w:rFonts w:hint="eastAsia" w:ascii="仿宋" w:hAnsi="仿宋" w:eastAsia="仿宋" w:cs="Times New Roman"/>
                <w:color w:val="auto"/>
                <w:kern w:val="0"/>
                <w:szCs w:val="21"/>
                <w:highlight w:val="none"/>
              </w:rPr>
              <w:t>履约保证金占合同金额的</w:t>
            </w:r>
            <w:r>
              <w:rPr>
                <w:rFonts w:hint="eastAsia" w:ascii="仿宋" w:hAnsi="仿宋" w:eastAsia="仿宋" w:cs="Times New Roman"/>
                <w:color w:val="auto"/>
                <w:kern w:val="0"/>
                <w:szCs w:val="21"/>
                <w:highlight w:val="none"/>
                <w:u w:val="single"/>
              </w:rPr>
              <w:t>_0_</w:t>
            </w:r>
            <w:r>
              <w:rPr>
                <w:rFonts w:hint="eastAsia" w:ascii="仿宋" w:hAnsi="仿宋" w:eastAsia="仿宋" w:cs="Times New Roman"/>
                <w:color w:val="auto"/>
                <w:kern w:val="0"/>
                <w:szCs w:val="21"/>
                <w:highlight w:val="none"/>
              </w:rPr>
              <w:t>%。</w:t>
            </w:r>
          </w:p>
          <w:p>
            <w:pPr>
              <w:spacing w:line="240" w:lineRule="auto"/>
              <w:jc w:val="left"/>
              <w:rPr>
                <w:rFonts w:ascii="仿宋" w:hAnsi="仿宋" w:eastAsia="仿宋" w:cs="仿宋"/>
                <w:color w:val="auto"/>
                <w:szCs w:val="21"/>
                <w:highlight w:val="none"/>
              </w:rPr>
            </w:pPr>
            <w:r>
              <w:rPr>
                <w:rFonts w:hint="eastAsia" w:ascii="仿宋" w:hAnsi="仿宋" w:eastAsia="仿宋" w:cs="仿宋"/>
                <w:b/>
                <w:color w:val="auto"/>
                <w:szCs w:val="21"/>
                <w:highlight w:val="none"/>
              </w:rPr>
              <w:t>*</w:t>
            </w:r>
            <w:r>
              <w:rPr>
                <w:rFonts w:hint="eastAsia" w:ascii="仿宋" w:hAnsi="仿宋" w:eastAsia="仿宋" w:cs="仿宋"/>
                <w:color w:val="auto"/>
                <w:szCs w:val="21"/>
                <w:highlight w:val="none"/>
              </w:rPr>
              <w:t>4、违约责任</w:t>
            </w:r>
          </w:p>
          <w:p>
            <w:pPr>
              <w:spacing w:before="61" w:line="240" w:lineRule="auto"/>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4.1采购方的责任</w:t>
            </w:r>
          </w:p>
          <w:p>
            <w:pPr>
              <w:spacing w:line="240" w:lineRule="auto"/>
              <w:jc w:val="left"/>
              <w:rPr>
                <w:rFonts w:ascii="仿宋" w:hAnsi="仿宋" w:eastAsia="仿宋" w:cs="仿宋"/>
                <w:color w:val="auto"/>
                <w:kern w:val="0"/>
                <w:szCs w:val="21"/>
                <w:highlight w:val="none"/>
              </w:rPr>
            </w:pPr>
            <w:r>
              <w:rPr>
                <w:rFonts w:hint="eastAsia" w:ascii="仿宋" w:hAnsi="仿宋" w:eastAsia="仿宋" w:cs="仿宋"/>
                <w:color w:val="auto"/>
                <w:kern w:val="0"/>
                <w:szCs w:val="21"/>
                <w:highlight w:val="none"/>
              </w:rPr>
              <w:t>1）合同签订后，中标方未展开工作前，由于采购方项目停止或其他自身原因而终止合同的，采购方偿付中标方合同总价款的</w:t>
            </w:r>
            <w:r>
              <w:rPr>
                <w:rFonts w:hint="eastAsia" w:ascii="仿宋" w:hAnsi="仿宋" w:eastAsia="仿宋" w:cs="仿宋"/>
                <w:color w:val="auto"/>
                <w:kern w:val="0"/>
                <w:szCs w:val="21"/>
                <w:highlight w:val="none"/>
                <w:lang w:val="en-US" w:eastAsia="zh-CN"/>
              </w:rPr>
              <w:t>10</w:t>
            </w:r>
            <w:r>
              <w:rPr>
                <w:rFonts w:hint="eastAsia" w:ascii="仿宋" w:hAnsi="仿宋" w:eastAsia="仿宋" w:cs="仿宋"/>
                <w:color w:val="auto"/>
                <w:kern w:val="0"/>
                <w:szCs w:val="21"/>
                <w:highlight w:val="none"/>
              </w:rPr>
              <w:t xml:space="preserve">% </w:t>
            </w:r>
            <w:r>
              <w:rPr>
                <w:rFonts w:hint="eastAsia" w:ascii="仿宋" w:hAnsi="仿宋" w:eastAsia="仿宋" w:cs="仿宋"/>
                <w:color w:val="auto"/>
                <w:kern w:val="0"/>
                <w:szCs w:val="21"/>
                <w:highlight w:val="none"/>
                <w:lang w:eastAsia="zh-CN"/>
              </w:rPr>
              <w:t>，</w:t>
            </w:r>
            <w:r>
              <w:rPr>
                <w:rFonts w:hint="eastAsia" w:ascii="仿宋" w:hAnsi="仿宋" w:eastAsia="仿宋" w:cs="仿宋"/>
                <w:color w:val="auto"/>
                <w:kern w:val="0"/>
                <w:szCs w:val="21"/>
                <w:highlight w:val="none"/>
                <w:lang w:val="en-US" w:eastAsia="zh-CN"/>
              </w:rPr>
              <w:t>人民币</w:t>
            </w:r>
            <w:r>
              <w:rPr>
                <w:rFonts w:hint="eastAsia" w:ascii="仿宋" w:hAnsi="仿宋" w:eastAsia="仿宋" w:cs="仿宋"/>
                <w:color w:val="auto"/>
                <w:kern w:val="0"/>
                <w:szCs w:val="21"/>
                <w:highlight w:val="none"/>
                <w:u w:val="single"/>
                <w:lang w:val="en-US" w:eastAsia="zh-CN"/>
              </w:rPr>
              <w:t xml:space="preserve">      </w:t>
            </w:r>
            <w:r>
              <w:rPr>
                <w:rFonts w:hint="eastAsia" w:ascii="仿宋" w:hAnsi="仿宋" w:eastAsia="仿宋" w:cs="仿宋"/>
                <w:color w:val="auto"/>
                <w:kern w:val="0"/>
                <w:szCs w:val="21"/>
                <w:highlight w:val="none"/>
                <w:u w:val="none"/>
                <w:lang w:val="en-US" w:eastAsia="zh-CN"/>
              </w:rPr>
              <w:t>元</w:t>
            </w:r>
            <w:r>
              <w:rPr>
                <w:rFonts w:hint="eastAsia" w:ascii="仿宋" w:hAnsi="仿宋" w:eastAsia="仿宋" w:cs="仿宋"/>
                <w:color w:val="auto"/>
                <w:kern w:val="0"/>
                <w:szCs w:val="21"/>
                <w:highlight w:val="none"/>
              </w:rPr>
              <w:t>；中标方已展开工作的，采购方应按完成的实际工作量支付项目价款，并按合同总价款的</w:t>
            </w:r>
            <w:r>
              <w:rPr>
                <w:rFonts w:hint="eastAsia" w:ascii="仿宋" w:hAnsi="仿宋" w:eastAsia="仿宋" w:cs="仿宋"/>
                <w:color w:val="auto"/>
                <w:kern w:val="0"/>
                <w:szCs w:val="21"/>
                <w:highlight w:val="none"/>
                <w:lang w:val="en-US" w:eastAsia="zh-CN"/>
              </w:rPr>
              <w:t>10</w:t>
            </w:r>
            <w:r>
              <w:rPr>
                <w:rFonts w:hint="eastAsia" w:ascii="仿宋" w:hAnsi="仿宋" w:eastAsia="仿宋" w:cs="仿宋"/>
                <w:color w:val="auto"/>
                <w:kern w:val="0"/>
                <w:szCs w:val="21"/>
                <w:highlight w:val="none"/>
              </w:rPr>
              <w:t>%向中标方支付有违约金。</w:t>
            </w:r>
          </w:p>
          <w:p>
            <w:pPr>
              <w:spacing w:before="61" w:line="240" w:lineRule="auto"/>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2）采购方无正当理由拒不接受服务、拒付合同价款，中标方有权要求采购方接受服务并支付应付的合同价款。采购方应向中标方支付本合同约定的合同总价款的</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%作为违约金。</w:t>
            </w:r>
          </w:p>
          <w:p>
            <w:pPr>
              <w:spacing w:before="61" w:line="240" w:lineRule="auto"/>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3）采购方变更委托项目内容、规模、条件，或对所提供资料作较大修改时，应于确定修改之日起</w:t>
            </w:r>
            <w:r>
              <w:rPr>
                <w:rFonts w:hint="eastAsia" w:ascii="仿宋" w:hAnsi="仿宋" w:eastAsia="仿宋" w:cs="Times New Roman"/>
                <w:color w:val="auto"/>
                <w:kern w:val="0"/>
                <w:szCs w:val="21"/>
                <w:highlight w:val="none"/>
                <w:lang w:val="en-US" w:eastAsia="zh-CN"/>
              </w:rPr>
              <w:t>5</w:t>
            </w:r>
            <w:r>
              <w:rPr>
                <w:rFonts w:ascii="仿宋" w:hAnsi="仿宋" w:eastAsia="仿宋" w:cs="Times New Roman"/>
                <w:color w:val="auto"/>
                <w:kern w:val="0"/>
                <w:szCs w:val="21"/>
                <w:highlight w:val="none"/>
              </w:rPr>
              <w:t>个工作日内告知中标方。因以上原因造成中标方返工，工作量按本合同规定的计费标准计算未超过合同总价款的</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%时，中标方予以免费返工；工作量按本合同规定的计费标准计算超过合同总价款的</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%但未超过</w:t>
            </w:r>
            <w:r>
              <w:rPr>
                <w:rFonts w:hint="eastAsia" w:ascii="仿宋" w:hAnsi="仿宋" w:eastAsia="仿宋" w:cs="Times New Roman"/>
                <w:color w:val="auto"/>
                <w:kern w:val="0"/>
                <w:szCs w:val="21"/>
                <w:highlight w:val="none"/>
                <w:lang w:val="en-US" w:eastAsia="zh-CN"/>
              </w:rPr>
              <w:t>2</w:t>
            </w:r>
            <w:r>
              <w:rPr>
                <w:rFonts w:ascii="仿宋" w:hAnsi="仿宋" w:eastAsia="仿宋" w:cs="Times New Roman"/>
                <w:color w:val="auto"/>
                <w:kern w:val="0"/>
                <w:szCs w:val="21"/>
                <w:highlight w:val="none"/>
              </w:rPr>
              <w:t>0%时，采购方应按中标方返工所耗工作量向中标方支付返工费；工作量按本合同规定的计费标准计算达到或超过合同总价款的</w:t>
            </w:r>
            <w:r>
              <w:rPr>
                <w:rFonts w:hint="eastAsia" w:ascii="仿宋" w:hAnsi="仿宋" w:eastAsia="仿宋" w:cs="Times New Roman"/>
                <w:color w:val="auto"/>
                <w:kern w:val="0"/>
                <w:szCs w:val="21"/>
                <w:highlight w:val="none"/>
                <w:lang w:val="en-US" w:eastAsia="zh-CN"/>
              </w:rPr>
              <w:t>2</w:t>
            </w:r>
            <w:r>
              <w:rPr>
                <w:rFonts w:ascii="仿宋" w:hAnsi="仿宋" w:eastAsia="仿宋" w:cs="Times New Roman"/>
                <w:color w:val="auto"/>
                <w:kern w:val="0"/>
                <w:szCs w:val="21"/>
                <w:highlight w:val="none"/>
              </w:rPr>
              <w:t>0%时，双方应协商签订补充协议或另行签订合同，重新明确有关条款。</w:t>
            </w:r>
          </w:p>
          <w:p>
            <w:pPr>
              <w:spacing w:before="61" w:line="240" w:lineRule="auto"/>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4）采购方未按本合同约定，延迟或未足额支付合同价款的，中标方有权要求采购方支付该阶段未付合同价款每日</w:t>
            </w:r>
            <w:r>
              <w:rPr>
                <w:rFonts w:hint="eastAsia" w:ascii="仿宋" w:hAnsi="仿宋" w:eastAsia="仿宋" w:cs="Times New Roman"/>
                <w:color w:val="auto"/>
                <w:kern w:val="0"/>
                <w:szCs w:val="21"/>
                <w:highlight w:val="none"/>
                <w:lang w:val="en-US" w:eastAsia="zh-CN"/>
              </w:rPr>
              <w:t>2</w:t>
            </w:r>
            <w:r>
              <w:rPr>
                <w:rFonts w:ascii="仿宋" w:hAnsi="仿宋" w:eastAsia="仿宋" w:cs="Times New Roman"/>
                <w:color w:val="auto"/>
                <w:kern w:val="0"/>
                <w:szCs w:val="21"/>
                <w:highlight w:val="none"/>
              </w:rPr>
              <w:t xml:space="preserve"> ‰的逾期违约金，逾期违约金总额不超过合同总价款的</w:t>
            </w:r>
            <w:r>
              <w:rPr>
                <w:rFonts w:hint="eastAsia" w:ascii="仿宋" w:hAnsi="仿宋" w:eastAsia="仿宋" w:cs="Times New Roman"/>
                <w:color w:val="auto"/>
                <w:kern w:val="0"/>
                <w:szCs w:val="21"/>
                <w:highlight w:val="none"/>
                <w:lang w:val="en-US" w:eastAsia="zh-CN"/>
              </w:rPr>
              <w:t>1</w:t>
            </w:r>
            <w:r>
              <w:rPr>
                <w:rFonts w:ascii="仿宋" w:hAnsi="仿宋" w:eastAsia="仿宋" w:cs="Times New Roman"/>
                <w:color w:val="auto"/>
                <w:kern w:val="0"/>
                <w:szCs w:val="21"/>
                <w:highlight w:val="none"/>
              </w:rPr>
              <w:t>0%，且中标方提交成果的时间顺延。逾期超过</w:t>
            </w:r>
            <w:r>
              <w:rPr>
                <w:rFonts w:hint="eastAsia" w:ascii="仿宋" w:hAnsi="仿宋" w:eastAsia="仿宋" w:cs="Times New Roman"/>
                <w:color w:val="auto"/>
                <w:kern w:val="0"/>
                <w:szCs w:val="21"/>
                <w:highlight w:val="none"/>
                <w:lang w:val="en-US" w:eastAsia="zh-CN"/>
              </w:rPr>
              <w:t>5</w:t>
            </w:r>
            <w:r>
              <w:rPr>
                <w:rFonts w:ascii="仿宋" w:hAnsi="仿宋" w:eastAsia="仿宋" w:cs="Times New Roman"/>
                <w:color w:val="auto"/>
                <w:kern w:val="0"/>
                <w:szCs w:val="21"/>
                <w:highlight w:val="none"/>
              </w:rPr>
              <w:t>个工作日（</w:t>
            </w:r>
            <w:r>
              <w:rPr>
                <w:rFonts w:hint="eastAsia" w:ascii="仿宋" w:hAnsi="仿宋" w:eastAsia="仿宋" w:cs="Times New Roman"/>
                <w:color w:val="auto"/>
                <w:kern w:val="0"/>
                <w:szCs w:val="21"/>
                <w:highlight w:val="none"/>
                <w:lang w:val="en-US" w:eastAsia="zh-CN"/>
              </w:rPr>
              <w:t>含5</w:t>
            </w:r>
            <w:r>
              <w:rPr>
                <w:rFonts w:ascii="仿宋" w:hAnsi="仿宋" w:eastAsia="仿宋" w:cs="Times New Roman"/>
                <w:color w:val="auto"/>
                <w:kern w:val="0"/>
                <w:szCs w:val="21"/>
                <w:highlight w:val="none"/>
              </w:rPr>
              <w:t>个工作日）以上时，中标方有权暂停履行下阶段工作，并书面通知采购方。因政府内部付款审批原因导致采购方迟延付款的，不视为采购方逾期付款。</w:t>
            </w:r>
          </w:p>
          <w:p>
            <w:pPr>
              <w:spacing w:before="61" w:line="240" w:lineRule="auto"/>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4.2中标方的责任</w:t>
            </w:r>
          </w:p>
          <w:p>
            <w:pPr>
              <w:spacing w:before="61" w:line="240" w:lineRule="auto"/>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1）合同签订后，如中标方擅自中途终止或解除合同，中标方向采购方赔偿合同总价款的</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w:t>
            </w:r>
            <w:r>
              <w:rPr>
                <w:rFonts w:hint="eastAsia" w:ascii="仿宋" w:hAnsi="仿宋" w:eastAsia="仿宋" w:cs="Times New Roman"/>
                <w:color w:val="auto"/>
                <w:kern w:val="0"/>
                <w:szCs w:val="21"/>
                <w:highlight w:val="none"/>
              </w:rPr>
              <w:t>，人民币</w:t>
            </w:r>
            <w:r>
              <w:rPr>
                <w:rFonts w:hint="eastAsia" w:ascii="仿宋" w:hAnsi="仿宋" w:eastAsia="仿宋" w:cs="Times New Roman"/>
                <w:color w:val="auto"/>
                <w:kern w:val="0"/>
                <w:szCs w:val="21"/>
                <w:highlight w:val="none"/>
                <w:u w:val="single"/>
              </w:rPr>
              <w:t xml:space="preserve">      </w:t>
            </w:r>
            <w:r>
              <w:rPr>
                <w:rFonts w:hint="eastAsia" w:ascii="仿宋" w:hAnsi="仿宋" w:eastAsia="仿宋" w:cs="Times New Roman"/>
                <w:color w:val="auto"/>
                <w:kern w:val="0"/>
                <w:szCs w:val="21"/>
                <w:highlight w:val="none"/>
              </w:rPr>
              <w:t>元，</w:t>
            </w:r>
            <w:r>
              <w:rPr>
                <w:rFonts w:ascii="仿宋" w:hAnsi="仿宋" w:eastAsia="仿宋" w:cs="Times New Roman"/>
                <w:color w:val="auto"/>
                <w:kern w:val="0"/>
                <w:szCs w:val="21"/>
                <w:highlight w:val="none"/>
              </w:rPr>
              <w:t>并归还采购方预付的全部项目款。</w:t>
            </w:r>
          </w:p>
          <w:p>
            <w:pPr>
              <w:spacing w:before="61" w:line="240" w:lineRule="auto"/>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2）未经采购方许可，中标方将本合同项目与第三方合作，或将本合同标的的全部或部分擅自转包给第三方的，采购方有权要求中标方终止与第三方的合同。中标方应承担因此而产生的相关责任，并应向采购方支付本合同总价款的</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%的违约金。</w:t>
            </w:r>
          </w:p>
          <w:p>
            <w:pPr>
              <w:spacing w:before="61" w:line="240" w:lineRule="auto"/>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3）如中标方因自身原因不能履行合同义务或无法按照本合同的约定提供服务，采购方有权终止合同，损失由中标方承担，中标方应向采购方支付本合同总价款的</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%的违约金，同时要求中标方退回全部已收合同款项。</w:t>
            </w:r>
          </w:p>
          <w:p>
            <w:pPr>
              <w:spacing w:before="61" w:line="240" w:lineRule="auto"/>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4）中标方无正当理由不按照本合同的约定提供服务或者违反规定的义务，采购方有权要求中标方退还部分或者全部已付的合同款项，并应向采购方支付本合同总价款的</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%的违约金。</w:t>
            </w:r>
          </w:p>
          <w:p>
            <w:pPr>
              <w:spacing w:before="61" w:line="240" w:lineRule="auto"/>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5）本合同履行期间，中标方因自身原因未能按合同约定的日期(含协商延缓的日期)提交项目成果和造成验收时间延后，检测、验收中的产品更改费由中标方承担。给采购方造成损失的，损害由中标方承担，每逾期一天须支付给采购方合同总价款的</w:t>
            </w:r>
            <w:r>
              <w:rPr>
                <w:rFonts w:hint="eastAsia" w:ascii="仿宋" w:hAnsi="仿宋" w:eastAsia="仿宋" w:cs="Times New Roman"/>
                <w:color w:val="auto"/>
                <w:kern w:val="0"/>
                <w:szCs w:val="21"/>
                <w:highlight w:val="none"/>
                <w:lang w:val="en-US" w:eastAsia="zh-CN"/>
              </w:rPr>
              <w:t>2</w:t>
            </w:r>
            <w:r>
              <w:rPr>
                <w:rFonts w:ascii="仿宋" w:hAnsi="仿宋" w:eastAsia="仿宋" w:cs="Times New Roman"/>
                <w:color w:val="auto"/>
                <w:kern w:val="0"/>
                <w:szCs w:val="21"/>
                <w:highlight w:val="none"/>
              </w:rPr>
              <w:t>‰作为违约金，逾期违约金总额不超过合同总价款的10%。</w:t>
            </w:r>
          </w:p>
          <w:p>
            <w:pPr>
              <w:spacing w:before="61" w:line="240" w:lineRule="auto"/>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6）由于中标方工作的错误或遗漏造成项目成果验收不合格的，采购方给予中标方一定的宽限期，中标方应在宽限期内无偿予以重新开展工作或采取补救措施，以达到质量要求，且应免收受损失部分的合同价款，并支付合同总价款</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%的违约金。如采购方提出异议后中标方不作答复或者无理由推脱的或中标方无法在宽限期内完成整改的，采购方有权终止合同，损失由中标方承担，中标方须退回合同全额费用，并要求中标方支付合同总价款</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%的违约金。因项目成果不符合合同要求给采购方造成损失的，中标方应负全部责任。</w:t>
            </w:r>
          </w:p>
          <w:p>
            <w:pPr>
              <w:spacing w:before="61" w:line="240" w:lineRule="auto"/>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7）中标方未按本合同的约定，擅自修改已经提交验收的成果文件的，应承担因此产生的一切后果，并赔偿采购方合同总价款</w:t>
            </w:r>
            <w:r>
              <w:rPr>
                <w:rFonts w:hint="eastAsia" w:ascii="仿宋" w:hAnsi="仿宋" w:eastAsia="仿宋" w:cs="Times New Roman"/>
                <w:color w:val="auto"/>
                <w:kern w:val="0"/>
                <w:szCs w:val="21"/>
                <w:highlight w:val="none"/>
                <w:lang w:val="en-US" w:eastAsia="zh-CN"/>
              </w:rPr>
              <w:t>20</w:t>
            </w:r>
            <w:r>
              <w:rPr>
                <w:rFonts w:ascii="仿宋" w:hAnsi="仿宋" w:eastAsia="仿宋" w:cs="Times New Roman"/>
                <w:color w:val="auto"/>
                <w:kern w:val="0"/>
                <w:szCs w:val="21"/>
                <w:highlight w:val="none"/>
              </w:rPr>
              <w:t>%的违约金。</w:t>
            </w:r>
          </w:p>
          <w:p>
            <w:pPr>
              <w:spacing w:before="61" w:line="240" w:lineRule="auto"/>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8）中标方组织的项目组成员不符合本合同约定的工作内容和技术要求，或未经采购方同意，中标方擅自变更约定的项目组主要成员，采购方有权责成中标方采取补救措施或调整项目组主要成员构成。</w:t>
            </w:r>
          </w:p>
          <w:p>
            <w:pPr>
              <w:spacing w:before="61" w:line="240" w:lineRule="auto"/>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9）本项目最终成果验收后1年以内，中标方未按采购方要求就本项目提供必要解释和接受咨询的，采购方可要求中标方承担合同总价款</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%的违约金，上述违约金可以在支付合同款项时优先予以扣除。</w:t>
            </w:r>
          </w:p>
          <w:p>
            <w:pPr>
              <w:spacing w:before="61" w:line="240" w:lineRule="auto"/>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10）合同履行期间，中标方承担第三方委托的本项目范围内有利益冲突的其他项目，一经发现，无论合同正在履行或已履行完毕，采购方均有权追究中标方责任，并要求中标方支付合同总价款</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%的违约金。</w:t>
            </w:r>
          </w:p>
          <w:p>
            <w:pPr>
              <w:spacing w:before="61" w:line="240" w:lineRule="auto"/>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11）如中标方提交的服务成果侵犯第三方合法权益的，一切法律责任均由中标方承担，同时中标方保证采购方在第三方主张权益时免受损失，并赔偿采购方合同总价款10%的违约金。</w:t>
            </w:r>
          </w:p>
          <w:p>
            <w:pPr>
              <w:spacing w:before="61" w:line="240" w:lineRule="auto"/>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12）中标方因过错导致采购方蒙受重大经济损失，中标方应当承担赔偿责任。</w:t>
            </w:r>
          </w:p>
          <w:p>
            <w:pPr>
              <w:spacing w:line="240" w:lineRule="auto"/>
              <w:jc w:val="left"/>
              <w:rPr>
                <w:rFonts w:ascii="仿宋" w:hAnsi="仿宋" w:eastAsia="仿宋" w:cs="仿宋"/>
                <w:color w:val="auto"/>
                <w:szCs w:val="21"/>
                <w:highlight w:val="none"/>
              </w:rPr>
            </w:pPr>
            <w:r>
              <w:rPr>
                <w:rFonts w:hint="eastAsia" w:ascii="仿宋" w:hAnsi="仿宋" w:eastAsia="仿宋" w:cs="仿宋"/>
                <w:b/>
                <w:color w:val="auto"/>
                <w:szCs w:val="21"/>
                <w:highlight w:val="none"/>
              </w:rPr>
              <w:t>*</w:t>
            </w:r>
            <w:r>
              <w:rPr>
                <w:rFonts w:hint="eastAsia" w:ascii="仿宋" w:hAnsi="仿宋" w:eastAsia="仿宋" w:cs="仿宋"/>
                <w:color w:val="auto"/>
                <w:szCs w:val="21"/>
                <w:highlight w:val="none"/>
              </w:rPr>
              <w:t>5、服务质量监督和项目验收要求</w:t>
            </w:r>
          </w:p>
          <w:p>
            <w:pPr>
              <w:spacing w:before="61" w:line="240" w:lineRule="auto"/>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1）售后服务期限从最终成果验收程序后1年以内，中标方应配合采购方就本项目提供必要的解释和咨询。若国家有明确规定的质量保证期高于此质量保证期的，执行国家规定。</w:t>
            </w:r>
          </w:p>
          <w:p>
            <w:pPr>
              <w:spacing w:before="61" w:line="240" w:lineRule="auto"/>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2）安排专人负责售后，并提供其联系手机、电话、传真、email；如人员需要调整应及时通知采购人。</w:t>
            </w:r>
          </w:p>
          <w:p>
            <w:pPr>
              <w:spacing w:before="61" w:line="240" w:lineRule="auto"/>
              <w:rPr>
                <w:color w:val="auto"/>
                <w:highlight w:val="none"/>
              </w:rPr>
            </w:pPr>
            <w:r>
              <w:rPr>
                <w:rFonts w:hint="eastAsia" w:ascii="仿宋" w:hAnsi="仿宋" w:eastAsia="仿宋" w:cs="Times New Roman"/>
                <w:color w:val="auto"/>
                <w:kern w:val="0"/>
                <w:szCs w:val="21"/>
                <w:highlight w:val="none"/>
              </w:rPr>
              <w:t>3）项目初步成果验收要求为采购方项目负责人签字，最终成果验收要求为采购方</w:t>
            </w:r>
            <w:r>
              <w:rPr>
                <w:rFonts w:hint="eastAsia" w:ascii="仿宋" w:hAnsi="仿宋" w:eastAsia="仿宋" w:cs="Times New Roman"/>
                <w:color w:val="auto"/>
                <w:kern w:val="0"/>
                <w:szCs w:val="21"/>
                <w:highlight w:val="none"/>
                <w:lang w:val="en-US" w:eastAsia="zh-CN"/>
              </w:rPr>
              <w:t>专题会</w:t>
            </w:r>
            <w:r>
              <w:rPr>
                <w:rFonts w:hint="eastAsia" w:ascii="仿宋" w:hAnsi="仿宋" w:eastAsia="仿宋" w:cs="Times New Roman"/>
                <w:color w:val="auto"/>
                <w:kern w:val="0"/>
                <w:szCs w:val="21"/>
                <w:highlight w:val="none"/>
              </w:rPr>
              <w:t>议审议通过。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trPr>
        <w:tc>
          <w:tcPr>
            <w:tcW w:w="1560" w:type="dxa"/>
            <w:vAlign w:val="center"/>
          </w:tcPr>
          <w:p>
            <w:pPr>
              <w:jc w:val="center"/>
              <w:rPr>
                <w:rFonts w:ascii="仿宋" w:hAnsi="仿宋" w:eastAsia="仿宋" w:cs="仿宋"/>
                <w:color w:val="auto"/>
                <w:kern w:val="0"/>
                <w:szCs w:val="21"/>
                <w:highlight w:val="none"/>
              </w:rPr>
            </w:pPr>
            <w:r>
              <w:rPr>
                <w:rFonts w:hint="eastAsia" w:ascii="仿宋" w:hAnsi="仿宋" w:eastAsia="仿宋" w:cs="仿宋"/>
                <w:color w:val="auto"/>
                <w:kern w:val="0"/>
                <w:szCs w:val="21"/>
                <w:highlight w:val="none"/>
              </w:rPr>
              <w:t>具体技术要求</w:t>
            </w:r>
          </w:p>
        </w:tc>
        <w:tc>
          <w:tcPr>
            <w:tcW w:w="7407" w:type="dxa"/>
            <w:gridSpan w:val="4"/>
          </w:tcPr>
          <w:p>
            <w:pPr>
              <w:jc w:val="left"/>
              <w:rPr>
                <w:rFonts w:ascii="仿宋" w:hAnsi="仿宋" w:eastAsia="仿宋" w:cs="仿宋"/>
                <w:color w:val="auto"/>
                <w:szCs w:val="21"/>
                <w:highlight w:val="none"/>
              </w:rPr>
            </w:pPr>
            <w:r>
              <w:rPr>
                <w:rFonts w:hint="eastAsia" w:ascii="仿宋" w:hAnsi="仿宋" w:eastAsia="仿宋" w:cs="仿宋"/>
                <w:color w:val="auto"/>
                <w:szCs w:val="21"/>
                <w:highlight w:val="none"/>
              </w:rPr>
              <w:t>提供服务总体要求、服务标的（如人员、车辆、检测对象、管理对象）数量情况、详细具体的服务需求内容及工作量情况（以能给供应商准确的报价依据，使不同供应商的项目报价不至于差距过大作为判断需求“详细具体”的标准）</w:t>
            </w:r>
          </w:p>
          <w:p>
            <w:pPr>
              <w:spacing w:before="61"/>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lang w:val="en-US" w:eastAsia="zh-CN"/>
              </w:rPr>
              <w:t>1.</w:t>
            </w:r>
            <w:r>
              <w:rPr>
                <w:rFonts w:hint="eastAsia" w:ascii="仿宋" w:hAnsi="仿宋" w:eastAsia="仿宋" w:cs="Times New Roman"/>
                <w:color w:val="auto"/>
                <w:kern w:val="0"/>
                <w:szCs w:val="21"/>
                <w:highlight w:val="none"/>
              </w:rPr>
              <w:t>总体要求</w:t>
            </w:r>
          </w:p>
          <w:p>
            <w:pPr>
              <w:spacing w:before="61"/>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lang w:val="en-US" w:eastAsia="zh-CN"/>
              </w:rPr>
              <w:t>1</w:t>
            </w:r>
            <w:r>
              <w:rPr>
                <w:rFonts w:hint="eastAsia" w:ascii="仿宋" w:hAnsi="仿宋" w:eastAsia="仿宋" w:cs="Times New Roman"/>
                <w:color w:val="auto"/>
                <w:kern w:val="0"/>
                <w:szCs w:val="21"/>
                <w:highlight w:val="none"/>
              </w:rPr>
              <w:t>）项目开展要严格依照《土地管理法》《土地管理法实施条例》《基本农田保护条例》等法律法规及耕地保护相关的政策文件要求，并符合行业相关的技术规范和标准。</w:t>
            </w:r>
          </w:p>
          <w:p>
            <w:pPr>
              <w:shd w:val="clear" w:color="auto"/>
              <w:spacing w:before="61"/>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lang w:val="en-US" w:eastAsia="zh-CN"/>
              </w:rPr>
              <w:t>2</w:t>
            </w:r>
            <w:r>
              <w:rPr>
                <w:rFonts w:hint="eastAsia" w:ascii="仿宋" w:hAnsi="仿宋" w:eastAsia="仿宋" w:cs="Times New Roman"/>
                <w:color w:val="auto"/>
                <w:kern w:val="0"/>
                <w:szCs w:val="21"/>
                <w:highlight w:val="none"/>
              </w:rPr>
              <w:t>）有</w:t>
            </w:r>
            <w:r>
              <w:rPr>
                <w:rFonts w:hint="eastAsia" w:ascii="仿宋" w:hAnsi="仿宋" w:eastAsia="仿宋" w:cs="Times New Roman"/>
                <w:color w:val="auto"/>
                <w:kern w:val="0"/>
                <w:szCs w:val="21"/>
                <w:highlight w:val="none"/>
                <w:lang w:val="en-US" w:eastAsia="zh-CN"/>
              </w:rPr>
              <w:t>5</w:t>
            </w:r>
            <w:r>
              <w:rPr>
                <w:rFonts w:hint="eastAsia" w:ascii="仿宋" w:hAnsi="仿宋" w:eastAsia="仿宋" w:cs="Times New Roman"/>
                <w:color w:val="auto"/>
                <w:kern w:val="0"/>
                <w:szCs w:val="21"/>
                <w:highlight w:val="none"/>
              </w:rPr>
              <w:t>年以上（含</w:t>
            </w:r>
            <w:r>
              <w:rPr>
                <w:rFonts w:hint="eastAsia" w:ascii="仿宋" w:hAnsi="仿宋" w:eastAsia="仿宋" w:cs="Times New Roman"/>
                <w:color w:val="auto"/>
                <w:kern w:val="0"/>
                <w:szCs w:val="21"/>
                <w:highlight w:val="none"/>
                <w:lang w:val="en-US" w:eastAsia="zh-CN"/>
              </w:rPr>
              <w:t>5</w:t>
            </w:r>
            <w:r>
              <w:rPr>
                <w:rFonts w:hint="eastAsia" w:ascii="仿宋" w:hAnsi="仿宋" w:eastAsia="仿宋" w:cs="Times New Roman"/>
                <w:color w:val="auto"/>
                <w:kern w:val="0"/>
                <w:szCs w:val="21"/>
                <w:highlight w:val="none"/>
              </w:rPr>
              <w:t>年）的</w:t>
            </w:r>
            <w:r>
              <w:rPr>
                <w:rFonts w:hint="eastAsia" w:ascii="仿宋" w:hAnsi="仿宋" w:eastAsia="仿宋" w:cs="Times New Roman"/>
                <w:color w:val="auto"/>
                <w:kern w:val="0"/>
                <w:szCs w:val="21"/>
                <w:highlight w:val="none"/>
                <w:lang w:val="en-US" w:eastAsia="zh-CN"/>
              </w:rPr>
              <w:t>规划和</w:t>
            </w:r>
            <w:r>
              <w:rPr>
                <w:rFonts w:hint="eastAsia" w:ascii="仿宋" w:hAnsi="仿宋" w:eastAsia="仿宋" w:cs="Times New Roman"/>
                <w:color w:val="auto"/>
                <w:kern w:val="0"/>
                <w:szCs w:val="21"/>
                <w:highlight w:val="none"/>
              </w:rPr>
              <w:t>国土行业管理经验，了解和熟悉国家、省、市耕地和永久基本农田保护管理政策要求。</w:t>
            </w:r>
          </w:p>
          <w:p>
            <w:pPr>
              <w:spacing w:before="61"/>
              <w:rPr>
                <w:rFonts w:ascii="仿宋" w:hAnsi="仿宋" w:eastAsia="仿宋" w:cs="Times New Roman"/>
                <w:color w:val="auto"/>
                <w:kern w:val="0"/>
                <w:szCs w:val="21"/>
                <w:highlight w:val="none"/>
              </w:rPr>
            </w:pPr>
            <w:bookmarkStart w:id="0" w:name="_Toc28610"/>
            <w:bookmarkStart w:id="1" w:name="_Toc25219"/>
            <w:r>
              <w:rPr>
                <w:rFonts w:hint="eastAsia" w:ascii="仿宋" w:hAnsi="仿宋" w:eastAsia="仿宋" w:cs="Times New Roman"/>
                <w:color w:val="auto"/>
                <w:kern w:val="0"/>
                <w:szCs w:val="21"/>
                <w:highlight w:val="none"/>
                <w:lang w:val="en-US" w:eastAsia="zh-CN"/>
              </w:rPr>
              <w:t>2.</w:t>
            </w:r>
            <w:r>
              <w:rPr>
                <w:rFonts w:hint="eastAsia" w:ascii="仿宋" w:hAnsi="仿宋" w:eastAsia="仿宋" w:cs="Times New Roman"/>
                <w:color w:val="auto"/>
                <w:kern w:val="0"/>
                <w:szCs w:val="21"/>
                <w:highlight w:val="none"/>
              </w:rPr>
              <w:t>工作内容</w:t>
            </w:r>
            <w:bookmarkEnd w:id="0"/>
            <w:bookmarkEnd w:id="1"/>
          </w:p>
          <w:p>
            <w:pPr>
              <w:spacing w:before="61"/>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lang w:val="en-US" w:eastAsia="zh-CN"/>
              </w:rPr>
              <w:t>1</w:t>
            </w:r>
            <w:r>
              <w:rPr>
                <w:rFonts w:hint="eastAsia" w:ascii="仿宋" w:hAnsi="仿宋" w:eastAsia="仿宋" w:cs="Times New Roman"/>
                <w:color w:val="auto"/>
                <w:kern w:val="0"/>
                <w:szCs w:val="21"/>
                <w:highlight w:val="none"/>
              </w:rPr>
              <w:t>）耕地和永久基本农田数量分析与核查。重点包括数量变化情况分析评估、日常技术核查，技术核查分析报告编制、外业踏勘计划编制等。</w:t>
            </w:r>
          </w:p>
          <w:p>
            <w:pPr>
              <w:spacing w:before="61"/>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lang w:val="en-US" w:eastAsia="zh-CN"/>
              </w:rPr>
              <w:t>2</w:t>
            </w:r>
            <w:r>
              <w:rPr>
                <w:rFonts w:hint="eastAsia" w:ascii="仿宋" w:hAnsi="仿宋" w:eastAsia="仿宋" w:cs="Times New Roman"/>
                <w:color w:val="auto"/>
                <w:kern w:val="0"/>
                <w:szCs w:val="21"/>
                <w:highlight w:val="none"/>
              </w:rPr>
              <w:t>）非农建设项目占用耕地落实“占补平衡”分析与核查。重点包括耕地占补平衡信息技术性审核，储备补充耕地指标使用情况监测、数据统计分析等。</w:t>
            </w:r>
          </w:p>
          <w:p>
            <w:pPr>
              <w:spacing w:before="61"/>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lang w:val="en-US" w:eastAsia="zh-CN"/>
              </w:rPr>
              <w:t>3</w:t>
            </w:r>
            <w:r>
              <w:rPr>
                <w:rFonts w:hint="eastAsia" w:ascii="仿宋" w:hAnsi="仿宋" w:eastAsia="仿宋" w:cs="Times New Roman"/>
                <w:color w:val="auto"/>
                <w:kern w:val="0"/>
                <w:szCs w:val="21"/>
                <w:highlight w:val="none"/>
              </w:rPr>
              <w:t>）耕地转为园地、林地、草地等其他农用地及设施建设用地情况分析与核查。重点包括耕地转出和转入地块核查、省级下发的矢量图斑空间统计分析等。</w:t>
            </w:r>
          </w:p>
          <w:p>
            <w:pPr>
              <w:spacing w:before="61"/>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lang w:val="en-US" w:eastAsia="zh-CN"/>
              </w:rPr>
              <w:t>4</w:t>
            </w:r>
            <w:r>
              <w:rPr>
                <w:rFonts w:hint="eastAsia" w:ascii="仿宋" w:hAnsi="仿宋" w:eastAsia="仿宋" w:cs="Times New Roman"/>
                <w:color w:val="auto"/>
                <w:kern w:val="0"/>
                <w:szCs w:val="21"/>
                <w:highlight w:val="none"/>
              </w:rPr>
              <w:t>）耕地和永久基本农田范围内非耕地图斑排查整改分析与核查。重点包括耕地监测监管工作中发现的疑似问题图斑排查整改技术路线设计，整改材料技术审核、排查整改技术讲解和业务指导、答疑等。</w:t>
            </w:r>
          </w:p>
          <w:p>
            <w:pPr>
              <w:spacing w:before="61"/>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lang w:val="en-US" w:eastAsia="zh-CN"/>
              </w:rPr>
              <w:t>3.</w:t>
            </w:r>
            <w:r>
              <w:rPr>
                <w:rFonts w:hint="eastAsia" w:ascii="仿宋" w:hAnsi="仿宋" w:eastAsia="仿宋" w:cs="Times New Roman"/>
                <w:color w:val="auto"/>
                <w:kern w:val="0"/>
                <w:szCs w:val="21"/>
                <w:highlight w:val="none"/>
              </w:rPr>
              <w:t>项目成果</w:t>
            </w:r>
          </w:p>
          <w:p>
            <w:pPr>
              <w:spacing w:before="61"/>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lang w:val="en-US" w:eastAsia="zh-CN"/>
              </w:rPr>
              <w:t>1</w:t>
            </w:r>
            <w:r>
              <w:rPr>
                <w:rFonts w:hint="eastAsia" w:ascii="仿宋" w:hAnsi="仿宋" w:eastAsia="仿宋" w:cs="Times New Roman"/>
                <w:color w:val="auto"/>
                <w:kern w:val="0"/>
                <w:szCs w:val="21"/>
                <w:highlight w:val="none"/>
              </w:rPr>
              <w:t>）深圳市2025年度耕地数量分析与核查报告</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word格式，电子、纸质，数量1</w:t>
            </w:r>
            <w:r>
              <w:rPr>
                <w:rFonts w:hint="eastAsia" w:ascii="仿宋" w:hAnsi="仿宋" w:eastAsia="仿宋" w:cs="仿宋"/>
                <w:color w:val="auto"/>
                <w:szCs w:val="21"/>
                <w:highlight w:val="none"/>
                <w:lang w:eastAsia="zh-CN"/>
              </w:rPr>
              <w:t>）</w:t>
            </w:r>
            <w:r>
              <w:rPr>
                <w:rFonts w:hint="eastAsia" w:ascii="仿宋" w:hAnsi="仿宋" w:eastAsia="仿宋" w:cs="Times New Roman"/>
                <w:color w:val="auto"/>
                <w:kern w:val="0"/>
                <w:szCs w:val="21"/>
                <w:highlight w:val="none"/>
              </w:rPr>
              <w:t xml:space="preserve"> </w:t>
            </w:r>
          </w:p>
          <w:p>
            <w:pPr>
              <w:spacing w:before="61"/>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lang w:val="en-US" w:eastAsia="zh-CN"/>
              </w:rPr>
              <w:t>2</w:t>
            </w:r>
            <w:r>
              <w:rPr>
                <w:rFonts w:hint="eastAsia" w:ascii="仿宋" w:hAnsi="仿宋" w:eastAsia="仿宋" w:cs="Times New Roman"/>
                <w:color w:val="auto"/>
                <w:kern w:val="0"/>
                <w:szCs w:val="21"/>
                <w:highlight w:val="none"/>
              </w:rPr>
              <w:t>）深圳市2025年耕地占补平衡汇总数据统计表（xls格式，电子、纸质，数量1）</w:t>
            </w:r>
          </w:p>
          <w:p>
            <w:pPr>
              <w:spacing w:before="61"/>
              <w:rPr>
                <w:rFonts w:hint="eastAsia"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lang w:val="en-US" w:eastAsia="zh-CN"/>
              </w:rPr>
              <w:t>3</w:t>
            </w:r>
            <w:r>
              <w:rPr>
                <w:rFonts w:hint="eastAsia" w:ascii="仿宋" w:hAnsi="仿宋" w:eastAsia="仿宋" w:cs="Times New Roman"/>
                <w:color w:val="auto"/>
                <w:kern w:val="0"/>
                <w:szCs w:val="21"/>
                <w:highlight w:val="none"/>
              </w:rPr>
              <w:t>）深圳市2025年补充耕地项目数据库信息完善矢量数据（数据成果，</w:t>
            </w:r>
            <w:r>
              <w:rPr>
                <w:rFonts w:hint="eastAsia" w:ascii="仿宋" w:hAnsi="仿宋" w:eastAsia="仿宋" w:cs="Times New Roman"/>
                <w:color w:val="auto"/>
                <w:kern w:val="0"/>
                <w:szCs w:val="21"/>
                <w:highlight w:val="none"/>
                <w:lang w:val="en-US" w:eastAsia="zh-CN"/>
              </w:rPr>
              <w:t>mdb</w:t>
            </w:r>
            <w:r>
              <w:rPr>
                <w:rFonts w:hint="eastAsia" w:ascii="仿宋" w:hAnsi="仿宋" w:eastAsia="仿宋" w:cs="Times New Roman"/>
                <w:color w:val="auto"/>
                <w:kern w:val="0"/>
                <w:szCs w:val="21"/>
                <w:highlight w:val="none"/>
              </w:rPr>
              <w:t>格式，2000国家大地坐标系，电子，数量1）</w:t>
            </w:r>
          </w:p>
          <w:p>
            <w:pPr>
              <w:pStyle w:val="2"/>
              <w:rPr>
                <w:rFonts w:hint="eastAsia" w:ascii="仿宋" w:hAnsi="仿宋" w:eastAsia="仿宋" w:cs="Times New Roman"/>
                <w:color w:val="auto"/>
                <w:kern w:val="0"/>
                <w:sz w:val="21"/>
                <w:szCs w:val="21"/>
                <w:highlight w:val="none"/>
              </w:rPr>
            </w:pPr>
            <w:r>
              <w:rPr>
                <w:rFonts w:hint="eastAsia" w:ascii="仿宋" w:hAnsi="仿宋" w:eastAsia="仿宋" w:cs="Times New Roman"/>
                <w:color w:val="auto"/>
                <w:kern w:val="0"/>
                <w:sz w:val="21"/>
                <w:szCs w:val="21"/>
                <w:highlight w:val="none"/>
                <w:lang w:eastAsia="zh-CN"/>
              </w:rPr>
              <w:t>4</w:t>
            </w:r>
            <w:r>
              <w:rPr>
                <w:rFonts w:hint="eastAsia" w:ascii="仿宋" w:hAnsi="仿宋" w:eastAsia="仿宋" w:cs="Times New Roman"/>
                <w:color w:val="auto"/>
                <w:kern w:val="0"/>
                <w:sz w:val="21"/>
                <w:szCs w:val="21"/>
                <w:highlight w:val="none"/>
              </w:rPr>
              <w:t>）数据说明文件（word格式，电子，纸质，数量1）</w:t>
            </w:r>
          </w:p>
          <w:p>
            <w:pPr>
              <w:spacing w:before="61"/>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lang w:val="en-US" w:eastAsia="zh-CN"/>
              </w:rPr>
              <w:t>5</w:t>
            </w:r>
            <w:r>
              <w:rPr>
                <w:rFonts w:hint="eastAsia" w:ascii="仿宋" w:hAnsi="仿宋" w:eastAsia="仿宋" w:cs="Times New Roman"/>
                <w:color w:val="auto"/>
                <w:kern w:val="0"/>
                <w:szCs w:val="21"/>
                <w:highlight w:val="none"/>
              </w:rPr>
              <w:t>）深圳市2025年耕地占补平衡管理</w:t>
            </w:r>
            <w:r>
              <w:rPr>
                <w:rFonts w:ascii="仿宋" w:hAnsi="仿宋" w:eastAsia="仿宋" w:cs="Times New Roman"/>
                <w:color w:val="auto"/>
                <w:kern w:val="0"/>
                <w:szCs w:val="21"/>
                <w:highlight w:val="none"/>
              </w:rPr>
              <w:t>分析与核查</w:t>
            </w:r>
            <w:r>
              <w:rPr>
                <w:rFonts w:hint="eastAsia" w:ascii="仿宋" w:hAnsi="仿宋" w:eastAsia="仿宋" w:cs="Times New Roman"/>
                <w:color w:val="auto"/>
                <w:kern w:val="0"/>
                <w:szCs w:val="21"/>
                <w:highlight w:val="none"/>
              </w:rPr>
              <w:t>报告</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word格式，电子、纸质，数量1</w:t>
            </w:r>
            <w:r>
              <w:rPr>
                <w:rFonts w:hint="eastAsia" w:ascii="仿宋" w:hAnsi="仿宋" w:eastAsia="仿宋" w:cs="仿宋"/>
                <w:color w:val="auto"/>
                <w:szCs w:val="21"/>
                <w:highlight w:val="none"/>
                <w:lang w:eastAsia="zh-CN"/>
              </w:rPr>
              <w:t>）</w:t>
            </w:r>
            <w:r>
              <w:rPr>
                <w:rFonts w:hint="eastAsia" w:ascii="仿宋" w:hAnsi="仿宋" w:eastAsia="仿宋" w:cs="Times New Roman"/>
                <w:color w:val="auto"/>
                <w:kern w:val="0"/>
                <w:szCs w:val="21"/>
                <w:highlight w:val="none"/>
              </w:rPr>
              <w:t xml:space="preserve"> </w:t>
            </w:r>
          </w:p>
          <w:p>
            <w:pPr>
              <w:spacing w:before="61"/>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lang w:val="en-US" w:eastAsia="zh-CN"/>
              </w:rPr>
              <w:t>6</w:t>
            </w:r>
            <w:r>
              <w:rPr>
                <w:rFonts w:hint="eastAsia" w:ascii="仿宋" w:hAnsi="仿宋" w:eastAsia="仿宋" w:cs="Times New Roman"/>
                <w:color w:val="auto"/>
                <w:kern w:val="0"/>
                <w:szCs w:val="21"/>
                <w:highlight w:val="none"/>
              </w:rPr>
              <w:t>）深圳市2025年涉及耕地的农业结构调整</w:t>
            </w:r>
            <w:r>
              <w:rPr>
                <w:rFonts w:ascii="仿宋" w:hAnsi="仿宋" w:eastAsia="仿宋" w:cs="Times New Roman"/>
                <w:color w:val="auto"/>
                <w:kern w:val="0"/>
                <w:szCs w:val="21"/>
                <w:highlight w:val="none"/>
              </w:rPr>
              <w:t>分析与核查</w:t>
            </w:r>
            <w:r>
              <w:rPr>
                <w:rFonts w:hint="eastAsia" w:ascii="仿宋" w:hAnsi="仿宋" w:eastAsia="仿宋" w:cs="Times New Roman"/>
                <w:color w:val="auto"/>
                <w:kern w:val="0"/>
                <w:szCs w:val="21"/>
                <w:highlight w:val="none"/>
              </w:rPr>
              <w:t>报告</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word格式，电子、纸质，数量1</w:t>
            </w:r>
            <w:r>
              <w:rPr>
                <w:rFonts w:hint="eastAsia" w:ascii="仿宋" w:hAnsi="仿宋" w:eastAsia="仿宋" w:cs="仿宋"/>
                <w:color w:val="auto"/>
                <w:szCs w:val="21"/>
                <w:highlight w:val="none"/>
                <w:lang w:eastAsia="zh-CN"/>
              </w:rPr>
              <w:t>）</w:t>
            </w:r>
            <w:r>
              <w:rPr>
                <w:rFonts w:hint="eastAsia" w:ascii="仿宋" w:hAnsi="仿宋" w:eastAsia="仿宋" w:cs="Times New Roman"/>
                <w:color w:val="auto"/>
                <w:kern w:val="0"/>
                <w:szCs w:val="21"/>
                <w:highlight w:val="none"/>
              </w:rPr>
              <w:t xml:space="preserve"> </w:t>
            </w:r>
          </w:p>
          <w:p>
            <w:pPr>
              <w:spacing w:before="61"/>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lang w:val="en-US" w:eastAsia="zh-CN"/>
              </w:rPr>
              <w:t>7</w:t>
            </w:r>
            <w:r>
              <w:rPr>
                <w:rFonts w:hint="eastAsia" w:ascii="仿宋" w:hAnsi="仿宋" w:eastAsia="仿宋" w:cs="Times New Roman"/>
                <w:color w:val="auto"/>
                <w:kern w:val="0"/>
                <w:szCs w:val="21"/>
                <w:highlight w:val="none"/>
              </w:rPr>
              <w:t>）深圳市2025年涉及耕地的农业结构调整汇总数据统计表（xls格式，电子、纸质，数量1）</w:t>
            </w:r>
          </w:p>
          <w:p>
            <w:pPr>
              <w:spacing w:before="61"/>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lang w:val="en-US" w:eastAsia="zh-CN"/>
              </w:rPr>
              <w:t>8</w:t>
            </w:r>
            <w:r>
              <w:rPr>
                <w:rFonts w:hint="eastAsia" w:ascii="仿宋" w:hAnsi="仿宋" w:eastAsia="仿宋" w:cs="Times New Roman"/>
                <w:color w:val="auto"/>
                <w:kern w:val="0"/>
                <w:szCs w:val="21"/>
                <w:highlight w:val="none"/>
              </w:rPr>
              <w:t>）深圳市2025年耕地和永久基本农田排查整改</w:t>
            </w:r>
            <w:r>
              <w:rPr>
                <w:rFonts w:ascii="仿宋" w:hAnsi="仿宋" w:eastAsia="仿宋" w:cs="Times New Roman"/>
                <w:color w:val="auto"/>
                <w:kern w:val="0"/>
                <w:szCs w:val="21"/>
                <w:highlight w:val="none"/>
              </w:rPr>
              <w:t>分析与核查</w:t>
            </w:r>
            <w:r>
              <w:rPr>
                <w:rFonts w:hint="eastAsia" w:ascii="仿宋" w:hAnsi="仿宋" w:eastAsia="仿宋" w:cs="Times New Roman"/>
                <w:color w:val="auto"/>
                <w:kern w:val="0"/>
                <w:szCs w:val="21"/>
                <w:highlight w:val="none"/>
              </w:rPr>
              <w:t>报告</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word格式，电子、纸质，数量1</w:t>
            </w:r>
            <w:r>
              <w:rPr>
                <w:rFonts w:hint="eastAsia" w:ascii="仿宋" w:hAnsi="仿宋" w:eastAsia="仿宋" w:cs="仿宋"/>
                <w:color w:val="auto"/>
                <w:szCs w:val="21"/>
                <w:highlight w:val="none"/>
                <w:lang w:eastAsia="zh-CN"/>
              </w:rPr>
              <w:t>）</w:t>
            </w:r>
            <w:r>
              <w:rPr>
                <w:rFonts w:hint="eastAsia" w:ascii="仿宋" w:hAnsi="仿宋" w:eastAsia="仿宋" w:cs="Times New Roman"/>
                <w:color w:val="auto"/>
                <w:kern w:val="0"/>
                <w:szCs w:val="21"/>
                <w:highlight w:val="none"/>
              </w:rPr>
              <w:t xml:space="preserve"> </w:t>
            </w:r>
          </w:p>
          <w:p>
            <w:pPr>
              <w:spacing w:before="61"/>
              <w:rPr>
                <w:rFonts w:ascii="仿宋" w:hAnsi="仿宋" w:eastAsia="仿宋" w:cs="仿宋"/>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atLeast"/>
        </w:trPr>
        <w:tc>
          <w:tcPr>
            <w:tcW w:w="1560" w:type="dxa"/>
            <w:vAlign w:val="center"/>
          </w:tcPr>
          <w:p>
            <w:pPr>
              <w:jc w:val="center"/>
              <w:rPr>
                <w:rFonts w:ascii="仿宋" w:hAnsi="仿宋" w:eastAsia="仿宋" w:cs="仿宋"/>
                <w:color w:val="auto"/>
                <w:kern w:val="0"/>
                <w:szCs w:val="21"/>
                <w:highlight w:val="none"/>
              </w:rPr>
            </w:pPr>
            <w:r>
              <w:rPr>
                <w:rFonts w:hint="eastAsia" w:ascii="仿宋" w:hAnsi="仿宋" w:eastAsia="仿宋" w:cs="仿宋"/>
                <w:color w:val="auto"/>
                <w:kern w:val="0"/>
                <w:szCs w:val="21"/>
                <w:highlight w:val="none"/>
              </w:rPr>
              <w:t>商务需求</w:t>
            </w:r>
          </w:p>
        </w:tc>
        <w:tc>
          <w:tcPr>
            <w:tcW w:w="7407" w:type="dxa"/>
            <w:gridSpan w:val="4"/>
          </w:tcPr>
          <w:p>
            <w:pPr>
              <w:jc w:val="left"/>
              <w:rPr>
                <w:rFonts w:ascii="仿宋" w:hAnsi="仿宋" w:eastAsia="仿宋" w:cs="仿宋"/>
                <w:color w:val="auto"/>
                <w:szCs w:val="21"/>
                <w:highlight w:val="none"/>
              </w:rPr>
            </w:pPr>
            <w:r>
              <w:rPr>
                <w:rFonts w:hint="eastAsia" w:ascii="仿宋" w:hAnsi="仿宋" w:eastAsia="仿宋" w:cs="仿宋"/>
                <w:color w:val="auto"/>
                <w:szCs w:val="21"/>
                <w:highlight w:val="none"/>
              </w:rPr>
              <w:t>1、项目概况</w:t>
            </w:r>
          </w:p>
          <w:p>
            <w:pPr>
              <w:spacing w:before="61"/>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本项目主要是开展2025年度耕地数量分析核查、建设项目和农业结构调整占耕分析核查、耕地疑似问题图斑排查整改等技术工作，支撑深圳市完成耕地保有量和永久基本农田保护任务。</w:t>
            </w:r>
          </w:p>
          <w:p>
            <w:pPr>
              <w:jc w:val="left"/>
              <w:rPr>
                <w:rFonts w:ascii="仿宋" w:hAnsi="仿宋" w:eastAsia="仿宋" w:cs="仿宋"/>
                <w:color w:val="auto"/>
                <w:szCs w:val="21"/>
                <w:highlight w:val="none"/>
              </w:rPr>
            </w:pPr>
            <w:r>
              <w:rPr>
                <w:rFonts w:hint="eastAsia" w:ascii="仿宋" w:hAnsi="仿宋" w:eastAsia="仿宋" w:cs="仿宋"/>
                <w:color w:val="auto"/>
                <w:szCs w:val="21"/>
                <w:highlight w:val="none"/>
              </w:rPr>
              <w:t>2、项目所依据及参考的标准</w:t>
            </w:r>
          </w:p>
          <w:p>
            <w:pPr>
              <w:spacing w:before="61"/>
              <w:rPr>
                <w:rFonts w:hint="eastAsia"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1）《中华人民共和国土地管理法》</w:t>
            </w:r>
          </w:p>
          <w:p>
            <w:pPr>
              <w:spacing w:before="61"/>
              <w:rPr>
                <w:rFonts w:hint="eastAsia"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2）《中华人民共和国土地管理法实施条例》</w:t>
            </w:r>
          </w:p>
          <w:p>
            <w:pPr>
              <w:spacing w:before="61"/>
              <w:rPr>
                <w:rFonts w:hint="eastAsia"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3）《中华人民共和国粮食安全保障法》</w:t>
            </w:r>
          </w:p>
          <w:p>
            <w:pPr>
              <w:spacing w:before="61"/>
              <w:rPr>
                <w:rFonts w:hint="eastAsia"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4）《中华人民共和国基本农田保护条例》</w:t>
            </w:r>
          </w:p>
          <w:p>
            <w:pPr>
              <w:spacing w:before="61"/>
              <w:rPr>
                <w:rFonts w:hint="eastAsia"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5）《自然资源部 农业农村部 国家林业和草原局关于严格耕地用途管制有关问题的通知》(自然资发〔2021〕166号)</w:t>
            </w:r>
          </w:p>
          <w:p>
            <w:pPr>
              <w:spacing w:before="61"/>
              <w:rPr>
                <w:rFonts w:hint="eastAsia"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6）《自然资源部关于进一步改进优化能源、交通、水利等重大建设项目用地组卷报批工作的通知》（自然资发〔2024〕36号）</w:t>
            </w:r>
          </w:p>
          <w:p>
            <w:pPr>
              <w:spacing w:before="61"/>
              <w:rPr>
                <w:rFonts w:hint="eastAsia"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7）深圳市人民政府印发关于严格耕地用途管制加强耕地保护利用若干措施的通知（深府函〔2023〕74 号）</w:t>
            </w:r>
          </w:p>
          <w:p>
            <w:pPr>
              <w:spacing w:before="61"/>
              <w:rPr>
                <w:rFonts w:hint="eastAsia"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8）《2024年中央一号文件》</w:t>
            </w:r>
          </w:p>
          <w:p>
            <w:pPr>
              <w:spacing w:before="61"/>
              <w:rPr>
                <w:rFonts w:hint="eastAsia"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9）《中共中央办公厅 国务院办公厅关于加强耕地保护提升耕地质量完善占补平衡的意见》</w:t>
            </w:r>
          </w:p>
          <w:p>
            <w:pPr>
              <w:spacing w:before="61"/>
              <w:rPr>
                <w:rFonts w:hint="eastAsia"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10）《自然资源部 农业农村部关于改革完善耕地占补平衡管理的通知》（自然资发〔2024〕204号）</w:t>
            </w:r>
          </w:p>
          <w:p>
            <w:pPr>
              <w:spacing w:before="61"/>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11）《2025年中央一号文件》</w:t>
            </w:r>
          </w:p>
          <w:p>
            <w:pPr>
              <w:spacing w:before="61"/>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3、项目采购范围</w:t>
            </w:r>
          </w:p>
          <w:p>
            <w:pPr>
              <w:jc w:val="left"/>
              <w:rPr>
                <w:rFonts w:eastAsia="仿宋"/>
                <w:color w:val="auto"/>
                <w:highlight w:val="none"/>
              </w:rPr>
            </w:pPr>
            <w:r>
              <w:rPr>
                <w:rFonts w:hint="eastAsia" w:ascii="仿宋" w:hAnsi="仿宋" w:eastAsia="仿宋" w:cs="仿宋"/>
                <w:color w:val="auto"/>
                <w:szCs w:val="21"/>
                <w:highlight w:val="none"/>
              </w:rPr>
              <w:t>本项目工作区域范围为深圳市。</w:t>
            </w:r>
          </w:p>
          <w:p>
            <w:pPr>
              <w:spacing w:before="61"/>
              <w:rPr>
                <w:rFonts w:ascii="仿宋" w:hAnsi="仿宋" w:eastAsia="仿宋" w:cs="仿宋"/>
                <w:color w:val="auto"/>
                <w:szCs w:val="21"/>
                <w:highlight w:val="none"/>
              </w:rPr>
            </w:pPr>
            <w:r>
              <w:rPr>
                <w:rFonts w:hint="eastAsia" w:ascii="仿宋" w:hAnsi="仿宋" w:eastAsia="仿宋" w:cs="仿宋"/>
                <w:color w:val="auto"/>
                <w:szCs w:val="21"/>
                <w:highlight w:val="none"/>
              </w:rPr>
              <w:t>4、</w:t>
            </w:r>
            <w:r>
              <w:rPr>
                <w:rFonts w:hint="eastAsia" w:ascii="仿宋" w:hAnsi="仿宋" w:eastAsia="仿宋" w:cs="Times New Roman"/>
                <w:color w:val="auto"/>
                <w:kern w:val="0"/>
                <w:szCs w:val="21"/>
                <w:highlight w:val="none"/>
              </w:rPr>
              <w:t>项目服务</w:t>
            </w:r>
            <w:r>
              <w:rPr>
                <w:rFonts w:hint="eastAsia" w:ascii="仿宋" w:hAnsi="仿宋" w:eastAsia="仿宋" w:cs="仿宋"/>
                <w:color w:val="auto"/>
                <w:szCs w:val="21"/>
                <w:highlight w:val="none"/>
              </w:rPr>
              <w:t>期限（下达的计划时间和实际服务期限不一致的，需列明实际服务期限）</w:t>
            </w:r>
          </w:p>
          <w:p>
            <w:pPr>
              <w:spacing w:before="61"/>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本项目计划完成期限为自合同签订之日起12个月内，遇有特殊情况，经采购方和中标方协商后服务期限可适当延长。</w:t>
            </w:r>
          </w:p>
          <w:p>
            <w:pPr>
              <w:jc w:val="left"/>
              <w:rPr>
                <w:rFonts w:ascii="仿宋" w:hAnsi="仿宋" w:eastAsia="仿宋" w:cs="仿宋"/>
                <w:color w:val="auto"/>
                <w:szCs w:val="21"/>
                <w:highlight w:val="none"/>
              </w:rPr>
            </w:pPr>
            <w:r>
              <w:rPr>
                <w:rFonts w:hint="eastAsia" w:ascii="仿宋" w:hAnsi="仿宋" w:eastAsia="仿宋" w:cs="仿宋"/>
                <w:color w:val="auto"/>
                <w:szCs w:val="21"/>
                <w:highlight w:val="none"/>
              </w:rPr>
              <w:t>5、成果要求、维护要求</w:t>
            </w:r>
          </w:p>
          <w:p>
            <w:pPr>
              <w:spacing w:before="61"/>
              <w:rPr>
                <w:color w:val="auto"/>
                <w:highlight w:val="none"/>
              </w:rPr>
            </w:pPr>
            <w:r>
              <w:rPr>
                <w:rFonts w:hint="eastAsia" w:ascii="仿宋" w:hAnsi="仿宋" w:eastAsia="仿宋" w:cs="Times New Roman"/>
                <w:color w:val="auto"/>
                <w:kern w:val="0"/>
                <w:szCs w:val="21"/>
                <w:highlight w:val="none"/>
              </w:rPr>
              <w:t>项目成果应符合以下格式要求：矢量数据（</w:t>
            </w:r>
            <w:r>
              <w:rPr>
                <w:rFonts w:hint="eastAsia" w:ascii="仿宋" w:hAnsi="仿宋" w:eastAsia="仿宋" w:cs="Times New Roman"/>
                <w:color w:val="auto"/>
                <w:kern w:val="0"/>
                <w:szCs w:val="21"/>
                <w:highlight w:val="none"/>
                <w:lang w:val="en-US" w:eastAsia="zh-CN"/>
              </w:rPr>
              <w:t>mdb</w:t>
            </w:r>
            <w:r>
              <w:rPr>
                <w:rFonts w:hint="eastAsia" w:ascii="仿宋" w:hAnsi="仿宋" w:eastAsia="仿宋" w:cs="Times New Roman"/>
                <w:color w:val="auto"/>
                <w:kern w:val="0"/>
                <w:szCs w:val="21"/>
                <w:highlight w:val="none"/>
              </w:rPr>
              <w:t>格式，2000国家大地坐标系）、汇总统计数据（</w:t>
            </w:r>
            <w:r>
              <w:rPr>
                <w:rFonts w:hint="eastAsia" w:ascii="仿宋" w:hAnsi="仿宋" w:eastAsia="仿宋" w:cs="Times New Roman"/>
                <w:color w:val="auto"/>
                <w:kern w:val="0"/>
                <w:szCs w:val="21"/>
                <w:highlight w:val="none"/>
                <w:lang w:val="en-US" w:eastAsia="zh-CN"/>
              </w:rPr>
              <w:t>xls</w:t>
            </w:r>
            <w:r>
              <w:rPr>
                <w:rFonts w:hint="eastAsia" w:ascii="仿宋" w:hAnsi="仿宋" w:eastAsia="仿宋" w:cs="Times New Roman"/>
                <w:color w:val="auto"/>
                <w:kern w:val="0"/>
                <w:szCs w:val="21"/>
                <w:highlight w:val="none"/>
              </w:rPr>
              <w:t>格式）、文本数据（</w:t>
            </w:r>
            <w:r>
              <w:rPr>
                <w:rFonts w:hint="eastAsia" w:ascii="仿宋" w:hAnsi="仿宋" w:eastAsia="仿宋" w:cs="Times New Roman"/>
                <w:color w:val="auto"/>
                <w:kern w:val="0"/>
                <w:szCs w:val="21"/>
                <w:highlight w:val="none"/>
                <w:lang w:eastAsia="zh-CN"/>
              </w:rPr>
              <w:t>word</w:t>
            </w:r>
            <w:r>
              <w:rPr>
                <w:rFonts w:hint="eastAsia" w:ascii="仿宋" w:hAnsi="仿宋" w:eastAsia="仿宋" w:cs="Times New Roman"/>
                <w:color w:val="auto"/>
                <w:kern w:val="0"/>
                <w:szCs w:val="21"/>
                <w:highlight w:val="none"/>
              </w:rPr>
              <w:t>、PPT等格式）</w:t>
            </w:r>
            <w:r>
              <w:rPr>
                <w:rFonts w:hint="eastAsia" w:ascii="仿宋" w:hAnsi="仿宋" w:eastAsia="仿宋" w:cs="Times New Roman"/>
                <w:color w:val="auto"/>
                <w:kern w:val="0"/>
                <w:szCs w:val="21"/>
                <w:highlight w:val="none"/>
                <w:lang w:eastAsia="zh-CN"/>
              </w:rPr>
              <w:t>，</w:t>
            </w:r>
            <w:r>
              <w:rPr>
                <w:rFonts w:hint="eastAsia" w:ascii="仿宋" w:hAnsi="仿宋" w:eastAsia="仿宋" w:cs="Times New Roman"/>
                <w:color w:val="auto"/>
                <w:kern w:val="0"/>
                <w:szCs w:val="21"/>
                <w:highlight w:val="none"/>
              </w:rPr>
              <w:t>其他涉及数字化交付情形的，应按照合同约定落实。</w:t>
            </w:r>
          </w:p>
          <w:p>
            <w:pPr>
              <w:jc w:val="left"/>
              <w:rPr>
                <w:rFonts w:ascii="仿宋" w:hAnsi="仿宋" w:eastAsia="仿宋" w:cs="仿宋"/>
                <w:color w:val="auto"/>
                <w:szCs w:val="21"/>
                <w:highlight w:val="none"/>
              </w:rPr>
            </w:pPr>
            <w:r>
              <w:rPr>
                <w:rFonts w:hint="eastAsia" w:ascii="仿宋" w:hAnsi="仿宋" w:eastAsia="仿宋" w:cs="仿宋"/>
                <w:color w:val="auto"/>
                <w:szCs w:val="21"/>
                <w:highlight w:val="none"/>
              </w:rPr>
              <w:t>6、技术培训要求、项目人员安排要求</w:t>
            </w:r>
          </w:p>
          <w:p>
            <w:pPr>
              <w:spacing w:before="61"/>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为确保本项目工作开展管理规范、实施有力，中标人应成立项目组，对项目组各成员开展专业培训和学习交流，并配合采购人组织、举办本项目各工作阶段的汇报、审查等工作，并负责解答相关的问题：</w:t>
            </w:r>
          </w:p>
          <w:p>
            <w:pPr>
              <w:spacing w:before="61"/>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1)独立设置项目组，有固定的项目负责人和联系人。项目组专业技术人员不少于5人。</w:t>
            </w:r>
          </w:p>
          <w:p>
            <w:pPr>
              <w:spacing w:before="61"/>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2)项目组负责人具备国土行业高级职称，具备规划和国土行业5年以上工作经验，了解和熟悉国家、广东省、深圳市耕地和永久基本农田保护管理政策要求。</w:t>
            </w:r>
          </w:p>
          <w:p>
            <w:pPr>
              <w:jc w:val="left"/>
              <w:rPr>
                <w:rFonts w:ascii="仿宋" w:hAnsi="仿宋" w:eastAsia="仿宋" w:cs="仿宋"/>
                <w:color w:val="auto"/>
                <w:szCs w:val="21"/>
                <w:highlight w:val="none"/>
              </w:rPr>
            </w:pPr>
            <w:r>
              <w:rPr>
                <w:rFonts w:hint="eastAsia" w:ascii="仿宋" w:hAnsi="仿宋" w:eastAsia="仿宋" w:cs="仿宋"/>
                <w:color w:val="auto"/>
                <w:szCs w:val="21"/>
                <w:highlight w:val="none"/>
              </w:rPr>
              <w:t>7、售后服务内容、要求和期限</w:t>
            </w:r>
          </w:p>
          <w:p>
            <w:pPr>
              <w:pStyle w:val="4"/>
              <w:ind w:left="0"/>
              <w:rPr>
                <w:color w:val="auto"/>
                <w:highlight w:val="none"/>
                <w:lang w:eastAsia="zh-CN"/>
              </w:rPr>
            </w:pPr>
            <w:r>
              <w:rPr>
                <w:rFonts w:hint="eastAsia" w:ascii="仿宋" w:hAnsi="仿宋" w:eastAsia="仿宋" w:cs="仿宋"/>
                <w:color w:val="auto"/>
                <w:kern w:val="2"/>
                <w:sz w:val="21"/>
                <w:szCs w:val="21"/>
                <w:highlight w:val="none"/>
                <w:lang w:eastAsia="zh-CN"/>
              </w:rPr>
              <w:t>自项目服务期限截止之日起1年内，中标方须与采购方保持全面沟通，随时跟进与项目相关的工作，并就项目成果实际使用过程中出现的问题提供咨询、分析和解决建议拟定。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560" w:type="dxa"/>
            <w:vMerge w:val="restart"/>
            <w:vAlign w:val="center"/>
          </w:tcPr>
          <w:p>
            <w:pPr>
              <w:jc w:val="center"/>
              <w:rPr>
                <w:rFonts w:ascii="仿宋" w:hAnsi="仿宋" w:eastAsia="仿宋" w:cs="仿宋"/>
                <w:color w:val="auto"/>
                <w:kern w:val="0"/>
                <w:szCs w:val="21"/>
                <w:highlight w:val="none"/>
              </w:rPr>
            </w:pPr>
            <w:r>
              <w:rPr>
                <w:rFonts w:hint="eastAsia" w:ascii="仿宋" w:hAnsi="仿宋" w:eastAsia="仿宋" w:cs="仿宋"/>
                <w:color w:val="auto"/>
                <w:kern w:val="0"/>
                <w:szCs w:val="21"/>
                <w:highlight w:val="none"/>
              </w:rPr>
              <w:t>其他要求</w:t>
            </w:r>
          </w:p>
        </w:tc>
        <w:tc>
          <w:tcPr>
            <w:tcW w:w="7407" w:type="dxa"/>
            <w:gridSpan w:val="4"/>
          </w:tcPr>
          <w:p>
            <w:pPr>
              <w:jc w:val="left"/>
              <w:rPr>
                <w:rFonts w:ascii="仿宋" w:hAnsi="仿宋" w:eastAsia="仿宋" w:cs="仿宋"/>
                <w:color w:val="auto"/>
                <w:kern w:val="0"/>
                <w:szCs w:val="21"/>
                <w:highlight w:val="none"/>
              </w:rPr>
            </w:pPr>
            <w:r>
              <w:rPr>
                <w:rFonts w:hint="eastAsia" w:ascii="仿宋" w:hAnsi="仿宋" w:eastAsia="仿宋" w:cs="仿宋"/>
                <w:b/>
                <w:color w:val="auto"/>
                <w:szCs w:val="21"/>
                <w:highlight w:val="none"/>
              </w:rPr>
              <w:t>特定供应商的名称、项目负责人及联系方式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60" w:type="dxa"/>
            <w:vMerge w:val="continue"/>
            <w:vAlign w:val="center"/>
          </w:tcPr>
          <w:p>
            <w:pPr>
              <w:jc w:val="center"/>
              <w:rPr>
                <w:rFonts w:ascii="仿宋" w:hAnsi="仿宋" w:eastAsia="仿宋" w:cs="仿宋"/>
                <w:color w:val="auto"/>
                <w:kern w:val="0"/>
                <w:szCs w:val="21"/>
                <w:highlight w:val="none"/>
              </w:rPr>
            </w:pPr>
          </w:p>
        </w:tc>
        <w:tc>
          <w:tcPr>
            <w:tcW w:w="850" w:type="dxa"/>
            <w:vMerge w:val="restart"/>
          </w:tcPr>
          <w:p>
            <w:pPr>
              <w:jc w:val="left"/>
              <w:rPr>
                <w:rFonts w:ascii="仿宋" w:hAnsi="仿宋" w:eastAsia="仿宋" w:cs="仿宋"/>
                <w:bCs/>
                <w:color w:val="auto"/>
                <w:kern w:val="0"/>
                <w:szCs w:val="21"/>
                <w:highlight w:val="none"/>
              </w:rPr>
            </w:pPr>
            <w:r>
              <w:rPr>
                <w:rFonts w:hint="eastAsia" w:ascii="仿宋" w:hAnsi="仿宋" w:eastAsia="仿宋" w:cs="仿宋"/>
                <w:bCs/>
                <w:color w:val="auto"/>
                <w:szCs w:val="21"/>
                <w:highlight w:val="none"/>
              </w:rPr>
              <w:t>特定供应商</w:t>
            </w:r>
          </w:p>
        </w:tc>
        <w:tc>
          <w:tcPr>
            <w:tcW w:w="6557" w:type="dxa"/>
            <w:gridSpan w:val="3"/>
          </w:tcPr>
          <w:p>
            <w:pPr>
              <w:jc w:val="left"/>
              <w:rPr>
                <w:rFonts w:hint="default" w:ascii="仿宋" w:hAnsi="仿宋" w:eastAsia="仿宋" w:cs="仿宋"/>
                <w:bCs/>
                <w:color w:val="auto"/>
                <w:kern w:val="0"/>
                <w:szCs w:val="21"/>
                <w:highlight w:val="none"/>
                <w:lang w:val="en-US" w:eastAsia="zh-CN"/>
              </w:rPr>
            </w:pPr>
            <w:r>
              <w:rPr>
                <w:rFonts w:hint="eastAsia" w:ascii="仿宋" w:hAnsi="仿宋" w:eastAsia="仿宋" w:cs="仿宋"/>
                <w:bCs/>
                <w:color w:val="auto"/>
                <w:szCs w:val="21"/>
                <w:highlight w:val="none"/>
              </w:rPr>
              <w:t>单位名称：</w:t>
            </w:r>
            <w:r>
              <w:rPr>
                <w:rFonts w:hint="eastAsia" w:ascii="仿宋" w:hAnsi="仿宋" w:eastAsia="仿宋" w:cs="仿宋"/>
                <w:bCs/>
                <w:color w:val="auto"/>
                <w:szCs w:val="21"/>
                <w:highlight w:val="none"/>
                <w:lang w:val="en-US" w:eastAsia="zh-CN"/>
              </w:rPr>
              <w:t>深圳市规划国土发展研究中心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560" w:type="dxa"/>
            <w:vMerge w:val="continue"/>
            <w:vAlign w:val="center"/>
          </w:tcPr>
          <w:p>
            <w:pPr>
              <w:jc w:val="center"/>
              <w:rPr>
                <w:rFonts w:ascii="仿宋" w:hAnsi="仿宋" w:eastAsia="仿宋" w:cs="仿宋"/>
                <w:color w:val="auto"/>
                <w:kern w:val="0"/>
                <w:szCs w:val="21"/>
                <w:highlight w:val="none"/>
              </w:rPr>
            </w:pPr>
          </w:p>
        </w:tc>
        <w:tc>
          <w:tcPr>
            <w:tcW w:w="850" w:type="dxa"/>
            <w:vMerge w:val="continue"/>
          </w:tcPr>
          <w:p>
            <w:pPr>
              <w:jc w:val="left"/>
              <w:rPr>
                <w:rFonts w:ascii="仿宋" w:hAnsi="仿宋" w:eastAsia="仿宋" w:cs="仿宋"/>
                <w:bCs/>
                <w:color w:val="auto"/>
                <w:kern w:val="0"/>
                <w:szCs w:val="21"/>
                <w:highlight w:val="none"/>
              </w:rPr>
            </w:pPr>
          </w:p>
        </w:tc>
        <w:tc>
          <w:tcPr>
            <w:tcW w:w="6557" w:type="dxa"/>
            <w:gridSpan w:val="3"/>
          </w:tcPr>
          <w:p>
            <w:pPr>
              <w:jc w:val="left"/>
              <w:rPr>
                <w:rFonts w:hint="eastAsia" w:ascii="仿宋" w:hAnsi="仿宋" w:eastAsia="仿宋" w:cs="仿宋"/>
                <w:bCs/>
                <w:color w:val="auto"/>
                <w:kern w:val="0"/>
                <w:szCs w:val="21"/>
                <w:highlight w:val="none"/>
                <w:lang w:val="en-US" w:eastAsia="zh-CN"/>
              </w:rPr>
            </w:pPr>
            <w:r>
              <w:rPr>
                <w:rFonts w:hint="eastAsia" w:ascii="仿宋" w:hAnsi="仿宋" w:eastAsia="仿宋" w:cs="仿宋"/>
                <w:bCs/>
                <w:color w:val="auto"/>
                <w:szCs w:val="21"/>
                <w:highlight w:val="none"/>
              </w:rPr>
              <w:t>项目经办人：朱灵伟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560" w:type="dxa"/>
            <w:vMerge w:val="continue"/>
            <w:vAlign w:val="center"/>
          </w:tcPr>
          <w:p>
            <w:pPr>
              <w:jc w:val="center"/>
              <w:rPr>
                <w:rFonts w:ascii="仿宋" w:hAnsi="仿宋" w:eastAsia="仿宋" w:cs="仿宋"/>
                <w:color w:val="auto"/>
                <w:kern w:val="0"/>
                <w:szCs w:val="21"/>
                <w:highlight w:val="none"/>
              </w:rPr>
            </w:pPr>
          </w:p>
        </w:tc>
        <w:tc>
          <w:tcPr>
            <w:tcW w:w="850" w:type="dxa"/>
            <w:vMerge w:val="continue"/>
          </w:tcPr>
          <w:p>
            <w:pPr>
              <w:jc w:val="left"/>
              <w:rPr>
                <w:rFonts w:ascii="仿宋" w:hAnsi="仿宋" w:eastAsia="仿宋" w:cs="仿宋"/>
                <w:bCs/>
                <w:color w:val="auto"/>
                <w:kern w:val="0"/>
                <w:szCs w:val="21"/>
                <w:highlight w:val="none"/>
              </w:rPr>
            </w:pPr>
          </w:p>
        </w:tc>
        <w:tc>
          <w:tcPr>
            <w:tcW w:w="6557" w:type="dxa"/>
            <w:gridSpan w:val="3"/>
          </w:tcPr>
          <w:p>
            <w:pPr>
              <w:jc w:val="left"/>
              <w:rPr>
                <w:rFonts w:ascii="仿宋" w:hAnsi="仿宋" w:eastAsia="仿宋" w:cs="仿宋"/>
                <w:bCs/>
                <w:color w:val="auto"/>
                <w:kern w:val="0"/>
                <w:szCs w:val="21"/>
                <w:highlight w:val="none"/>
              </w:rPr>
            </w:pPr>
            <w:r>
              <w:rPr>
                <w:rFonts w:hint="eastAsia" w:ascii="仿宋" w:hAnsi="仿宋" w:eastAsia="仿宋" w:cs="仿宋"/>
                <w:bCs/>
                <w:color w:val="auto"/>
                <w:szCs w:val="21"/>
                <w:highlight w:val="none"/>
              </w:rPr>
              <w:t>联系电话：0755-83514823</w:t>
            </w:r>
          </w:p>
        </w:tc>
      </w:tr>
    </w:tbl>
    <w:p>
      <w:pPr>
        <w:spacing w:line="360" w:lineRule="exact"/>
        <w:jc w:val="left"/>
        <w:rPr>
          <w:rFonts w:ascii="仿宋" w:hAnsi="仿宋" w:eastAsia="仿宋"/>
          <w:bCs/>
          <w:color w:val="000000" w:themeColor="text1"/>
          <w:szCs w:val="21"/>
          <w14:textFill>
            <w14:solidFill>
              <w14:schemeClr w14:val="tx1"/>
            </w14:solidFill>
          </w14:textFill>
        </w:rPr>
      </w:pPr>
      <w:r>
        <w:rPr>
          <w:rFonts w:hint="eastAsia" w:ascii="仿宋" w:hAnsi="仿宋" w:eastAsia="仿宋"/>
          <w:bCs/>
          <w:color w:val="000000" w:themeColor="text1"/>
          <w:szCs w:val="21"/>
          <w14:textFill>
            <w14:solidFill>
              <w14:schemeClr w14:val="tx1"/>
            </w14:solidFill>
          </w14:textFill>
        </w:rPr>
        <w:t>注：</w:t>
      </w:r>
    </w:p>
    <w:p>
      <w:pPr>
        <w:spacing w:line="360" w:lineRule="exact"/>
        <w:jc w:val="left"/>
        <w:rPr>
          <w:rFonts w:ascii="仿宋" w:hAnsi="仿宋" w:eastAsia="仿宋"/>
          <w:bCs/>
          <w:color w:val="000000" w:themeColor="text1"/>
          <w:szCs w:val="21"/>
          <w14:textFill>
            <w14:solidFill>
              <w14:schemeClr w14:val="tx1"/>
            </w14:solidFill>
          </w14:textFill>
        </w:rPr>
      </w:pPr>
      <w:r>
        <w:rPr>
          <w:rFonts w:hint="eastAsia" w:ascii="仿宋" w:hAnsi="仿宋" w:eastAsia="仿宋"/>
          <w:bCs/>
          <w:color w:val="000000" w:themeColor="text1"/>
          <w:szCs w:val="21"/>
          <w14:textFill>
            <w14:solidFill>
              <w14:schemeClr w14:val="tx1"/>
            </w14:solidFill>
          </w14:textFill>
        </w:rPr>
        <w:t>1、带“*”号的为必填表内容，其他内容可根据项目作适当增减。</w:t>
      </w:r>
    </w:p>
    <w:p>
      <w:pPr>
        <w:spacing w:line="360" w:lineRule="exact"/>
        <w:jc w:val="left"/>
        <w:rPr>
          <w:rFonts w:ascii="仿宋" w:hAnsi="仿宋" w:eastAsia="仿宋"/>
          <w:bCs/>
          <w:color w:val="000000" w:themeColor="text1"/>
          <w:szCs w:val="21"/>
          <w14:textFill>
            <w14:solidFill>
              <w14:schemeClr w14:val="tx1"/>
            </w14:solidFill>
          </w14:textFill>
        </w:rPr>
      </w:pPr>
      <w:r>
        <w:rPr>
          <w:rFonts w:hint="eastAsia" w:ascii="仿宋" w:hAnsi="仿宋" w:eastAsia="仿宋"/>
          <w:bCs/>
          <w:color w:val="000000" w:themeColor="text1"/>
          <w:szCs w:val="21"/>
          <w14:textFill>
            <w14:solidFill>
              <w14:schemeClr w14:val="tx1"/>
            </w14:solidFill>
          </w14:textFill>
        </w:rPr>
        <w:t>2、其他要求栏目仅适用非公开招标采购方式项目，采购推荐供应商名单必须经过主管部门报批，并将主管部门批复材料提交至采购中心。根据采购条例第十九条规定适用非公开招标方式需要公示的，应同时向采购中心提交公示的证明材料。</w:t>
      </w:r>
    </w:p>
    <w:p>
      <w:pPr>
        <w:spacing w:line="360" w:lineRule="exact"/>
        <w:rPr>
          <w:rFonts w:ascii="仿宋" w:hAnsi="仿宋" w:eastAsia="仿宋"/>
          <w:bCs/>
          <w:color w:val="000000" w:themeColor="text1"/>
          <w:szCs w:val="21"/>
          <w14:textFill>
            <w14:solidFill>
              <w14:schemeClr w14:val="tx1"/>
            </w14:solidFill>
          </w14:textFill>
        </w:rPr>
      </w:pPr>
      <w:r>
        <w:rPr>
          <w:rFonts w:hint="eastAsia" w:ascii="仿宋" w:hAnsi="仿宋" w:eastAsia="仿宋"/>
          <w:bCs/>
          <w:color w:val="000000" w:themeColor="text1"/>
          <w:szCs w:val="21"/>
          <w14:textFill>
            <w14:solidFill>
              <w14:schemeClr w14:val="tx1"/>
            </w14:solidFill>
          </w14:textFill>
        </w:rPr>
        <w:t>3、采购单位以上填报的商务条款、技术条款若存在倾向性或不公正性条款，由此引起的不良后果将由采购单位自行承担。</w:t>
      </w:r>
    </w:p>
    <w:p>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4、项目需要提供带车服务的，需核查中标单位提供的车型，避免违规出现豪华或超标准车型。</w:t>
      </w:r>
    </w:p>
    <w:p>
      <w:pPr>
        <w:rPr>
          <w:rFonts w:ascii="仿宋_GB2312" w:hAnsi="仿宋_GB2312" w:eastAsia="仿宋_GB2312" w:cs="仿宋_GB2312"/>
          <w:bCs/>
          <w:color w:val="000000" w:themeColor="text1"/>
          <w:sz w:val="32"/>
          <w:szCs w:val="32"/>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0A9"/>
    <w:rsid w:val="00DB1E9D"/>
    <w:rsid w:val="00DC76F7"/>
    <w:rsid w:val="00EE53D0"/>
    <w:rsid w:val="00F370A9"/>
    <w:rsid w:val="018C4675"/>
    <w:rsid w:val="02E651C8"/>
    <w:rsid w:val="03B645D7"/>
    <w:rsid w:val="03B926DB"/>
    <w:rsid w:val="045525AB"/>
    <w:rsid w:val="05964469"/>
    <w:rsid w:val="05AA54D6"/>
    <w:rsid w:val="07491CD5"/>
    <w:rsid w:val="08694A16"/>
    <w:rsid w:val="096509A3"/>
    <w:rsid w:val="0D383CF7"/>
    <w:rsid w:val="0F660465"/>
    <w:rsid w:val="0F7171E5"/>
    <w:rsid w:val="11D25F3B"/>
    <w:rsid w:val="150F3627"/>
    <w:rsid w:val="15593193"/>
    <w:rsid w:val="174D14CA"/>
    <w:rsid w:val="17BD128A"/>
    <w:rsid w:val="19A72D60"/>
    <w:rsid w:val="19AC5569"/>
    <w:rsid w:val="1A815666"/>
    <w:rsid w:val="1C7C1C0E"/>
    <w:rsid w:val="1CA67913"/>
    <w:rsid w:val="1D655C57"/>
    <w:rsid w:val="1D6D3C7F"/>
    <w:rsid w:val="1E75203A"/>
    <w:rsid w:val="1F5C6309"/>
    <w:rsid w:val="203B6856"/>
    <w:rsid w:val="20A67928"/>
    <w:rsid w:val="217008EA"/>
    <w:rsid w:val="21F4298C"/>
    <w:rsid w:val="221072CF"/>
    <w:rsid w:val="240B4305"/>
    <w:rsid w:val="2523001D"/>
    <w:rsid w:val="258E6E89"/>
    <w:rsid w:val="25E22777"/>
    <w:rsid w:val="28295770"/>
    <w:rsid w:val="29DC36F6"/>
    <w:rsid w:val="2A97233B"/>
    <w:rsid w:val="33641229"/>
    <w:rsid w:val="377E6CFD"/>
    <w:rsid w:val="3A5B5BCB"/>
    <w:rsid w:val="4011648E"/>
    <w:rsid w:val="405114ED"/>
    <w:rsid w:val="41F27582"/>
    <w:rsid w:val="431A57FB"/>
    <w:rsid w:val="45A81E6F"/>
    <w:rsid w:val="4AD337E4"/>
    <w:rsid w:val="4D1575B7"/>
    <w:rsid w:val="544D38E7"/>
    <w:rsid w:val="54D44008"/>
    <w:rsid w:val="56827DFA"/>
    <w:rsid w:val="59E35308"/>
    <w:rsid w:val="59EA7E2A"/>
    <w:rsid w:val="5A3F11A5"/>
    <w:rsid w:val="5ABC17C7"/>
    <w:rsid w:val="5BB701E0"/>
    <w:rsid w:val="5C3B1E1B"/>
    <w:rsid w:val="5C6D3E4D"/>
    <w:rsid w:val="601259E5"/>
    <w:rsid w:val="609F63A4"/>
    <w:rsid w:val="60A121C0"/>
    <w:rsid w:val="60BE5A58"/>
    <w:rsid w:val="61A34F3F"/>
    <w:rsid w:val="63D37B58"/>
    <w:rsid w:val="64CF09B7"/>
    <w:rsid w:val="65247AAB"/>
    <w:rsid w:val="66544016"/>
    <w:rsid w:val="66F45E44"/>
    <w:rsid w:val="679B2B45"/>
    <w:rsid w:val="67F814CD"/>
    <w:rsid w:val="68855EF7"/>
    <w:rsid w:val="6AA33303"/>
    <w:rsid w:val="6B375D75"/>
    <w:rsid w:val="71497FF2"/>
    <w:rsid w:val="73866514"/>
    <w:rsid w:val="74A21CA8"/>
    <w:rsid w:val="76B134C2"/>
    <w:rsid w:val="771A745D"/>
    <w:rsid w:val="7953413B"/>
    <w:rsid w:val="7A886A8A"/>
    <w:rsid w:val="7B58009C"/>
    <w:rsid w:val="7C3F02CE"/>
    <w:rsid w:val="7D707571"/>
    <w:rsid w:val="7DA87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qFormat/>
    <w:uiPriority w:val="0"/>
    <w:rPr>
      <w:rFonts w:ascii="Calibri" w:hAnsi="Calibri"/>
      <w:sz w:val="24"/>
    </w:rPr>
  </w:style>
  <w:style w:type="paragraph" w:styleId="3">
    <w:name w:val="annotation text"/>
    <w:basedOn w:val="1"/>
    <w:qFormat/>
    <w:uiPriority w:val="0"/>
    <w:pPr>
      <w:spacing w:after="160" w:line="259" w:lineRule="auto"/>
    </w:pPr>
    <w:rPr>
      <w:rFonts w:ascii="等线" w:hAnsi="等线" w:eastAsia="等线" w:cs="Times New Roman"/>
      <w:kern w:val="0"/>
      <w:sz w:val="22"/>
    </w:rPr>
  </w:style>
  <w:style w:type="paragraph" w:styleId="4">
    <w:name w:val="Body Text"/>
    <w:basedOn w:val="1"/>
    <w:next w:val="5"/>
    <w:qFormat/>
    <w:uiPriority w:val="0"/>
    <w:pPr>
      <w:spacing w:before="61"/>
      <w:ind w:left="102"/>
    </w:pPr>
    <w:rPr>
      <w:rFonts w:ascii="宋体" w:hAnsi="宋体" w:eastAsia="宋体"/>
      <w:kern w:val="0"/>
      <w:sz w:val="28"/>
      <w:szCs w:val="28"/>
      <w:lang w:eastAsia="en-US"/>
    </w:rPr>
  </w:style>
  <w:style w:type="paragraph" w:styleId="5">
    <w:name w:val="Title"/>
    <w:basedOn w:val="1"/>
    <w:next w:val="1"/>
    <w:qFormat/>
    <w:uiPriority w:val="0"/>
    <w:pPr>
      <w:spacing w:before="240" w:after="60"/>
      <w:jc w:val="center"/>
      <w:outlineLvl w:val="0"/>
    </w:pPr>
    <w:rPr>
      <w:rFonts w:ascii="Cambria" w:hAnsi="Cambria" w:eastAsia="宋体"/>
      <w:b/>
      <w:bCs/>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qFormat/>
    <w:uiPriority w:val="0"/>
    <w:pPr>
      <w:snapToGrid w:val="0"/>
      <w:jc w:val="left"/>
    </w:pPr>
    <w:rPr>
      <w:sz w:val="18"/>
    </w:rPr>
  </w:style>
  <w:style w:type="paragraph" w:customStyle="1" w:styleId="11">
    <w:name w:val="msolistparagraph"/>
    <w:basedOn w:val="1"/>
    <w:qFormat/>
    <w:uiPriority w:val="0"/>
    <w:pPr>
      <w:ind w:firstLine="420" w:firstLineChars="200"/>
    </w:pPr>
  </w:style>
  <w:style w:type="character" w:customStyle="1" w:styleId="12">
    <w:name w:val="页眉 字符"/>
    <w:basedOn w:val="10"/>
    <w:link w:val="7"/>
    <w:qFormat/>
    <w:uiPriority w:val="0"/>
    <w:rPr>
      <w:rFonts w:asciiTheme="minorHAnsi" w:hAnsiTheme="minorHAnsi" w:eastAsiaTheme="minorEastAsia" w:cstheme="minorBidi"/>
      <w:kern w:val="2"/>
      <w:sz w:val="18"/>
      <w:szCs w:val="18"/>
    </w:rPr>
  </w:style>
  <w:style w:type="character" w:customStyle="1" w:styleId="13">
    <w:name w:val="页脚 字符"/>
    <w:basedOn w:val="10"/>
    <w:link w:val="6"/>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9555</Words>
  <Characters>9940</Characters>
  <Lines>73</Lines>
  <Paragraphs>20</Paragraphs>
  <TotalTime>0</TotalTime>
  <ScaleCrop>false</ScaleCrop>
  <LinksUpToDate>false</LinksUpToDate>
  <CharactersWithSpaces>10059</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2025-01-23T01:08:00Z</dcterms:created>
  <dc:creator>hongxh</dc:creator>
  <cp:lastModifiedBy>Administrator</cp:lastModifiedBy>
  <dcterms:modified xsi:type="dcterms:W3CDTF">2025-07-01T03:22:15Z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E15011BBEDB7424E84D72E5EF7797E39_13</vt:lpwstr>
  </property>
  <property fmtid="{D5CDD505-2E9C-101B-9397-08002B2CF9AE}" pid="4" name="KSOTemplateDocerSaveRecord">
    <vt:lpwstr>eyJoZGlkIjoiYmRlMTY5Njk4ZjkyMWQzNWM2ZDUzNjQyZGNlYmQyNTkiLCJ1c2VySWQiOiIyMTIyMDA0NzUifQ==</vt:lpwstr>
  </property>
</Properties>
</file>