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jc w:val="center"/>
        <w:rPr>
          <w:rFonts w:hint="eastAsia" w:ascii="黑体" w:hAnsi="黑体" w:eastAsia="黑体" w:cs="黑体"/>
          <w:b/>
          <w:color w:val="000000" w:themeColor="text1"/>
          <w:sz w:val="32"/>
          <w:szCs w:val="32"/>
          <w:highlight w:val="none"/>
          <w14:textFill>
            <w14:solidFill>
              <w14:schemeClr w14:val="tx1"/>
            </w14:solidFill>
          </w14:textFill>
        </w:rPr>
      </w:pPr>
      <w:r>
        <w:rPr>
          <w:rFonts w:hint="eastAsia" w:ascii="黑体" w:hAnsi="黑体" w:eastAsia="黑体" w:cs="黑体"/>
          <w:b/>
          <w:color w:val="000000" w:themeColor="text1"/>
          <w:sz w:val="44"/>
          <w:szCs w:val="44"/>
          <w:highlight w:val="none"/>
          <w:lang w:val="en-US" w:eastAsia="zh-CN"/>
          <w14:textFill>
            <w14:solidFill>
              <w14:schemeClr w14:val="tx1"/>
            </w14:solidFill>
          </w14:textFill>
        </w:rPr>
        <w:t xml:space="preserve">    </w:t>
      </w:r>
      <w:r>
        <w:rPr>
          <w:rFonts w:hint="eastAsia" w:ascii="黑体" w:hAnsi="黑体" w:eastAsia="黑体" w:cs="黑体"/>
          <w:b/>
          <w:color w:val="000000" w:themeColor="text1"/>
          <w:sz w:val="44"/>
          <w:szCs w:val="44"/>
          <w:highlight w:val="none"/>
          <w14:textFill>
            <w14:solidFill>
              <w14:schemeClr w14:val="tx1"/>
            </w14:solidFill>
          </w14:textFill>
        </w:rPr>
        <w:t>服务类项目采购需求模板（</w:t>
      </w:r>
      <w:r>
        <w:rPr>
          <w:rFonts w:hint="eastAsia" w:ascii="黑体" w:hAnsi="黑体" w:eastAsia="黑体" w:cs="黑体"/>
          <w:b/>
          <w:color w:val="000000" w:themeColor="text1"/>
          <w:sz w:val="44"/>
          <w:szCs w:val="44"/>
          <w:highlight w:val="none"/>
          <w:lang w:val="en-US" w:eastAsia="zh-CN"/>
          <w14:textFill>
            <w14:solidFill>
              <w14:schemeClr w14:val="tx1"/>
            </w14:solidFill>
          </w14:textFill>
        </w:rPr>
        <w:t>通用</w:t>
      </w:r>
      <w:r>
        <w:rPr>
          <w:rFonts w:hint="eastAsia" w:ascii="黑体" w:hAnsi="黑体" w:eastAsia="黑体" w:cs="黑体"/>
          <w:b/>
          <w:color w:val="000000" w:themeColor="text1"/>
          <w:sz w:val="44"/>
          <w:szCs w:val="44"/>
          <w:highlight w:val="none"/>
          <w14:textFill>
            <w14:solidFill>
              <w14:schemeClr w14:val="tx1"/>
            </w14:solidFill>
          </w14:textFill>
        </w:rPr>
        <w:t>）</w:t>
      </w:r>
    </w:p>
    <w:tbl>
      <w:tblPr>
        <w:tblStyle w:val="8"/>
        <w:tblW w:w="89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6"/>
        <w:gridCol w:w="1425"/>
        <w:gridCol w:w="2449"/>
        <w:gridCol w:w="136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项目名称</w:t>
            </w:r>
          </w:p>
        </w:tc>
        <w:tc>
          <w:tcPr>
            <w:tcW w:w="7501" w:type="dxa"/>
            <w:gridSpan w:val="4"/>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深圳市2025年耕地资源质量分类更新与监测（不含深汕特别合作区）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7" w:hRule="atLeast"/>
        </w:trPr>
        <w:tc>
          <w:tcPr>
            <w:tcW w:w="14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采购人名称</w:t>
            </w:r>
          </w:p>
        </w:tc>
        <w:tc>
          <w:tcPr>
            <w:tcW w:w="3874" w:type="dxa"/>
            <w:gridSpan w:val="2"/>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rPr>
              <w:t>深圳市规划和自然资源局</w:t>
            </w: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采购方式</w:t>
            </w:r>
          </w:p>
        </w:tc>
        <w:tc>
          <w:tcPr>
            <w:tcW w:w="2261"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lang w:eastAsia="zh-CN"/>
              </w:rPr>
            </w:pPr>
            <w:r>
              <w:rPr>
                <w:rFonts w:hint="eastAsia" w:ascii="仿宋" w:hAnsi="仿宋" w:eastAsia="仿宋" w:cs="仿宋"/>
                <w:color w:val="auto"/>
                <w:szCs w:val="21"/>
                <w:lang w:val="en-US" w:eastAsia="zh-CN"/>
              </w:rPr>
              <w:t>单一来源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4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计划立项批文号</w:t>
            </w:r>
          </w:p>
        </w:tc>
        <w:tc>
          <w:tcPr>
            <w:tcW w:w="3874" w:type="dxa"/>
            <w:gridSpan w:val="2"/>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资金来源</w:t>
            </w:r>
          </w:p>
        </w:tc>
        <w:tc>
          <w:tcPr>
            <w:tcW w:w="2261"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rPr>
              <w:t>一般公共预算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4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财政预算限额（元）</w:t>
            </w:r>
          </w:p>
        </w:tc>
        <w:tc>
          <w:tcPr>
            <w:tcW w:w="3874" w:type="dxa"/>
            <w:gridSpan w:val="2"/>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435000</w:t>
            </w: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p>
        </w:tc>
        <w:tc>
          <w:tcPr>
            <w:tcW w:w="2261"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4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项目背景</w:t>
            </w:r>
          </w:p>
        </w:tc>
        <w:tc>
          <w:tcPr>
            <w:tcW w:w="7501" w:type="dxa"/>
            <w:gridSpan w:val="4"/>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自2010年开始，耕地质量更新与监测已成为自然资源管理的一项常态化工作任务。2020年9月16日，国务院第三次全国国土调查领导小组办公室印发《第三次全国国土调查耕地资源质量分类工作方案》（国土调查办发〔2020〕13号），改进了耕地质量评价方法，形成了新的耕地质量分类体系。根据《自然资源部办公厅关于开展2023年度全国国土变更调查工作的通知》（自然资办发〔2023〕38号）、《广东省土地开发整治中心关于做好2023年度耕地资源质量分类更新与监测工作的函》（粤土整治函〔2024〕063号），部、省要求每一年开展上一年度的耕地资源质量分类更新与监测工作。</w:t>
            </w:r>
            <w:r>
              <w:rPr>
                <w:rFonts w:hint="eastAsia" w:ascii="仿宋" w:hAnsi="仿宋" w:eastAsia="仿宋" w:cs="仿宋"/>
                <w:color w:val="auto"/>
                <w:szCs w:val="21"/>
                <w:highlight w:val="none"/>
                <w:lang w:val="en-US" w:eastAsia="zh-CN"/>
              </w:rPr>
              <w:t>同时，</w:t>
            </w:r>
            <w:r>
              <w:rPr>
                <w:rFonts w:hint="eastAsia" w:ascii="仿宋" w:hAnsi="仿宋" w:eastAsia="仿宋" w:cs="仿宋"/>
                <w:color w:val="auto"/>
                <w:szCs w:val="21"/>
                <w:highlight w:val="none"/>
              </w:rPr>
              <w:t>根据</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自然资源部办公厅关于开展2024年度全国国土变更调查工作的通知</w:t>
            </w:r>
            <w:r>
              <w:rPr>
                <w:rFonts w:hint="eastAsia" w:ascii="仿宋" w:hAnsi="仿宋" w:eastAsia="仿宋" w:cs="仿宋"/>
                <w:color w:val="auto"/>
                <w:szCs w:val="21"/>
                <w:highlight w:val="none"/>
                <w:lang w:eastAsia="zh-CN"/>
              </w:rPr>
              <w:t>》（自然资办发〔2024〕44号），</w:t>
            </w:r>
            <w:r>
              <w:rPr>
                <w:rFonts w:hint="eastAsia" w:ascii="仿宋" w:hAnsi="仿宋" w:eastAsia="仿宋" w:cs="仿宋"/>
                <w:color w:val="auto"/>
                <w:szCs w:val="21"/>
                <w:highlight w:val="none"/>
              </w:rPr>
              <w:t>2024年度“耕地资源质量分类”工作</w:t>
            </w:r>
            <w:r>
              <w:rPr>
                <w:rFonts w:hint="eastAsia" w:ascii="仿宋" w:hAnsi="仿宋" w:eastAsia="仿宋" w:cs="仿宋"/>
                <w:color w:val="auto"/>
                <w:szCs w:val="21"/>
                <w:highlight w:val="none"/>
                <w:lang w:val="en-US" w:eastAsia="zh-CN"/>
              </w:rPr>
              <w:t>名称变更</w:t>
            </w:r>
            <w:r>
              <w:rPr>
                <w:rFonts w:hint="eastAsia" w:ascii="仿宋" w:hAnsi="仿宋" w:eastAsia="仿宋" w:cs="仿宋"/>
                <w:color w:val="auto"/>
                <w:szCs w:val="21"/>
                <w:highlight w:val="none"/>
              </w:rPr>
              <w:t>为“耕地资源分区分类评价”</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要求</w:t>
            </w:r>
            <w:r>
              <w:rPr>
                <w:rFonts w:hint="eastAsia" w:ascii="仿宋" w:hAnsi="仿宋" w:eastAsia="仿宋" w:cs="仿宋"/>
                <w:color w:val="auto"/>
                <w:szCs w:val="21"/>
                <w:highlight w:val="none"/>
                <w:lang w:eastAsia="zh-CN"/>
              </w:rPr>
              <w:t>继续组织实施好耕地资源分区分类评价年度更新</w:t>
            </w:r>
            <w:r>
              <w:rPr>
                <w:rFonts w:hint="eastAsia" w:ascii="仿宋" w:hAnsi="仿宋" w:eastAsia="仿宋" w:cs="仿宋"/>
                <w:color w:val="auto"/>
                <w:szCs w:val="21"/>
                <w:highlight w:val="none"/>
                <w:lang w:val="en-US" w:eastAsia="zh-CN"/>
              </w:rPr>
              <w:t>工作。</w:t>
            </w:r>
            <w:r>
              <w:rPr>
                <w:rFonts w:hint="eastAsia" w:ascii="仿宋" w:hAnsi="仿宋" w:eastAsia="仿宋" w:cs="仿宋"/>
                <w:color w:val="auto"/>
                <w:szCs w:val="21"/>
                <w:highlight w:val="none"/>
              </w:rPr>
              <w:t>深圳市作为改革开放的窗口和试验场，坚持最严格的耕地保护制度，切实做好耕地资源质量分类更新和监测，对我市加强耕地保护利用工作具有重要意义。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项目前期设计、规划论证单位</w:t>
            </w:r>
          </w:p>
        </w:tc>
        <w:tc>
          <w:tcPr>
            <w:tcW w:w="7501" w:type="dxa"/>
            <w:gridSpan w:val="4"/>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466"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投标人资质要求</w:t>
            </w:r>
          </w:p>
        </w:tc>
        <w:tc>
          <w:tcPr>
            <w:tcW w:w="7501" w:type="dxa"/>
            <w:gridSpan w:val="4"/>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注意：采购人根据项目所需提供明确、具体的资质要求，资质要求的内容必须与项目等级相匹配且符合相关法律规定。（设置的投标人资格要求必须提交有法律法规依据的证明文件，且不具备倾向性）</w:t>
            </w:r>
          </w:p>
          <w:p>
            <w:pPr>
              <w:widowControl w:val="0"/>
              <w:rPr>
                <w:rFonts w:ascii="仿宋" w:hAnsi="仿宋" w:eastAsia="仿宋" w:cs="仿宋"/>
                <w:color w:val="auto"/>
                <w:kern w:val="0"/>
                <w:szCs w:val="21"/>
              </w:rPr>
            </w:pPr>
            <w:r>
              <w:rPr>
                <w:rFonts w:hint="eastAsia" w:ascii="仿宋" w:hAnsi="仿宋" w:eastAsia="仿宋" w:cs="仿宋"/>
                <w:color w:val="auto"/>
                <w:kern w:val="0"/>
                <w:szCs w:val="21"/>
              </w:rPr>
              <w:t>1）具有独立法人资格；</w:t>
            </w:r>
          </w:p>
          <w:p>
            <w:pPr>
              <w:widowControl w:val="0"/>
              <w:rPr>
                <w:rFonts w:ascii="仿宋" w:hAnsi="仿宋" w:eastAsia="仿宋" w:cs="仿宋"/>
                <w:color w:val="auto"/>
                <w:kern w:val="0"/>
                <w:szCs w:val="21"/>
              </w:rPr>
            </w:pPr>
            <w:r>
              <w:rPr>
                <w:rFonts w:hint="eastAsia" w:ascii="仿宋" w:hAnsi="仿宋" w:eastAsia="仿宋" w:cs="仿宋"/>
                <w:color w:val="auto"/>
                <w:kern w:val="0"/>
                <w:szCs w:val="21"/>
              </w:rPr>
              <w:t>2）本项目不接受联合体投标（不接受投标人选用进口产品参与投标）。</w:t>
            </w:r>
          </w:p>
          <w:p>
            <w:pPr>
              <w:pStyle w:val="11"/>
              <w:rPr>
                <w:rFonts w:ascii="仿宋" w:hAnsi="仿宋" w:eastAsia="仿宋" w:cs="仿宋"/>
                <w:color w:val="auto"/>
                <w:kern w:val="0"/>
                <w:sz w:val="21"/>
                <w:szCs w:val="21"/>
              </w:rPr>
            </w:pPr>
            <w:r>
              <w:rPr>
                <w:rFonts w:hint="eastAsia" w:ascii="仿宋" w:hAnsi="仿宋" w:eastAsia="仿宋" w:cs="仿宋"/>
                <w:color w:val="auto"/>
                <w:kern w:val="0"/>
                <w:sz w:val="21"/>
                <w:szCs w:val="21"/>
              </w:rPr>
              <w:t>3）采购方同意投标方将合同标的的部分非主体性工作内容（外业取土、土壤检测）分包给第三方或与第三方合作，其中外业取土分包金额不超过</w:t>
            </w:r>
            <w:r>
              <w:rPr>
                <w:rFonts w:hint="eastAsia" w:ascii="仿宋" w:hAnsi="仿宋" w:eastAsia="仿宋" w:cs="仿宋"/>
                <w:color w:val="auto"/>
                <w:kern w:val="0"/>
                <w:sz w:val="21"/>
                <w:szCs w:val="21"/>
                <w:lang w:val="en-US" w:eastAsia="zh-CN"/>
              </w:rPr>
              <w:t>30</w:t>
            </w:r>
            <w:r>
              <w:rPr>
                <w:rFonts w:hint="eastAsia" w:ascii="仿宋" w:hAnsi="仿宋" w:eastAsia="仿宋" w:cs="仿宋"/>
                <w:color w:val="auto"/>
                <w:kern w:val="0"/>
                <w:sz w:val="21"/>
                <w:szCs w:val="21"/>
              </w:rPr>
              <w:t>万元，即不超过总合同额的</w:t>
            </w:r>
            <w:r>
              <w:rPr>
                <w:rFonts w:hint="eastAsia" w:ascii="仿宋" w:hAnsi="仿宋" w:eastAsia="仿宋" w:cs="仿宋"/>
                <w:color w:val="auto"/>
                <w:kern w:val="0"/>
                <w:sz w:val="21"/>
                <w:szCs w:val="21"/>
                <w:lang w:val="en-US" w:eastAsia="zh-CN"/>
              </w:rPr>
              <w:t>20.91</w:t>
            </w:r>
            <w:r>
              <w:rPr>
                <w:rFonts w:hint="eastAsia" w:ascii="仿宋" w:hAnsi="仿宋" w:eastAsia="仿宋" w:cs="仿宋"/>
                <w:color w:val="auto"/>
                <w:kern w:val="0"/>
                <w:sz w:val="21"/>
                <w:szCs w:val="21"/>
              </w:rPr>
              <w:t>%，土壤检测分包金额不超过5万元，即不超过总合同额的</w:t>
            </w:r>
            <w:r>
              <w:rPr>
                <w:rFonts w:hint="eastAsia" w:ascii="仿宋" w:hAnsi="仿宋" w:eastAsia="仿宋" w:cs="仿宋"/>
                <w:color w:val="auto"/>
                <w:kern w:val="0"/>
                <w:sz w:val="21"/>
                <w:szCs w:val="21"/>
                <w:lang w:val="en-US" w:eastAsia="zh-CN"/>
              </w:rPr>
              <w:t>3.48</w:t>
            </w:r>
            <w:r>
              <w:rPr>
                <w:rFonts w:hint="eastAsia" w:ascii="仿宋" w:hAnsi="仿宋" w:eastAsia="仿宋" w:cs="仿宋"/>
                <w:color w:val="auto"/>
                <w:kern w:val="0"/>
                <w:sz w:val="21"/>
                <w:szCs w:val="21"/>
              </w:rPr>
              <w:t>%。未经采购方同意，投标方不得将上述内容以外的工作转包或分包给第三方或与第三方合作，否则，投标方应承担违约责任。</w:t>
            </w:r>
          </w:p>
          <w:p>
            <w:pPr>
              <w:widowControl w:val="0"/>
              <w:rPr>
                <w:rFonts w:ascii="仿宋" w:hAnsi="仿宋" w:eastAsia="仿宋" w:cs="仿宋"/>
                <w:color w:val="auto"/>
                <w:kern w:val="0"/>
                <w:szCs w:val="21"/>
              </w:rPr>
            </w:pPr>
            <w:r>
              <w:rPr>
                <w:rFonts w:hint="eastAsia" w:ascii="仿宋" w:hAnsi="仿宋" w:eastAsia="仿宋" w:cs="仿宋"/>
                <w:color w:val="auto"/>
                <w:kern w:val="0"/>
                <w:szCs w:val="21"/>
              </w:rPr>
              <w:t>4）参与本项目投标前三年内，在经营活动中没有重大违法记录（由供应商在《政府采购投标及履约承诺函》中作出声明）。</w:t>
            </w:r>
          </w:p>
          <w:p>
            <w:pPr>
              <w:widowControl w:val="0"/>
              <w:rPr>
                <w:rFonts w:ascii="仿宋" w:hAnsi="仿宋" w:eastAsia="仿宋" w:cs="仿宋"/>
                <w:color w:val="auto"/>
                <w:kern w:val="0"/>
                <w:szCs w:val="21"/>
              </w:rPr>
            </w:pPr>
            <w:r>
              <w:rPr>
                <w:rFonts w:hint="eastAsia" w:ascii="仿宋" w:hAnsi="仿宋" w:eastAsia="仿宋" w:cs="仿宋"/>
                <w:color w:val="auto"/>
                <w:kern w:val="0"/>
                <w:szCs w:val="21"/>
              </w:rPr>
              <w:t>5）参与本项目政府采购活动时不存在被有关部门禁止参与政府采购活动且在有效期内的情况（由供应商在《政府采购投标及履约承诺函》中作出声明）。</w:t>
            </w:r>
          </w:p>
          <w:p>
            <w:pPr>
              <w:widowControl w:val="0"/>
              <w:rPr>
                <w:rFonts w:ascii="仿宋" w:hAnsi="仿宋" w:eastAsia="仿宋" w:cs="仿宋"/>
                <w:color w:val="auto"/>
                <w:kern w:val="0"/>
                <w:szCs w:val="21"/>
              </w:rPr>
            </w:pPr>
            <w:r>
              <w:rPr>
                <w:rFonts w:hint="eastAsia" w:ascii="仿宋" w:hAnsi="仿宋" w:eastAsia="仿宋" w:cs="仿宋"/>
                <w:color w:val="auto"/>
                <w:kern w:val="0"/>
                <w:szCs w:val="21"/>
              </w:rPr>
              <w:t>6）具备《中华人民共和国政府采购法》第二十二条第一款的条件（由供应商在《政府采购投标及履约承诺函》中作出声明）。</w:t>
            </w:r>
          </w:p>
          <w:p>
            <w:pPr>
              <w:widowControl w:val="0"/>
              <w:rPr>
                <w:rFonts w:ascii="仿宋" w:hAnsi="仿宋" w:eastAsia="仿宋" w:cs="仿宋"/>
                <w:color w:val="auto"/>
                <w:kern w:val="0"/>
                <w:szCs w:val="21"/>
              </w:rPr>
            </w:pPr>
            <w:r>
              <w:rPr>
                <w:rFonts w:hint="eastAsia" w:ascii="仿宋" w:hAnsi="仿宋" w:eastAsia="仿宋" w:cs="仿宋"/>
                <w:color w:val="auto"/>
                <w:kern w:val="0"/>
                <w:szCs w:val="21"/>
              </w:rPr>
              <w:t>7）未被列入失信被执行人、重大税收违法案件当事人名单、政府采购严重违法失信行为记录名单（由供应商在《政府采购投标及履约承诺函》中作出声明）。</w:t>
            </w:r>
          </w:p>
          <w:p>
            <w:pPr>
              <w:keepNext w:val="0"/>
              <w:keepLines w:val="0"/>
              <w:pageBreakBefore w:val="0"/>
              <w:widowControl w:val="0"/>
              <w:kinsoku/>
              <w:overflowPunct/>
              <w:topLinePunct w:val="0"/>
              <w:autoSpaceDE/>
              <w:autoSpaceDN/>
              <w:bidi w:val="0"/>
              <w:jc w:val="left"/>
              <w:rPr>
                <w:rFonts w:hint="eastAsia" w:ascii="仿宋" w:hAnsi="仿宋" w:eastAsia="仿宋" w:cs="仿宋"/>
                <w:b/>
                <w:color w:val="auto"/>
                <w:kern w:val="0"/>
                <w:szCs w:val="21"/>
                <w:highlight w:val="none"/>
              </w:rPr>
            </w:pPr>
            <w:r>
              <w:rPr>
                <w:rFonts w:hint="eastAsia" w:ascii="仿宋" w:hAnsi="仿宋" w:eastAsia="仿宋" w:cs="仿宋"/>
                <w:color w:val="auto"/>
                <w:kern w:val="0"/>
                <w:szCs w:val="21"/>
              </w:rPr>
              <w:t>注：“信用中国”、“中国政府采购网”、“深圳信用网”以及“深圳市政府采购监管网”为供应商信用信息的查询渠道，相关信息以开标当日的查询结果为准。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466"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kern w:val="0"/>
                <w:szCs w:val="21"/>
                <w:highlight w:val="none"/>
              </w:rPr>
            </w:pPr>
            <w:r>
              <w:rPr>
                <w:rFonts w:hint="eastAsia" w:ascii="仿宋" w:hAnsi="仿宋" w:eastAsia="仿宋" w:cs="仿宋"/>
                <w:bCs/>
                <w:color w:val="auto"/>
                <w:szCs w:val="21"/>
                <w:highlight w:val="none"/>
              </w:rPr>
              <w:t>需求内容</w:t>
            </w:r>
          </w:p>
        </w:tc>
        <w:tc>
          <w:tcPr>
            <w:tcW w:w="7501" w:type="dxa"/>
            <w:gridSpan w:val="4"/>
            <w:noWrap w:val="0"/>
            <w:vAlign w:val="top"/>
          </w:tcPr>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*1、报价要求（明确分项报价要求）</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1）本项目服务费采用包干制，应包括服务成本、法定税费和企业的利润。由企业根据招标文件所提供的资料自行测算投标报价；一经中标，投标报价总价作为中标单位与采购人签定的合同金额，合同期限内不做调整。</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3）投标单位提供报价详细清单。</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4）在合同实施期间，服务费用不随国家政策或法规、标准及市场因素的变化而进行调整。</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5）投标人的投标报价，应是本项目招标范围和招标文件及合同条款上所列的各项内容中所述的全部，不得以任何理由予以重复，并以投标人在投标文件中提出的综合单价或总价为依据。</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6）例外地按招标文件所列的清单中项目和数量填报综合单价或总价。投标人未填综合单价或总价的项目，在实施后，将不得以支付，并视作该项费用已包括在其它有价款的综合单价或总价内。</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7</w:t>
            </w:r>
            <w:r>
              <w:rPr>
                <w:rFonts w:hint="eastAsia" w:ascii="仿宋" w:hAnsi="仿宋" w:eastAsia="仿宋" w:cs="Times New Roman"/>
                <w:color w:val="auto"/>
                <w:kern w:val="0"/>
                <w:szCs w:val="21"/>
              </w:rPr>
              <w:t>）投标人应充分了解项目的位置、情况、道路及任何其它足以影响投标报价的情况，任何因忽视或误解项目情况而导致的索赔或服务期限延长申请将不获批准。</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8）投标人不得期望通过索赔等方式获取补偿，否则，除可能遭到拒绝外，还可能将被作为不良行为记录在案，并可能影响其以后参加政府采购的项目投标。各投标人在投标报价时，应充分考虑投标报价的风险。</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*2、付款方式</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本项目分三期支付合同款。</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首期款：自双方签订合同之日起20个工作日内，根据中标方提出的付款申请，采购方按照合同要求支付中标方合同总价款的</w:t>
            </w:r>
            <w:r>
              <w:rPr>
                <w:rFonts w:hint="eastAsia" w:ascii="仿宋" w:hAnsi="仿宋" w:eastAsia="仿宋" w:cs="Times New Roman"/>
                <w:color w:val="auto"/>
                <w:kern w:val="0"/>
                <w:szCs w:val="21"/>
                <w:lang w:val="en-US" w:eastAsia="zh-CN"/>
              </w:rPr>
              <w:t>2</w:t>
            </w:r>
            <w:r>
              <w:rPr>
                <w:rFonts w:hint="eastAsia" w:ascii="仿宋" w:hAnsi="仿宋" w:eastAsia="仿宋" w:cs="Times New Roman"/>
                <w:color w:val="auto"/>
                <w:kern w:val="0"/>
                <w:szCs w:val="21"/>
              </w:rPr>
              <w:t>0%；</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二期款：中标方提交耕地资源质量分类年度更新</w:t>
            </w:r>
            <w:r>
              <w:rPr>
                <w:rFonts w:hint="eastAsia" w:ascii="仿宋" w:hAnsi="仿宋" w:eastAsia="仿宋" w:cs="Times New Roman"/>
                <w:color w:val="auto"/>
                <w:kern w:val="0"/>
                <w:szCs w:val="21"/>
                <w:lang w:val="en-US" w:eastAsia="zh-CN"/>
              </w:rPr>
              <w:t>数据库、更新其他</w:t>
            </w:r>
            <w:r>
              <w:rPr>
                <w:rFonts w:hint="eastAsia" w:ascii="仿宋" w:hAnsi="仿宋" w:eastAsia="仿宋" w:cs="Times New Roman"/>
                <w:color w:val="auto"/>
                <w:kern w:val="0"/>
                <w:szCs w:val="21"/>
              </w:rPr>
              <w:t>成果，经采购方负责处室审查通过后</w:t>
            </w:r>
            <w:r>
              <w:rPr>
                <w:rFonts w:ascii="仿宋" w:hAnsi="仿宋" w:eastAsia="仿宋" w:cs="宋体"/>
                <w:color w:val="auto"/>
                <w:kern w:val="0"/>
                <w:szCs w:val="21"/>
              </w:rPr>
              <w:t>2</w:t>
            </w:r>
            <w:r>
              <w:rPr>
                <w:rFonts w:hint="eastAsia" w:ascii="仿宋" w:hAnsi="仿宋" w:eastAsia="仿宋" w:cs="宋体"/>
                <w:color w:val="auto"/>
                <w:kern w:val="0"/>
                <w:szCs w:val="21"/>
              </w:rPr>
              <w:t>0个工作日内支付</w:t>
            </w:r>
            <w:r>
              <w:rPr>
                <w:rFonts w:hint="eastAsia" w:ascii="仿宋" w:hAnsi="仿宋" w:eastAsia="仿宋" w:cs="Times New Roman"/>
                <w:color w:val="auto"/>
                <w:kern w:val="0"/>
                <w:szCs w:val="21"/>
              </w:rPr>
              <w:t>，采购方按照合同要求支付中标方合同总价款的</w:t>
            </w:r>
            <w:r>
              <w:rPr>
                <w:rFonts w:hint="eastAsia" w:ascii="仿宋" w:hAnsi="仿宋" w:eastAsia="仿宋" w:cs="Times New Roman"/>
                <w:color w:val="auto"/>
                <w:kern w:val="0"/>
                <w:szCs w:val="21"/>
                <w:lang w:val="en-US" w:eastAsia="zh-CN"/>
              </w:rPr>
              <w:t>44.87</w:t>
            </w:r>
            <w:r>
              <w:rPr>
                <w:rFonts w:hint="eastAsia" w:ascii="仿宋" w:hAnsi="仿宋" w:eastAsia="仿宋" w:cs="Times New Roman"/>
                <w:color w:val="auto"/>
                <w:kern w:val="0"/>
                <w:szCs w:val="21"/>
              </w:rPr>
              <w:t>%；</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尾款：中标方提交完成本项目全部成果，并通过采购方成果验收后</w:t>
            </w:r>
            <w:r>
              <w:rPr>
                <w:rFonts w:ascii="仿宋" w:hAnsi="仿宋" w:eastAsia="仿宋" w:cs="宋体"/>
                <w:color w:val="auto"/>
                <w:kern w:val="0"/>
                <w:szCs w:val="21"/>
              </w:rPr>
              <w:t>2</w:t>
            </w:r>
            <w:r>
              <w:rPr>
                <w:rFonts w:hint="eastAsia" w:ascii="仿宋" w:hAnsi="仿宋" w:eastAsia="仿宋" w:cs="宋体"/>
                <w:color w:val="auto"/>
                <w:kern w:val="0"/>
                <w:szCs w:val="21"/>
              </w:rPr>
              <w:t>0个工作日内</w:t>
            </w:r>
            <w:r>
              <w:rPr>
                <w:rFonts w:hint="eastAsia" w:ascii="仿宋" w:hAnsi="仿宋" w:eastAsia="仿宋" w:cs="Times New Roman"/>
                <w:color w:val="auto"/>
                <w:kern w:val="0"/>
                <w:szCs w:val="21"/>
              </w:rPr>
              <w:t>，采购方按照合同要求支付中标方合同总价款的</w:t>
            </w:r>
            <w:r>
              <w:rPr>
                <w:rFonts w:hint="eastAsia" w:ascii="仿宋" w:hAnsi="仿宋" w:eastAsia="仿宋" w:cs="Times New Roman"/>
                <w:color w:val="auto"/>
                <w:kern w:val="0"/>
                <w:szCs w:val="21"/>
                <w:lang w:val="en-US" w:eastAsia="zh-CN"/>
              </w:rPr>
              <w:t>35.13</w:t>
            </w:r>
            <w:r>
              <w:rPr>
                <w:rFonts w:hint="eastAsia" w:ascii="仿宋" w:hAnsi="仿宋" w:eastAsia="仿宋" w:cs="Times New Roman"/>
                <w:color w:val="auto"/>
                <w:kern w:val="0"/>
                <w:szCs w:val="21"/>
              </w:rPr>
              <w:t>%。</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*3、履约保证金</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履约保证金占合同金额的__0__%。</w:t>
            </w:r>
          </w:p>
          <w:p>
            <w:pPr>
              <w:widowControl w:val="0"/>
              <w:spacing w:before="61"/>
              <w:jc w:val="both"/>
              <w:rPr>
                <w:rFonts w:hint="eastAsia" w:ascii="仿宋" w:hAnsi="仿宋" w:eastAsia="仿宋" w:cs="Times New Roman"/>
                <w:color w:val="auto"/>
                <w:kern w:val="0"/>
                <w:szCs w:val="21"/>
              </w:rPr>
            </w:pPr>
            <w:r>
              <w:rPr>
                <w:rFonts w:hint="eastAsia" w:ascii="仿宋" w:hAnsi="仿宋" w:eastAsia="仿宋" w:cs="Times New Roman"/>
                <w:color w:val="auto"/>
                <w:kern w:val="0"/>
                <w:szCs w:val="21"/>
              </w:rPr>
              <w:t>*4、违约责任</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4.1采购方的责任</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1）合同签订后，中标方未展开工作前，由于采购方项目停止或其他自身原因而终止合同的，采购方偿付中标方合同总价款的 5 % ，人民币</w:t>
            </w:r>
            <w:r>
              <w:rPr>
                <w:rFonts w:hint="eastAsia" w:ascii="仿宋" w:hAnsi="仿宋" w:eastAsia="仿宋" w:cs="Times New Roman"/>
                <w:color w:val="auto"/>
                <w:kern w:val="0"/>
                <w:szCs w:val="21"/>
                <w:lang w:val="en-US" w:eastAsia="zh-CN"/>
              </w:rPr>
              <w:t xml:space="preserve"> </w:t>
            </w:r>
            <w:r>
              <w:rPr>
                <w:rFonts w:ascii="仿宋" w:hAnsi="仿宋" w:eastAsia="仿宋" w:cs="Times New Roman"/>
                <w:color w:val="auto"/>
                <w:kern w:val="0"/>
                <w:szCs w:val="21"/>
              </w:rPr>
              <w:t>元；中标方已展开工作的，采购方应按完成的实际工作量支付项目价款，并按合同总价款的 5  %向中标方支付有违约金。</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2）采购方无正当理由拒不接受服务、拒付合同价款，中标方有权要求采购方接受服务并支付应付的合同价款。采购方应向中标方支付本合同约定的合同总价款的  5  %作为违约金。</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3）采购方变更委托项目内容、规模、条件，或对所提供资料作较大修改时，应于确定修改之日起  7 个工作日内告知中标方。因以上原因造成中标方返工，工作量按本合同规定的计费标准计算未超过合同总价款的  5 %时，中标方予以免费返工；工作量按本合同规定的计费标准计算超过合同总价款的 5  %但未超过  30 %时，采购方应按中标方返工所耗工作量向中标方支付返工费；工作量按本合同规定的计费标准计算达到或超过合同总价款的 30  %时，双方应协商签订补充协议或另行签订合同，重新明确有关条款。</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4）采购方未按本合同约定，延迟或未足额支付合同价款的，中标方有权要求采购方支付该阶段未付合同价款每日 0.5  ‰的逾期违约金，逾期违约金总额不超过合同总价款的  30 %，且中标方提交成果的时间顺延。逾期超过  30 个工作日（含   30个工作日）以上时，中标方有权暂停履行下阶段工作，并书面通知采购方。因政府内部付款审批原因导致采购方迟延付款的，不视为采购方逾期付款。</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4.2中标方的责任</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1）合同签订后，如中标方擅自中途终止或解除合同，中标方向采购方赔偿合同总价款的5 %，人民币</w:t>
            </w:r>
            <w:r>
              <w:rPr>
                <w:rFonts w:hint="eastAsia" w:ascii="仿宋" w:hAnsi="仿宋" w:eastAsia="仿宋" w:cs="Times New Roman"/>
                <w:color w:val="auto"/>
                <w:kern w:val="0"/>
                <w:szCs w:val="21"/>
                <w:lang w:val="en-US" w:eastAsia="zh-CN"/>
              </w:rPr>
              <w:t xml:space="preserve"> </w:t>
            </w:r>
            <w:r>
              <w:rPr>
                <w:rFonts w:ascii="仿宋" w:hAnsi="仿宋" w:eastAsia="仿宋" w:cs="Times New Roman"/>
                <w:color w:val="auto"/>
                <w:kern w:val="0"/>
                <w:szCs w:val="21"/>
              </w:rPr>
              <w:t>元，并归还采购方预付的全部项目款。</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2）未经采购方许可，中标方将本合同项目与第三方合作，或将本合同标的的全部或部分擅自转包给第三方的，采购方有权要求中标方终止与第三方的合同。中标方应承担因此而产生的相关责任，并应向采购方支付本合同总价款的 5  %的违约金。</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3）如中标方因自身原因不能履行合同义务或无法按照本合同的约定提供服务，采购方有权终止合同，损失由中标方承担，中标方应向采购方支付本合同总价款的 5  %的违约金，同时要求中标方退回全部已收合同款项。</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4）中标方无正当理由不按照本合同的约定提供服务或者违反规定的义务，采购方有权要求中标方退还部分或者全部已付的合同款项，并应向采购方支付本合同总价款的  0.5 %的违约金。</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5）本合同履行期间，中标方因自身原因未能按合同约定的日期(含协商延缓的日期)提交项目成果和造成验收时间延后，检测、验收中的产品更改费由中标方承担。给采购方造成损失的，损害由中标方承担，每逾期一天须支付给采购方合同总价款的  0.5 ‰作为违约金，逾期违约金总额不超过合同总价款的 10  %。</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6）由于中标方工作的错误或遗漏造成项目成果验收不合格的，采购方给予中标方一定的宽限期，中标方应在宽限期内无偿予以重新开展工作或采取补救措施，以达到质量要求，且应免收受损失部分的合同价款，并支付合同总价款  5  %的违约金。如采购方提出异议后中标方不作答复或者无理由推脱的或中标方无法在宽限期内完成整改的，采购方有权终止合同，损失由中标方承担，中标方须退回合同全额费用，并要求中标方支付合同总价款5 %的违约金。因项目成果不符合合同要求给采购方造成损失的，中标方应负全部责任。</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7）中标方未按本合同的约定，擅自修改已经提交验收的成果文件的，应承担因此产生的一切后果，并赔偿采购方合同总价款  5 %的违约金。</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8）中标方组织的项目组成员不符合本合同约定的工作内容和技术要求，或未经采购方同意，中标方擅自变更约定的项目组主要成员，采购方有权责成中标方采取补救措施或调整项目组主要成员构成。</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9）本项目最终成果验收后 1年以内，中标方未按采购方要求就本项目提供必要解释和接受咨询的，采购方可要求中标方承担合同总价款5 %的违约金，上述违约金可以在支付合同款项时优先予以扣除。</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10）合同履行期间，中标方承担第三方委托的本项目范围内有利益冲突的其他项目，一经发现，无论合同正在履行或已履行完毕，采购方均有权追究中标方责任，并要求中标方支付合同总价款5 %的违约金。</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11）如中标方提交的服务成果侵犯第三方合法权益的，一切法律责任均由中标方承担，同时中标方保证采购方在第三方主张权益时免受损失，并赔偿采购方合同总价款10%的违约金。</w:t>
            </w:r>
          </w:p>
          <w:p>
            <w:pPr>
              <w:pStyle w:val="2"/>
              <w:rPr>
                <w:rFonts w:ascii="仿宋" w:hAnsi="仿宋" w:eastAsia="仿宋" w:cs="Times New Roman"/>
                <w:bCs w:val="0"/>
                <w:color w:val="auto"/>
                <w:spacing w:val="0"/>
                <w:kern w:val="0"/>
                <w:sz w:val="21"/>
                <w:szCs w:val="21"/>
                <w:lang w:val="en-US" w:eastAsia="zh-CN" w:bidi="ar-SA"/>
              </w:rPr>
            </w:pPr>
            <w:r>
              <w:rPr>
                <w:rFonts w:ascii="仿宋" w:hAnsi="仿宋" w:eastAsia="仿宋" w:cs="Times New Roman"/>
                <w:bCs w:val="0"/>
                <w:color w:val="auto"/>
                <w:spacing w:val="0"/>
                <w:kern w:val="0"/>
                <w:sz w:val="21"/>
                <w:szCs w:val="21"/>
                <w:lang w:val="en-US" w:eastAsia="zh-CN" w:bidi="ar-SA"/>
              </w:rPr>
              <w:t>12）中标方因过错导致采购方蒙受重大经济损失，中标方应当承担赔偿责任。</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*5、服务质量监督和项目验收要求</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1）售后服务期限从最终成果验收程序后1年以内，中标方应配合采购方就本项目提供必要的解释和咨询。若国家有明确规定的质量保证期高于此质量保证期的，执行国家规定。</w:t>
            </w:r>
          </w:p>
          <w:p>
            <w:pPr>
              <w:widowControl w:val="0"/>
              <w:spacing w:before="61"/>
              <w:jc w:val="both"/>
              <w:rPr>
                <w:rFonts w:ascii="仿宋" w:hAnsi="仿宋" w:eastAsia="仿宋" w:cs="Times New Roman"/>
                <w:color w:val="auto"/>
                <w:kern w:val="0"/>
                <w:szCs w:val="21"/>
              </w:rPr>
            </w:pPr>
            <w:r>
              <w:rPr>
                <w:rFonts w:ascii="仿宋" w:hAnsi="仿宋" w:eastAsia="仿宋" w:cs="Times New Roman"/>
                <w:color w:val="auto"/>
                <w:kern w:val="0"/>
                <w:szCs w:val="21"/>
              </w:rPr>
              <w:t>2）安排专人负责售后技术支持，并提供其联系手机、电话、传真、email；如人员需要调整应及时通知采购人。</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Times New Roman"/>
                <w:color w:val="auto"/>
                <w:kern w:val="0"/>
                <w:szCs w:val="21"/>
              </w:rPr>
              <w:t>3）项目应严格落实部、省关于耕地资源质量分类更新与监测工作要求，最终成果应通过部、省级检查验收。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466"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具体技术要求</w:t>
            </w:r>
          </w:p>
        </w:tc>
        <w:tc>
          <w:tcPr>
            <w:tcW w:w="7501" w:type="dxa"/>
            <w:gridSpan w:val="4"/>
            <w:noWrap w:val="0"/>
            <w:vAlign w:val="top"/>
          </w:tcPr>
          <w:p>
            <w:pPr>
              <w:keepNext w:val="0"/>
              <w:keepLines w:val="0"/>
              <w:pageBreakBefore w:val="0"/>
              <w:widowControl w:val="0"/>
              <w:numPr>
                <w:ilvl w:val="0"/>
                <w:numId w:val="0"/>
              </w:numPr>
              <w:kinsoku/>
              <w:overflowPunct/>
              <w:topLinePunct w:val="0"/>
              <w:autoSpaceDE/>
              <w:autoSpaceDN/>
              <w:bidi w:val="0"/>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提供服务总体要求、服务标的（如人员、车辆、检测对象、管理对象）数量情况、详细具体的服务需求内容及工作量情况（以能给供应商准确的报价依据，使不同供应商的项目报价不至于差距过大作为判断需求“详细具体”的标准）</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一、总体要求</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（一）项目成果要严格依照国家</w:t>
            </w:r>
            <w:r>
              <w:rPr>
                <w:rFonts w:hint="eastAsia" w:ascii="仿宋" w:hAnsi="仿宋" w:eastAsia="仿宋" w:cs="Times New Roman"/>
                <w:color w:val="auto"/>
                <w:kern w:val="0"/>
                <w:szCs w:val="21"/>
                <w:lang w:eastAsia="zh-CN"/>
              </w:rPr>
              <w:t>、</w:t>
            </w:r>
            <w:r>
              <w:rPr>
                <w:rFonts w:hint="eastAsia" w:ascii="仿宋" w:hAnsi="仿宋" w:eastAsia="仿宋" w:cs="Times New Roman"/>
                <w:color w:val="auto"/>
                <w:kern w:val="0"/>
                <w:szCs w:val="21"/>
                <w:lang w:val="en-US" w:eastAsia="zh-CN"/>
              </w:rPr>
              <w:t>省</w:t>
            </w:r>
            <w:r>
              <w:rPr>
                <w:rFonts w:hint="eastAsia" w:ascii="仿宋" w:hAnsi="仿宋" w:eastAsia="仿宋" w:cs="Times New Roman"/>
                <w:color w:val="auto"/>
                <w:kern w:val="0"/>
                <w:szCs w:val="21"/>
              </w:rPr>
              <w:t>颁布的有关法律、法规及政策要求，符合相关的技术规范和标准；</w:t>
            </w:r>
          </w:p>
          <w:p>
            <w:pPr>
              <w:widowControl w:val="0"/>
              <w:spacing w:before="61"/>
              <w:jc w:val="both"/>
              <w:rPr>
                <w:rFonts w:ascii="仿宋" w:hAnsi="仿宋" w:eastAsia="仿宋" w:cs="Times New Roman"/>
                <w:color w:val="auto"/>
                <w:kern w:val="0"/>
                <w:szCs w:val="21"/>
              </w:rPr>
            </w:pPr>
            <w:r>
              <w:rPr>
                <w:rFonts w:hint="eastAsia" w:ascii="仿宋" w:hAnsi="仿宋" w:eastAsia="仿宋" w:cs="Times New Roman"/>
                <w:color w:val="auto"/>
                <w:kern w:val="0"/>
                <w:szCs w:val="21"/>
              </w:rPr>
              <w:t>（二）有</w:t>
            </w:r>
            <w:r>
              <w:rPr>
                <w:rFonts w:hint="eastAsia" w:ascii="仿宋" w:hAnsi="仿宋" w:eastAsia="仿宋" w:cs="Times New Roman"/>
                <w:color w:val="auto"/>
                <w:kern w:val="0"/>
                <w:szCs w:val="21"/>
                <w:lang w:val="en-US" w:eastAsia="zh-CN"/>
              </w:rPr>
              <w:t>五年以上（含五年）</w:t>
            </w:r>
            <w:r>
              <w:rPr>
                <w:rFonts w:hint="eastAsia" w:ascii="仿宋" w:hAnsi="仿宋" w:eastAsia="仿宋" w:cs="Times New Roman"/>
                <w:color w:val="auto"/>
                <w:kern w:val="0"/>
                <w:szCs w:val="21"/>
              </w:rPr>
              <w:t>的</w:t>
            </w:r>
            <w:r>
              <w:rPr>
                <w:rFonts w:hint="eastAsia" w:ascii="仿宋" w:hAnsi="仿宋" w:eastAsia="仿宋" w:cs="仿宋"/>
                <w:color w:val="auto"/>
                <w:szCs w:val="21"/>
                <w:highlight w:val="none"/>
              </w:rPr>
              <w:t>规划和国土行业</w:t>
            </w:r>
            <w:r>
              <w:rPr>
                <w:rFonts w:hint="eastAsia" w:ascii="仿宋" w:hAnsi="仿宋" w:eastAsia="仿宋" w:cs="Times New Roman"/>
                <w:color w:val="auto"/>
                <w:kern w:val="0"/>
                <w:szCs w:val="21"/>
              </w:rPr>
              <w:t>管理/工作经验，了解和熟悉耕地和永久基本农田保护</w:t>
            </w:r>
            <w:r>
              <w:rPr>
                <w:rFonts w:hint="eastAsia" w:ascii="仿宋" w:hAnsi="仿宋" w:eastAsia="仿宋" w:cs="Times New Roman"/>
                <w:color w:val="auto"/>
                <w:kern w:val="0"/>
                <w:szCs w:val="21"/>
                <w:lang w:eastAsia="zh-CN"/>
              </w:rPr>
              <w:t>、</w:t>
            </w:r>
            <w:r>
              <w:rPr>
                <w:rFonts w:hint="eastAsia" w:ascii="仿宋" w:hAnsi="仿宋" w:eastAsia="仿宋" w:cs="Times New Roman"/>
                <w:color w:val="auto"/>
                <w:kern w:val="0"/>
                <w:szCs w:val="21"/>
              </w:rPr>
              <w:t>耕地资源质量分类</w:t>
            </w:r>
            <w:r>
              <w:rPr>
                <w:rFonts w:hint="eastAsia" w:ascii="仿宋" w:hAnsi="仿宋" w:eastAsia="仿宋" w:cs="Times New Roman"/>
                <w:color w:val="auto"/>
                <w:kern w:val="0"/>
                <w:szCs w:val="21"/>
                <w:lang w:val="en-US" w:eastAsia="zh-CN"/>
              </w:rPr>
              <w:t>等</w:t>
            </w:r>
            <w:r>
              <w:rPr>
                <w:rFonts w:hint="eastAsia" w:ascii="仿宋" w:hAnsi="仿宋" w:eastAsia="仿宋" w:cs="Times New Roman"/>
                <w:color w:val="auto"/>
                <w:kern w:val="0"/>
                <w:szCs w:val="21"/>
              </w:rPr>
              <w:t>政策要求。</w:t>
            </w:r>
          </w:p>
          <w:p>
            <w:pPr>
              <w:widowControl w:val="0"/>
              <w:spacing w:before="61"/>
              <w:jc w:val="both"/>
              <w:rPr>
                <w:rFonts w:ascii="仿宋" w:hAnsi="仿宋" w:eastAsia="仿宋" w:cs="仿宋"/>
                <w:color w:val="auto"/>
                <w:kern w:val="0"/>
                <w:szCs w:val="21"/>
              </w:rPr>
            </w:pPr>
            <w:r>
              <w:rPr>
                <w:rFonts w:hint="eastAsia" w:ascii="仿宋" w:hAnsi="仿宋" w:eastAsia="仿宋" w:cs="仿宋"/>
                <w:color w:val="auto"/>
                <w:kern w:val="0"/>
                <w:szCs w:val="21"/>
              </w:rPr>
              <w:t>二、工作内容</w:t>
            </w:r>
          </w:p>
          <w:p>
            <w:pPr>
              <w:pStyle w:val="11"/>
              <w:ind w:firstLine="420" w:firstLineChars="200"/>
              <w:rPr>
                <w:color w:val="auto"/>
              </w:rPr>
            </w:pPr>
            <w:r>
              <w:rPr>
                <w:rFonts w:hint="eastAsia" w:ascii="仿宋" w:hAnsi="仿宋" w:eastAsia="仿宋" w:cs="仿宋"/>
                <w:color w:val="auto"/>
                <w:kern w:val="0"/>
                <w:sz w:val="21"/>
                <w:szCs w:val="21"/>
              </w:rPr>
              <w:t>内容主要包括两部分：</w:t>
            </w:r>
          </w:p>
          <w:p>
            <w:pPr>
              <w:spacing w:line="360" w:lineRule="auto"/>
              <w:ind w:firstLine="388" w:firstLineChars="200"/>
              <w:jc w:val="both"/>
              <w:outlineLvl w:val="1"/>
              <w:rPr>
                <w:rFonts w:ascii="仿宋" w:hAnsi="仿宋" w:eastAsia="仿宋" w:cs="仿宋"/>
                <w:color w:val="auto"/>
                <w:spacing w:val="-8"/>
                <w:szCs w:val="21"/>
              </w:rPr>
            </w:pPr>
            <w:r>
              <w:rPr>
                <w:rFonts w:hint="eastAsia" w:ascii="仿宋" w:hAnsi="仿宋" w:eastAsia="仿宋" w:cs="仿宋"/>
                <w:color w:val="auto"/>
                <w:spacing w:val="-8"/>
                <w:szCs w:val="21"/>
              </w:rPr>
              <w:t>（一）耕地资源质量分类更新</w:t>
            </w:r>
          </w:p>
          <w:p>
            <w:pPr>
              <w:pStyle w:val="11"/>
              <w:widowControl w:val="0"/>
              <w:spacing w:line="360" w:lineRule="auto"/>
              <w:ind w:firstLine="388" w:firstLineChars="200"/>
              <w:rPr>
                <w:rFonts w:ascii="仿宋" w:hAnsi="仿宋" w:eastAsia="仿宋" w:cs="仿宋"/>
                <w:color w:val="auto"/>
                <w:spacing w:val="-8"/>
                <w:sz w:val="21"/>
                <w:szCs w:val="21"/>
              </w:rPr>
            </w:pPr>
            <w:r>
              <w:rPr>
                <w:rFonts w:hint="eastAsia" w:ascii="仿宋" w:hAnsi="仿宋" w:eastAsia="仿宋" w:cs="仿宋"/>
                <w:color w:val="auto"/>
                <w:spacing w:val="-8"/>
                <w:sz w:val="21"/>
                <w:szCs w:val="21"/>
              </w:rPr>
              <w:t>具体工作内容包括：</w:t>
            </w:r>
          </w:p>
          <w:p>
            <w:pPr>
              <w:pStyle w:val="11"/>
              <w:widowControl w:val="0"/>
              <w:spacing w:line="360" w:lineRule="auto"/>
              <w:ind w:firstLine="388" w:firstLineChars="200"/>
              <w:rPr>
                <w:rFonts w:ascii="仿宋" w:hAnsi="仿宋" w:eastAsia="仿宋" w:cs="仿宋"/>
                <w:color w:val="auto"/>
                <w:spacing w:val="-8"/>
                <w:sz w:val="21"/>
                <w:szCs w:val="21"/>
              </w:rPr>
            </w:pPr>
            <w:r>
              <w:rPr>
                <w:rFonts w:hint="eastAsia" w:ascii="仿宋" w:hAnsi="仿宋" w:eastAsia="仿宋" w:cs="仿宋"/>
                <w:color w:val="auto"/>
                <w:spacing w:val="-8"/>
                <w:sz w:val="21"/>
                <w:szCs w:val="21"/>
              </w:rPr>
              <w:t>①基础资料收集。梳理耕地资源质量分类成果、国土变更调查数据、土地整治、高标准农田建设等基础数据，统计分析上一年度与本年度耕地和恢复地类土地利用现状变化情况，包括新增和二级地类变化耕地、新增恢复地类和恢复属性变化的地类图斑等，合并生成年度更新初始图层，作为工作底图数据。</w:t>
            </w:r>
          </w:p>
          <w:p>
            <w:pPr>
              <w:pStyle w:val="11"/>
              <w:widowControl w:val="0"/>
              <w:spacing w:line="360" w:lineRule="auto"/>
              <w:ind w:firstLine="388" w:firstLineChars="200"/>
              <w:rPr>
                <w:rFonts w:ascii="仿宋" w:hAnsi="仿宋" w:eastAsia="仿宋" w:cs="仿宋"/>
                <w:color w:val="auto"/>
                <w:spacing w:val="-8"/>
                <w:sz w:val="21"/>
                <w:szCs w:val="21"/>
              </w:rPr>
            </w:pPr>
            <w:r>
              <w:rPr>
                <w:rFonts w:hint="eastAsia" w:ascii="仿宋" w:hAnsi="仿宋" w:eastAsia="仿宋" w:cs="仿宋"/>
                <w:color w:val="auto"/>
                <w:spacing w:val="-8"/>
                <w:sz w:val="21"/>
                <w:szCs w:val="21"/>
              </w:rPr>
              <w:t>②布设样点。根据国家、省技术要求及区域耕地实际情况，布设我市耕地资源质量分类更新外业调查样点。</w:t>
            </w:r>
          </w:p>
          <w:p>
            <w:pPr>
              <w:pStyle w:val="11"/>
              <w:widowControl w:val="0"/>
              <w:spacing w:line="360" w:lineRule="auto"/>
              <w:ind w:firstLine="388" w:firstLineChars="200"/>
              <w:rPr>
                <w:rFonts w:ascii="仿宋" w:hAnsi="仿宋" w:eastAsia="仿宋" w:cs="仿宋"/>
                <w:color w:val="auto"/>
                <w:spacing w:val="-8"/>
                <w:sz w:val="21"/>
                <w:szCs w:val="21"/>
              </w:rPr>
            </w:pPr>
            <w:r>
              <w:rPr>
                <w:rFonts w:hint="eastAsia" w:ascii="仿宋" w:hAnsi="仿宋" w:eastAsia="仿宋" w:cs="仿宋"/>
                <w:color w:val="auto"/>
                <w:spacing w:val="-8"/>
                <w:sz w:val="21"/>
                <w:szCs w:val="21"/>
              </w:rPr>
              <w:t>③外业取土。委托具有测绘资质的专业机构开展，具体工作包括采集每个采样点表层土壤，现场测量土层厚度，形成有效土壤样品，实地拍摄地表景观照片及视频资料等。</w:t>
            </w:r>
          </w:p>
          <w:p>
            <w:pPr>
              <w:pStyle w:val="11"/>
              <w:widowControl w:val="0"/>
              <w:spacing w:line="360" w:lineRule="auto"/>
              <w:ind w:firstLine="388" w:firstLineChars="200"/>
              <w:rPr>
                <w:rFonts w:ascii="仿宋" w:hAnsi="仿宋" w:eastAsia="仿宋" w:cs="仿宋"/>
                <w:color w:val="auto"/>
                <w:spacing w:val="-8"/>
                <w:sz w:val="21"/>
                <w:szCs w:val="21"/>
              </w:rPr>
            </w:pPr>
            <w:r>
              <w:rPr>
                <w:rFonts w:hint="eastAsia" w:ascii="仿宋" w:hAnsi="仿宋" w:eastAsia="仿宋" w:cs="仿宋"/>
                <w:color w:val="auto"/>
                <w:spacing w:val="-8"/>
                <w:sz w:val="21"/>
                <w:szCs w:val="21"/>
              </w:rPr>
              <w:t>④土壤检测。委托具有土壤检测资质的专业机构开展，具体工作包括对土壤样品的有机质含量、pH值、土壤质地等指标进行检测。</w:t>
            </w:r>
          </w:p>
          <w:p>
            <w:pPr>
              <w:pStyle w:val="11"/>
              <w:widowControl w:val="0"/>
              <w:spacing w:line="360" w:lineRule="auto"/>
              <w:ind w:firstLine="388" w:firstLineChars="200"/>
              <w:rPr>
                <w:rFonts w:ascii="仿宋" w:hAnsi="仿宋" w:eastAsia="仿宋" w:cs="仿宋"/>
                <w:color w:val="auto"/>
                <w:spacing w:val="-8"/>
                <w:sz w:val="21"/>
                <w:szCs w:val="21"/>
              </w:rPr>
            </w:pPr>
            <w:r>
              <w:rPr>
                <w:rFonts w:hint="eastAsia" w:ascii="仿宋" w:hAnsi="仿宋" w:eastAsia="仿宋" w:cs="仿宋"/>
                <w:color w:val="auto"/>
                <w:spacing w:val="-8"/>
                <w:sz w:val="21"/>
                <w:szCs w:val="21"/>
              </w:rPr>
              <w:t>⑤数据库构建。根据外业调查结果，将调查信息上传至“国土调查云”。结合内外业工作成果，对各项指标进行分析测算，生成耕地资源质量分类年度更新数据库。</w:t>
            </w:r>
          </w:p>
          <w:p>
            <w:pPr>
              <w:pStyle w:val="11"/>
              <w:widowControl w:val="0"/>
              <w:spacing w:line="360" w:lineRule="auto"/>
              <w:ind w:firstLine="388" w:firstLineChars="200"/>
              <w:rPr>
                <w:rFonts w:ascii="仿宋" w:hAnsi="仿宋" w:eastAsia="仿宋" w:cs="仿宋"/>
                <w:color w:val="auto"/>
                <w:sz w:val="21"/>
                <w:szCs w:val="21"/>
              </w:rPr>
            </w:pPr>
            <w:r>
              <w:rPr>
                <w:rFonts w:hint="eastAsia" w:ascii="仿宋" w:hAnsi="仿宋" w:eastAsia="仿宋" w:cs="仿宋"/>
                <w:color w:val="auto"/>
                <w:spacing w:val="-8"/>
                <w:sz w:val="21"/>
                <w:szCs w:val="21"/>
              </w:rPr>
              <w:t>⑥数据统计汇总与输出。根据国家、省技术要求，利用年度更新数据库开展相关分析，</w:t>
            </w:r>
            <w:r>
              <w:rPr>
                <w:rFonts w:hint="eastAsia" w:ascii="仿宋" w:hAnsi="仿宋" w:eastAsia="仿宋" w:cs="仿宋"/>
                <w:color w:val="auto"/>
                <w:spacing w:val="-8"/>
                <w:sz w:val="21"/>
                <w:szCs w:val="21"/>
                <w:lang w:val="en-US" w:eastAsia="zh-CN"/>
              </w:rPr>
              <w:t>形成</w:t>
            </w:r>
            <w:r>
              <w:rPr>
                <w:rFonts w:hint="eastAsia" w:ascii="仿宋" w:hAnsi="仿宋" w:eastAsia="仿宋" w:cs="仿宋"/>
                <w:color w:val="auto"/>
                <w:spacing w:val="-8"/>
                <w:sz w:val="21"/>
                <w:szCs w:val="21"/>
              </w:rPr>
              <w:t>报告</w:t>
            </w:r>
            <w:r>
              <w:rPr>
                <w:rFonts w:hint="eastAsia" w:ascii="仿宋" w:hAnsi="仿宋" w:eastAsia="仿宋" w:cs="仿宋"/>
                <w:color w:val="auto"/>
                <w:spacing w:val="-8"/>
                <w:sz w:val="21"/>
                <w:szCs w:val="21"/>
                <w:lang w:val="en-US" w:eastAsia="zh-CN"/>
              </w:rPr>
              <w:t>等成果</w:t>
            </w:r>
            <w:r>
              <w:rPr>
                <w:rFonts w:hint="eastAsia" w:ascii="仿宋" w:hAnsi="仿宋" w:eastAsia="仿宋" w:cs="仿宋"/>
                <w:color w:val="auto"/>
                <w:spacing w:val="-8"/>
                <w:sz w:val="21"/>
                <w:szCs w:val="21"/>
              </w:rPr>
              <w:t>。</w:t>
            </w:r>
          </w:p>
          <w:p>
            <w:pPr>
              <w:spacing w:line="360" w:lineRule="auto"/>
              <w:ind w:firstLine="388" w:firstLineChars="200"/>
              <w:outlineLvl w:val="1"/>
              <w:rPr>
                <w:rFonts w:ascii="仿宋" w:hAnsi="仿宋" w:eastAsia="仿宋" w:cs="仿宋"/>
                <w:color w:val="auto"/>
                <w:spacing w:val="-8"/>
                <w:szCs w:val="21"/>
              </w:rPr>
            </w:pPr>
            <w:r>
              <w:rPr>
                <w:rFonts w:hint="eastAsia" w:ascii="仿宋" w:hAnsi="仿宋" w:eastAsia="仿宋" w:cs="仿宋"/>
                <w:color w:val="auto"/>
                <w:spacing w:val="-8"/>
                <w:szCs w:val="21"/>
              </w:rPr>
              <w:t>（二）耕地资源质量分类监测</w:t>
            </w:r>
          </w:p>
          <w:p>
            <w:pPr>
              <w:spacing w:line="360" w:lineRule="auto"/>
              <w:ind w:firstLine="388" w:firstLineChars="200"/>
              <w:rPr>
                <w:rFonts w:ascii="仿宋" w:hAnsi="仿宋" w:eastAsia="仿宋" w:cs="仿宋"/>
                <w:color w:val="auto"/>
                <w:spacing w:val="-8"/>
                <w:szCs w:val="21"/>
              </w:rPr>
            </w:pPr>
            <w:r>
              <w:rPr>
                <w:rFonts w:hint="eastAsia" w:ascii="仿宋" w:hAnsi="仿宋" w:eastAsia="仿宋" w:cs="仿宋"/>
                <w:color w:val="auto"/>
                <w:spacing w:val="-8"/>
                <w:szCs w:val="21"/>
              </w:rPr>
              <w:t>具体工作内容包括：</w:t>
            </w:r>
          </w:p>
          <w:p>
            <w:pPr>
              <w:spacing w:line="360" w:lineRule="auto"/>
              <w:ind w:firstLine="388" w:firstLineChars="200"/>
              <w:rPr>
                <w:rFonts w:ascii="仿宋" w:hAnsi="仿宋" w:eastAsia="仿宋" w:cs="仿宋"/>
                <w:color w:val="auto"/>
                <w:spacing w:val="-8"/>
                <w:szCs w:val="21"/>
              </w:rPr>
            </w:pPr>
            <w:r>
              <w:rPr>
                <w:rFonts w:hint="eastAsia" w:ascii="仿宋" w:hAnsi="仿宋" w:eastAsia="仿宋" w:cs="仿宋"/>
                <w:color w:val="auto"/>
                <w:spacing w:val="-8"/>
                <w:szCs w:val="21"/>
              </w:rPr>
              <w:t>①布设样点。根据国家、省技术要求及区域耕地实际情况，布设我市耕地资源质量分类监测外业调查样点。</w:t>
            </w:r>
          </w:p>
          <w:p>
            <w:pPr>
              <w:spacing w:line="360" w:lineRule="auto"/>
              <w:ind w:firstLine="388" w:firstLineChars="200"/>
              <w:rPr>
                <w:rFonts w:ascii="仿宋" w:hAnsi="仿宋" w:eastAsia="仿宋" w:cs="仿宋"/>
                <w:color w:val="auto"/>
                <w:spacing w:val="-8"/>
                <w:szCs w:val="21"/>
              </w:rPr>
            </w:pPr>
            <w:r>
              <w:rPr>
                <w:rFonts w:hint="eastAsia" w:ascii="仿宋" w:hAnsi="仿宋" w:eastAsia="仿宋" w:cs="仿宋"/>
                <w:color w:val="auto"/>
                <w:spacing w:val="-8"/>
                <w:szCs w:val="21"/>
              </w:rPr>
              <w:t>②外业取土。委托具有测绘资质的专业机构开展，具体工作包括采集每个采样点表层土壤，现场测量土层厚度，形成有效土壤样品，实地拍摄地表景观照片及视频资料等。</w:t>
            </w:r>
          </w:p>
          <w:p>
            <w:pPr>
              <w:spacing w:line="360" w:lineRule="auto"/>
              <w:ind w:firstLine="388" w:firstLineChars="200"/>
              <w:rPr>
                <w:rFonts w:ascii="仿宋" w:hAnsi="仿宋" w:eastAsia="仿宋" w:cs="仿宋"/>
                <w:color w:val="auto"/>
                <w:spacing w:val="-8"/>
                <w:szCs w:val="21"/>
              </w:rPr>
            </w:pPr>
            <w:r>
              <w:rPr>
                <w:rFonts w:hint="eastAsia" w:ascii="仿宋" w:hAnsi="仿宋" w:eastAsia="仿宋" w:cs="仿宋"/>
                <w:color w:val="auto"/>
                <w:spacing w:val="-8"/>
                <w:szCs w:val="21"/>
              </w:rPr>
              <w:t>③土壤检测。委托具有土壤检测资质的专业机构开展，具体工作包括对土壤样品的有机质含量、pH值、土壤质地等指标进行检测。</w:t>
            </w:r>
          </w:p>
          <w:p>
            <w:pPr>
              <w:spacing w:line="360" w:lineRule="auto"/>
              <w:ind w:firstLine="388" w:firstLineChars="200"/>
              <w:rPr>
                <w:rFonts w:ascii="仿宋" w:hAnsi="仿宋" w:eastAsia="仿宋" w:cs="仿宋"/>
                <w:color w:val="auto"/>
                <w:spacing w:val="-8"/>
                <w:szCs w:val="21"/>
              </w:rPr>
            </w:pPr>
            <w:r>
              <w:rPr>
                <w:rFonts w:hint="eastAsia" w:ascii="仿宋" w:hAnsi="仿宋" w:eastAsia="仿宋" w:cs="仿宋"/>
                <w:color w:val="auto"/>
                <w:spacing w:val="-8"/>
                <w:szCs w:val="21"/>
              </w:rPr>
              <w:t>④数据库构建。根据外业调查结果，将调查信息上传至“国土调查云”。结合内外业工作成果，对各项指标进行分析测算，生成耕地资源质量分类年度监测数据库。</w:t>
            </w:r>
          </w:p>
          <w:p>
            <w:pPr>
              <w:spacing w:line="360" w:lineRule="auto"/>
              <w:ind w:firstLine="388" w:firstLineChars="200"/>
              <w:rPr>
                <w:rFonts w:ascii="仿宋" w:hAnsi="仿宋" w:eastAsia="仿宋" w:cs="仿宋"/>
                <w:color w:val="auto"/>
                <w:szCs w:val="21"/>
              </w:rPr>
            </w:pPr>
            <w:r>
              <w:rPr>
                <w:rFonts w:hint="eastAsia" w:ascii="仿宋" w:hAnsi="仿宋" w:eastAsia="仿宋" w:cs="仿宋"/>
                <w:color w:val="auto"/>
                <w:spacing w:val="-8"/>
                <w:szCs w:val="21"/>
              </w:rPr>
              <w:t>⑤数据统计汇总与输出。根据国家、省技术要求，利用年度监测数据库开展相关分析，撰写报告，制作相关汇总表。</w:t>
            </w:r>
          </w:p>
          <w:p>
            <w:pPr>
              <w:widowControl w:val="0"/>
              <w:spacing w:before="61"/>
              <w:jc w:val="both"/>
              <w:rPr>
                <w:rFonts w:ascii="仿宋" w:hAnsi="仿宋" w:eastAsia="仿宋" w:cs="仿宋"/>
                <w:color w:val="auto"/>
                <w:kern w:val="0"/>
                <w:szCs w:val="21"/>
              </w:rPr>
            </w:pPr>
            <w:r>
              <w:rPr>
                <w:rFonts w:hint="eastAsia" w:ascii="仿宋" w:hAnsi="仿宋" w:eastAsia="仿宋" w:cs="仿宋"/>
                <w:color w:val="auto"/>
                <w:kern w:val="0"/>
                <w:szCs w:val="21"/>
              </w:rPr>
              <w:t>三、提交成果</w:t>
            </w:r>
          </w:p>
          <w:p>
            <w:pPr>
              <w:pStyle w:val="11"/>
              <w:widowControl w:val="0"/>
              <w:spacing w:line="360" w:lineRule="auto"/>
              <w:ind w:firstLine="388" w:firstLineChars="200"/>
              <w:rPr>
                <w:rFonts w:ascii="仿宋" w:hAnsi="仿宋" w:eastAsia="仿宋" w:cs="仿宋"/>
                <w:color w:val="auto"/>
                <w:spacing w:val="-8"/>
                <w:sz w:val="21"/>
                <w:szCs w:val="21"/>
              </w:rPr>
            </w:pPr>
            <w:r>
              <w:rPr>
                <w:rFonts w:hint="eastAsia" w:ascii="仿宋" w:hAnsi="仿宋" w:eastAsia="仿宋" w:cs="仿宋"/>
                <w:color w:val="auto"/>
                <w:spacing w:val="-8"/>
                <w:sz w:val="21"/>
                <w:szCs w:val="21"/>
              </w:rPr>
              <w:t>预期成果包括市、区两级，市级成果包括分析报告、汇总表</w:t>
            </w:r>
            <w:r>
              <w:rPr>
                <w:rFonts w:hint="eastAsia" w:ascii="仿宋" w:hAnsi="仿宋" w:eastAsia="仿宋" w:cs="仿宋"/>
                <w:color w:val="auto"/>
                <w:spacing w:val="-8"/>
                <w:sz w:val="21"/>
                <w:szCs w:val="21"/>
                <w:lang w:eastAsia="zh-CN"/>
              </w:rPr>
              <w:t>、</w:t>
            </w:r>
            <w:r>
              <w:rPr>
                <w:rFonts w:hint="eastAsia" w:ascii="仿宋" w:hAnsi="仿宋" w:eastAsia="仿宋" w:cs="仿宋"/>
                <w:color w:val="auto"/>
                <w:spacing w:val="-8"/>
                <w:sz w:val="21"/>
                <w:szCs w:val="21"/>
                <w:lang w:val="en-US" w:eastAsia="zh-CN"/>
              </w:rPr>
              <w:t>数据说明文件</w:t>
            </w:r>
            <w:r>
              <w:rPr>
                <w:rFonts w:hint="eastAsia" w:ascii="仿宋" w:hAnsi="仿宋" w:eastAsia="仿宋" w:cs="仿宋"/>
                <w:color w:val="auto"/>
                <w:spacing w:val="-8"/>
                <w:sz w:val="21"/>
                <w:szCs w:val="21"/>
              </w:rPr>
              <w:t>，区级成果包括分析报告、汇总表、数据库、其他成果。</w:t>
            </w:r>
          </w:p>
          <w:tbl>
            <w:tblPr>
              <w:tblStyle w:val="9"/>
              <w:tblW w:w="6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1117"/>
              <w:gridCol w:w="5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blHeader/>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eastAsia="仿宋_GB2312"/>
                      <w:b/>
                      <w:color w:val="auto"/>
                      <w:sz w:val="18"/>
                      <w:szCs w:val="18"/>
                    </w:rPr>
                  </w:pPr>
                  <w:r>
                    <w:rPr>
                      <w:rFonts w:hint="eastAsia" w:ascii="仿宋_GB2312" w:eastAsia="仿宋_GB2312"/>
                      <w:b/>
                      <w:color w:val="auto"/>
                      <w:sz w:val="18"/>
                      <w:szCs w:val="18"/>
                    </w:rPr>
                    <w:t>序号</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b/>
                      <w:color w:val="auto"/>
                      <w:sz w:val="18"/>
                      <w:szCs w:val="18"/>
                    </w:rPr>
                  </w:pPr>
                  <w:r>
                    <w:rPr>
                      <w:rFonts w:hint="eastAsia" w:ascii="仿宋_GB2312" w:eastAsia="仿宋_GB2312"/>
                      <w:b/>
                      <w:color w:val="auto"/>
                      <w:sz w:val="18"/>
                      <w:szCs w:val="18"/>
                    </w:rPr>
                    <w:t>行政区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b/>
                      <w:color w:val="auto"/>
                      <w:sz w:val="18"/>
                      <w:szCs w:val="18"/>
                    </w:rPr>
                  </w:pPr>
                  <w:r>
                    <w:rPr>
                      <w:rFonts w:hint="eastAsia" w:ascii="仿宋_GB2312" w:eastAsia="仿宋_GB2312"/>
                      <w:b/>
                      <w:color w:val="auto"/>
                      <w:sz w:val="18"/>
                      <w:szCs w:val="18"/>
                    </w:rPr>
                    <w:t>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1</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罗湖区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w:t>
                  </w:r>
                  <w:r>
                    <w:rPr>
                      <w:rFonts w:hint="eastAsia" w:ascii="仿宋_GB2312" w:hAnsi="Arial" w:eastAsia="仿宋_GB2312"/>
                      <w:color w:val="auto"/>
                      <w:sz w:val="18"/>
                      <w:szCs w:val="18"/>
                      <w:lang w:val="en-US" w:eastAsia="zh-CN"/>
                    </w:rPr>
                    <w:t>罗湖</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w:t>
                  </w:r>
                  <w:r>
                    <w:rPr>
                      <w:rFonts w:hint="eastAsia" w:ascii="仿宋_GB2312" w:hAnsi="Arial" w:eastAsia="仿宋_GB2312"/>
                      <w:color w:val="auto"/>
                      <w:sz w:val="18"/>
                      <w:szCs w:val="18"/>
                      <w:lang w:val="en-US" w:eastAsia="zh-CN"/>
                    </w:rPr>
                    <w:t>罗湖</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年耕地资源质量分类监测结果汇总表；</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罗湖</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4</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罗湖</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5</w:t>
                  </w:r>
                  <w:r>
                    <w:rPr>
                      <w:rFonts w:ascii="仿宋_GB2312" w:hAnsi="Arial" w:eastAsia="仿宋_GB2312"/>
                      <w:color w:val="auto"/>
                      <w:sz w:val="18"/>
                      <w:szCs w:val="18"/>
                    </w:rPr>
                    <w:t>.</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罗湖</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6</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罗湖</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2</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南山区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w:t>
                  </w:r>
                  <w:r>
                    <w:rPr>
                      <w:rFonts w:hint="eastAsia" w:ascii="仿宋_GB2312" w:hAnsi="Arial" w:eastAsia="仿宋_GB2312"/>
                      <w:color w:val="auto"/>
                      <w:sz w:val="18"/>
                      <w:szCs w:val="18"/>
                      <w:lang w:val="en-US" w:eastAsia="zh-CN"/>
                    </w:rPr>
                    <w:t>南山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w:t>
                  </w:r>
                  <w:r>
                    <w:rPr>
                      <w:rFonts w:hint="eastAsia" w:ascii="仿宋_GB2312" w:hAnsi="Arial" w:eastAsia="仿宋_GB2312"/>
                      <w:color w:val="auto"/>
                      <w:sz w:val="18"/>
                      <w:szCs w:val="18"/>
                      <w:lang w:val="en-US" w:eastAsia="zh-CN"/>
                    </w:rPr>
                    <w:t>南山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年耕地资源质量分类监测结果汇总表；</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南山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4</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南山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5</w:t>
                  </w:r>
                  <w:r>
                    <w:rPr>
                      <w:rFonts w:ascii="仿宋_GB2312" w:hAnsi="Arial" w:eastAsia="仿宋_GB2312"/>
                      <w:color w:val="auto"/>
                      <w:sz w:val="18"/>
                      <w:szCs w:val="18"/>
                    </w:rPr>
                    <w:t>.</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南山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6</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南山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3</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坪山区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w:t>
                  </w:r>
                  <w:r>
                    <w:rPr>
                      <w:rFonts w:hint="eastAsia" w:ascii="仿宋_GB2312" w:hAnsi="Arial" w:eastAsia="仿宋_GB2312"/>
                      <w:color w:val="auto"/>
                      <w:sz w:val="18"/>
                      <w:szCs w:val="18"/>
                      <w:lang w:val="en-US" w:eastAsia="zh-CN"/>
                    </w:rPr>
                    <w:t>坪山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w:t>
                  </w:r>
                  <w:r>
                    <w:rPr>
                      <w:rFonts w:hint="eastAsia" w:ascii="仿宋_GB2312" w:hAnsi="Arial" w:eastAsia="仿宋_GB2312"/>
                      <w:color w:val="auto"/>
                      <w:sz w:val="18"/>
                      <w:szCs w:val="18"/>
                      <w:lang w:val="en-US" w:eastAsia="zh-CN"/>
                    </w:rPr>
                    <w:t>坪山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年耕地资源质量分类监测结果汇总表；</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坪山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4</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坪山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5</w:t>
                  </w:r>
                  <w:r>
                    <w:rPr>
                      <w:rFonts w:ascii="仿宋_GB2312" w:hAnsi="Arial" w:eastAsia="仿宋_GB2312"/>
                      <w:color w:val="auto"/>
                      <w:sz w:val="18"/>
                      <w:szCs w:val="18"/>
                    </w:rPr>
                    <w:t>.</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坪山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6</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坪山</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4</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福田区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1.深圳市福田区202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2.深圳市福田区202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ascii="仿宋_GB2312" w:hAnsi="Arial" w:eastAsia="仿宋_GB2312"/>
                      <w:color w:val="auto"/>
                      <w:sz w:val="18"/>
                      <w:szCs w:val="18"/>
                    </w:rPr>
                    <w:t>.</w:t>
                  </w:r>
                  <w:r>
                    <w:rPr>
                      <w:rFonts w:hint="eastAsia" w:ascii="仿宋_GB2312" w:hAnsi="Arial" w:eastAsia="仿宋_GB2312"/>
                      <w:color w:val="auto"/>
                      <w:sz w:val="18"/>
                      <w:szCs w:val="18"/>
                    </w:rPr>
                    <w:t>深圳市福田区202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5</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宝安区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w:t>
                  </w:r>
                  <w:r>
                    <w:rPr>
                      <w:rFonts w:hint="eastAsia" w:ascii="仿宋_GB2312" w:hAnsi="Arial" w:eastAsia="仿宋_GB2312"/>
                      <w:color w:val="auto"/>
                      <w:sz w:val="18"/>
                      <w:szCs w:val="18"/>
                      <w:lang w:val="en-US" w:eastAsia="zh-CN"/>
                    </w:rPr>
                    <w:t>宝安</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w:t>
                  </w:r>
                  <w:r>
                    <w:rPr>
                      <w:rFonts w:hint="eastAsia" w:ascii="仿宋_GB2312" w:hAnsi="Arial" w:eastAsia="仿宋_GB2312"/>
                      <w:color w:val="auto"/>
                      <w:sz w:val="18"/>
                      <w:szCs w:val="18"/>
                      <w:lang w:val="en-US" w:eastAsia="zh-CN"/>
                    </w:rPr>
                    <w:t>宝安</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ascii="仿宋_GB2312" w:hAnsi="Arial" w:eastAsia="仿宋_GB2312"/>
                      <w:color w:val="auto"/>
                      <w:sz w:val="18"/>
                      <w:szCs w:val="18"/>
                    </w:rPr>
                    <w:t>.</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宝安</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6</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盐田区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w:t>
                  </w:r>
                  <w:r>
                    <w:rPr>
                      <w:rFonts w:hint="eastAsia" w:ascii="仿宋_GB2312" w:hAnsi="Arial" w:eastAsia="仿宋_GB2312"/>
                      <w:color w:val="auto"/>
                      <w:sz w:val="18"/>
                      <w:szCs w:val="18"/>
                      <w:lang w:val="en-US" w:eastAsia="zh-CN"/>
                    </w:rPr>
                    <w:t>盐</w:t>
                  </w:r>
                  <w:r>
                    <w:rPr>
                      <w:rFonts w:hint="eastAsia" w:ascii="仿宋_GB2312" w:hAnsi="Arial" w:eastAsia="仿宋_GB2312"/>
                      <w:color w:val="auto"/>
                      <w:sz w:val="18"/>
                      <w:szCs w:val="18"/>
                    </w:rPr>
                    <w:t>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w:t>
                  </w:r>
                  <w:r>
                    <w:rPr>
                      <w:rFonts w:hint="eastAsia" w:ascii="仿宋_GB2312" w:hAnsi="Arial" w:eastAsia="仿宋_GB2312"/>
                      <w:color w:val="auto"/>
                      <w:sz w:val="18"/>
                      <w:szCs w:val="18"/>
                      <w:lang w:val="en-US" w:eastAsia="zh-CN"/>
                    </w:rPr>
                    <w:t>盐</w:t>
                  </w:r>
                  <w:r>
                    <w:rPr>
                      <w:rFonts w:hint="eastAsia" w:ascii="仿宋_GB2312" w:hAnsi="Arial" w:eastAsia="仿宋_GB2312"/>
                      <w:color w:val="auto"/>
                      <w:sz w:val="18"/>
                      <w:szCs w:val="18"/>
                    </w:rPr>
                    <w:t>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ascii="仿宋_GB2312" w:hAnsi="Arial" w:eastAsia="仿宋_GB2312"/>
                      <w:color w:val="auto"/>
                      <w:sz w:val="18"/>
                      <w:szCs w:val="18"/>
                    </w:rPr>
                    <w:t>.</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盐</w:t>
                  </w:r>
                  <w:r>
                    <w:rPr>
                      <w:rFonts w:hint="eastAsia" w:ascii="仿宋_GB2312" w:hAnsi="Arial" w:eastAsia="仿宋_GB2312"/>
                      <w:color w:val="auto"/>
                      <w:sz w:val="18"/>
                      <w:szCs w:val="18"/>
                    </w:rPr>
                    <w:t>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7</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龙华区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w:t>
                  </w:r>
                  <w:r>
                    <w:rPr>
                      <w:rFonts w:hint="eastAsia" w:ascii="仿宋_GB2312" w:hAnsi="Arial" w:eastAsia="仿宋_GB2312"/>
                      <w:color w:val="auto"/>
                      <w:sz w:val="18"/>
                      <w:szCs w:val="18"/>
                      <w:lang w:val="en-US" w:eastAsia="zh-CN"/>
                    </w:rPr>
                    <w:t>龙华</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w:t>
                  </w:r>
                  <w:r>
                    <w:rPr>
                      <w:rFonts w:hint="eastAsia" w:ascii="仿宋_GB2312" w:hAnsi="Arial" w:eastAsia="仿宋_GB2312"/>
                      <w:color w:val="auto"/>
                      <w:sz w:val="18"/>
                      <w:szCs w:val="18"/>
                      <w:lang w:val="en-US" w:eastAsia="zh-CN"/>
                    </w:rPr>
                    <w:t>龙华</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ascii="仿宋_GB2312" w:hAnsi="Arial" w:eastAsia="仿宋_GB2312"/>
                      <w:color w:val="auto"/>
                      <w:sz w:val="18"/>
                      <w:szCs w:val="18"/>
                    </w:rPr>
                    <w:t>.</w:t>
                  </w:r>
                  <w:r>
                    <w:rPr>
                      <w:rFonts w:hint="eastAsia" w:ascii="仿宋_GB2312" w:hAnsi="Arial" w:eastAsia="仿宋_GB2312"/>
                      <w:color w:val="auto"/>
                      <w:sz w:val="18"/>
                      <w:szCs w:val="18"/>
                    </w:rPr>
                    <w:t>深圳市</w:t>
                  </w:r>
                  <w:r>
                    <w:rPr>
                      <w:rFonts w:hint="eastAsia" w:ascii="仿宋_GB2312" w:hAnsi="Arial" w:eastAsia="仿宋_GB2312"/>
                      <w:color w:val="auto"/>
                      <w:sz w:val="18"/>
                      <w:szCs w:val="18"/>
                      <w:lang w:val="en-US" w:eastAsia="zh-CN"/>
                    </w:rPr>
                    <w:t>龙华</w:t>
                  </w:r>
                  <w:r>
                    <w:rPr>
                      <w:rFonts w:hint="eastAsia" w:ascii="仿宋_GB2312" w:hAnsi="Arial" w:eastAsia="仿宋_GB2312"/>
                      <w:color w:val="auto"/>
                      <w:sz w:val="18"/>
                      <w:szCs w:val="18"/>
                    </w:rPr>
                    <w:t>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0"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8</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highlight w:val="yellow"/>
                    </w:rPr>
                  </w:pPr>
                  <w:r>
                    <w:rPr>
                      <w:rFonts w:hint="eastAsia" w:ascii="仿宋_GB2312" w:hAnsi="Arial" w:eastAsia="仿宋_GB2312"/>
                      <w:color w:val="auto"/>
                      <w:sz w:val="18"/>
                      <w:szCs w:val="18"/>
                    </w:rPr>
                    <w:t>龙岗区（含大鹏新区）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1.深圳市龙岗区（含大鹏新区）202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2.深圳市龙岗区（含大鹏新区）202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highlight w:val="yellow"/>
                    </w:rPr>
                  </w:pPr>
                  <w:r>
                    <w:rPr>
                      <w:rFonts w:hint="eastAsia" w:ascii="仿宋_GB2312" w:hAnsi="Arial" w:eastAsia="仿宋_GB2312"/>
                      <w:color w:val="auto"/>
                      <w:sz w:val="18"/>
                      <w:szCs w:val="18"/>
                      <w:lang w:val="en-US" w:eastAsia="zh-CN"/>
                    </w:rPr>
                    <w:t>3</w:t>
                  </w:r>
                  <w:r>
                    <w:rPr>
                      <w:rFonts w:ascii="仿宋_GB2312" w:hAnsi="Arial" w:eastAsia="仿宋_GB2312"/>
                      <w:color w:val="auto"/>
                      <w:sz w:val="18"/>
                      <w:szCs w:val="18"/>
                    </w:rPr>
                    <w:t>.</w:t>
                  </w:r>
                  <w:r>
                    <w:rPr>
                      <w:rFonts w:hint="eastAsia" w:ascii="仿宋_GB2312" w:hAnsi="Arial" w:eastAsia="仿宋_GB2312"/>
                      <w:color w:val="auto"/>
                      <w:sz w:val="18"/>
                      <w:szCs w:val="18"/>
                    </w:rPr>
                    <w:t>深圳市龙岗区（含大鹏新区）202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9</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highlight w:val="yellow"/>
                    </w:rPr>
                  </w:pPr>
                  <w:r>
                    <w:rPr>
                      <w:rFonts w:hint="eastAsia" w:ascii="仿宋_GB2312" w:hAnsi="Arial" w:eastAsia="仿宋_GB2312"/>
                      <w:color w:val="auto"/>
                      <w:sz w:val="18"/>
                      <w:szCs w:val="18"/>
                    </w:rPr>
                    <w:t>光明区</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1.深圳市光明区202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年耕地资源质量分类更新分析报告；</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2.深圳市光明区202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年耕地资源质量分类更新数据库；</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highlight w:val="yellow"/>
                    </w:rPr>
                  </w:pPr>
                  <w:r>
                    <w:rPr>
                      <w:rFonts w:hint="eastAsia" w:ascii="仿宋_GB2312" w:hAnsi="Arial" w:eastAsia="仿宋_GB2312"/>
                      <w:color w:val="auto"/>
                      <w:sz w:val="18"/>
                      <w:szCs w:val="18"/>
                      <w:lang w:val="en-US" w:eastAsia="zh-CN"/>
                    </w:rPr>
                    <w:t>3</w:t>
                  </w:r>
                  <w:r>
                    <w:rPr>
                      <w:rFonts w:ascii="仿宋_GB2312" w:hAnsi="Arial" w:eastAsia="仿宋_GB2312"/>
                      <w:color w:val="auto"/>
                      <w:sz w:val="18"/>
                      <w:szCs w:val="18"/>
                    </w:rPr>
                    <w:t>.</w:t>
                  </w:r>
                  <w:r>
                    <w:rPr>
                      <w:rFonts w:hint="eastAsia" w:ascii="仿宋_GB2312" w:hAnsi="Arial" w:eastAsia="仿宋_GB2312"/>
                      <w:color w:val="auto"/>
                      <w:sz w:val="18"/>
                      <w:szCs w:val="18"/>
                    </w:rPr>
                    <w:t>深圳市光明区202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626"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10</w:t>
                  </w:r>
                </w:p>
              </w:tc>
              <w:tc>
                <w:tcPr>
                  <w:tcW w:w="1117" w:type="dxa"/>
                  <w:noWrap w:val="0"/>
                  <w:vAlign w:val="center"/>
                </w:tcPr>
                <w:p>
                  <w:pPr>
                    <w:keepNext w:val="0"/>
                    <w:keepLines w:val="0"/>
                    <w:pageBreakBefore w:val="0"/>
                    <w:kinsoku/>
                    <w:wordWrap/>
                    <w:overflowPunct/>
                    <w:topLinePunct w:val="0"/>
                    <w:autoSpaceDE/>
                    <w:autoSpaceDN/>
                    <w:bidi w:val="0"/>
                    <w:snapToGrid/>
                    <w:spacing w:after="0" w:line="360" w:lineRule="auto"/>
                    <w:jc w:val="center"/>
                    <w:textAlignment w:val="auto"/>
                    <w:rPr>
                      <w:rFonts w:ascii="仿宋_GB2312" w:hAnsi="Arial" w:eastAsia="仿宋_GB2312"/>
                      <w:color w:val="auto"/>
                      <w:sz w:val="18"/>
                      <w:szCs w:val="18"/>
                    </w:rPr>
                  </w:pPr>
                  <w:r>
                    <w:rPr>
                      <w:rFonts w:hint="eastAsia" w:ascii="仿宋_GB2312" w:hAnsi="Arial" w:eastAsia="仿宋_GB2312"/>
                      <w:color w:val="auto"/>
                      <w:sz w:val="18"/>
                      <w:szCs w:val="18"/>
                    </w:rPr>
                    <w:t>深圳市</w:t>
                  </w:r>
                </w:p>
              </w:tc>
              <w:tc>
                <w:tcPr>
                  <w:tcW w:w="5236" w:type="dxa"/>
                  <w:noWrap w:val="0"/>
                  <w:vAlign w:val="center"/>
                </w:tcPr>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rPr>
                    <w:t>1.深圳市202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年耕地资源质量分类更新与监测分析报告；</w:t>
                  </w:r>
                </w:p>
                <w:p>
                  <w:pPr>
                    <w:keepNext w:val="0"/>
                    <w:keepLines w:val="0"/>
                    <w:pageBreakBefore w:val="0"/>
                    <w:kinsoku/>
                    <w:wordWrap/>
                    <w:overflowPunct/>
                    <w:topLinePunct w:val="0"/>
                    <w:autoSpaceDE/>
                    <w:autoSpaceDN/>
                    <w:bidi w:val="0"/>
                    <w:snapToGrid/>
                    <w:spacing w:after="0" w:line="360" w:lineRule="auto"/>
                    <w:textAlignment w:val="auto"/>
                    <w:rPr>
                      <w:rFonts w:hint="eastAsia" w:ascii="仿宋_GB2312" w:hAnsi="Arial" w:eastAsia="仿宋_GB2312"/>
                      <w:color w:val="auto"/>
                      <w:sz w:val="18"/>
                      <w:szCs w:val="18"/>
                      <w:lang w:val="en-US" w:eastAsia="zh-CN"/>
                    </w:rPr>
                  </w:pPr>
                  <w:r>
                    <w:rPr>
                      <w:rFonts w:hint="eastAsia" w:ascii="仿宋_GB2312" w:hAnsi="Arial" w:eastAsia="仿宋_GB2312"/>
                      <w:color w:val="auto"/>
                      <w:sz w:val="18"/>
                      <w:szCs w:val="18"/>
                    </w:rPr>
                    <w:t>2.深圳市202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年耕地资源质量分类监测结果汇总表</w:t>
                  </w:r>
                  <w:r>
                    <w:rPr>
                      <w:rFonts w:hint="eastAsia" w:ascii="仿宋_GB2312" w:hAnsi="Arial" w:eastAsia="仿宋_GB2312"/>
                      <w:color w:val="auto"/>
                      <w:sz w:val="18"/>
                      <w:szCs w:val="18"/>
                      <w:lang w:val="en-US" w:eastAsia="zh-CN"/>
                    </w:rPr>
                    <w:t>;</w:t>
                  </w:r>
                </w:p>
                <w:p>
                  <w:pPr>
                    <w:keepNext w:val="0"/>
                    <w:keepLines w:val="0"/>
                    <w:pageBreakBefore w:val="0"/>
                    <w:kinsoku/>
                    <w:wordWrap/>
                    <w:overflowPunct/>
                    <w:topLinePunct w:val="0"/>
                    <w:autoSpaceDE/>
                    <w:autoSpaceDN/>
                    <w:bidi w:val="0"/>
                    <w:snapToGrid/>
                    <w:spacing w:after="0" w:line="360" w:lineRule="auto"/>
                    <w:textAlignment w:val="auto"/>
                    <w:rPr>
                      <w:rFonts w:ascii="仿宋_GB2312" w:hAnsi="Arial" w:eastAsia="仿宋_GB2312"/>
                      <w:color w:val="auto"/>
                      <w:sz w:val="18"/>
                      <w:szCs w:val="18"/>
                    </w:rPr>
                  </w:pPr>
                  <w:r>
                    <w:rPr>
                      <w:rFonts w:hint="eastAsia" w:ascii="仿宋_GB2312" w:hAnsi="Arial" w:eastAsia="仿宋_GB2312"/>
                      <w:color w:val="auto"/>
                      <w:sz w:val="18"/>
                      <w:szCs w:val="18"/>
                      <w:lang w:val="en-US" w:eastAsia="zh-CN"/>
                    </w:rPr>
                    <w:t>3.</w:t>
                  </w:r>
                  <w:r>
                    <w:rPr>
                      <w:rFonts w:hint="eastAsia" w:ascii="仿宋_GB2312" w:hAnsi="Arial" w:eastAsia="仿宋_GB2312"/>
                      <w:color w:val="auto"/>
                      <w:sz w:val="18"/>
                      <w:szCs w:val="18"/>
                    </w:rPr>
                    <w:t>深圳市202</w:t>
                  </w:r>
                  <w:r>
                    <w:rPr>
                      <w:rFonts w:hint="eastAsia" w:ascii="仿宋_GB2312" w:hAnsi="Arial" w:eastAsia="仿宋_GB2312"/>
                      <w:color w:val="auto"/>
                      <w:sz w:val="18"/>
                      <w:szCs w:val="18"/>
                      <w:lang w:val="en-US" w:eastAsia="zh-CN"/>
                    </w:rPr>
                    <w:t>5</w:t>
                  </w:r>
                  <w:r>
                    <w:rPr>
                      <w:rFonts w:hint="eastAsia" w:ascii="仿宋_GB2312" w:hAnsi="Arial" w:eastAsia="仿宋_GB2312"/>
                      <w:color w:val="auto"/>
                      <w:sz w:val="18"/>
                      <w:szCs w:val="18"/>
                    </w:rPr>
                    <w:t>年耕地资源质量分类更新</w:t>
                  </w:r>
                  <w:r>
                    <w:rPr>
                      <w:rFonts w:hint="eastAsia" w:ascii="仿宋_GB2312" w:hAnsi="Arial" w:eastAsia="仿宋_GB2312"/>
                      <w:color w:val="auto"/>
                      <w:sz w:val="18"/>
                      <w:szCs w:val="18"/>
                      <w:lang w:val="en-US" w:eastAsia="zh-CN"/>
                    </w:rPr>
                    <w:t>与监测</w:t>
                  </w:r>
                  <w:r>
                    <w:rPr>
                      <w:rFonts w:hint="eastAsia" w:ascii="仿宋_GB2312" w:hAnsi="Arial" w:eastAsia="仿宋_GB2312"/>
                      <w:color w:val="auto"/>
                      <w:sz w:val="18"/>
                      <w:szCs w:val="18"/>
                    </w:rPr>
                    <w:t>数据说明文件。</w:t>
                  </w:r>
                </w:p>
              </w:tc>
            </w:tr>
          </w:tbl>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trPr>
        <w:tc>
          <w:tcPr>
            <w:tcW w:w="1466" w:type="dxa"/>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商务需求</w:t>
            </w:r>
          </w:p>
        </w:tc>
        <w:tc>
          <w:tcPr>
            <w:tcW w:w="7501" w:type="dxa"/>
            <w:gridSpan w:val="4"/>
            <w:noWrap w:val="0"/>
            <w:vAlign w:val="top"/>
          </w:tcPr>
          <w:p>
            <w:pPr>
              <w:widowControl w:val="0"/>
              <w:spacing w:line="240" w:lineRule="auto"/>
              <w:rPr>
                <w:rFonts w:hint="eastAsia" w:ascii="仿宋" w:hAnsi="仿宋" w:eastAsia="仿宋" w:cs="仿宋"/>
                <w:color w:val="auto"/>
                <w:szCs w:val="21"/>
              </w:rPr>
            </w:pPr>
            <w:r>
              <w:rPr>
                <w:rFonts w:hint="eastAsia" w:ascii="仿宋" w:hAnsi="仿宋" w:eastAsia="仿宋" w:cs="仿宋"/>
                <w:color w:val="auto"/>
                <w:szCs w:val="21"/>
                <w:lang w:val="en-US" w:eastAsia="zh-CN"/>
              </w:rPr>
              <w:t>一</w:t>
            </w:r>
            <w:r>
              <w:rPr>
                <w:rFonts w:hint="eastAsia" w:ascii="仿宋" w:hAnsi="仿宋" w:eastAsia="仿宋" w:cs="仿宋"/>
                <w:color w:val="auto"/>
                <w:szCs w:val="21"/>
              </w:rPr>
              <w:t>、项目概况（介绍项目的背景及项目整体情况、项目目的及建设目标）</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以上一年度耕地资源质量分类更新和监测成果、本年度国土变更调查成果为基础，结合其他项目资料，开展2025年耕地资源质量分类更新与监测工作，更新耕地资源质量分类数据库，建立耕地资源质量分类监测数据库，形成耕地资源质量分类年度更新与监测工作成果，保持耕地质量分类数据的现势性，为更好地适应生态文明建设需要，落实耕地数量、质量、生态“三位一体”保护提供支撑。</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二、项目所依据及参考的标准</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1.《中共中央 国务院关于加强耕地保护和改进占补平衡的意见》（中发〔2017〕4号）</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2.《国务院第三次全国国土调查领导小组办公室关于印发〈第三次全国国土调查耕地资源质量分类工作方案〉的通知》（国土调查办发〔2020〕13 号）</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3.《自然资源部办公厅关于开展2023年度全国国土变更调查工作的通知》（自然资办发〔2023〕38号）</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4.《广东省土地开发整治中心关于做好2023年度耕地资源质量分类更新与监测工作的函》（粤土整治函〔2024〕063号）</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5.《2023年度全国国土变更调查实施方案》</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6.《国土变更调查技术规程（2023年度适用）》</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7.《第三次全国国土调查耕地资源质量分类数据库标准》</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三</w:t>
            </w:r>
            <w:r>
              <w:rPr>
                <w:rFonts w:hint="eastAsia" w:ascii="仿宋" w:hAnsi="仿宋" w:eastAsia="仿宋" w:cs="仿宋"/>
                <w:color w:val="auto"/>
                <w:szCs w:val="21"/>
                <w:highlight w:val="none"/>
              </w:rPr>
              <w:t>、项目采购范围（本次招标的项目范围，包括服务名称、服务地点、服务内容、服务要求等）</w:t>
            </w:r>
          </w:p>
          <w:p>
            <w:pPr>
              <w:widowControl w:val="0"/>
              <w:ind w:firstLine="420" w:firstLineChars="200"/>
              <w:rPr>
                <w:rFonts w:ascii="仿宋" w:hAnsi="仿宋" w:eastAsia="仿宋" w:cs="仿宋"/>
                <w:color w:val="auto"/>
                <w:szCs w:val="21"/>
              </w:rPr>
            </w:pPr>
            <w:r>
              <w:rPr>
                <w:rFonts w:hint="eastAsia" w:ascii="仿宋" w:hAnsi="仿宋" w:eastAsia="仿宋" w:cs="仿宋"/>
                <w:color w:val="auto"/>
                <w:szCs w:val="21"/>
                <w:lang w:val="en-US" w:eastAsia="zh-CN"/>
              </w:rPr>
              <w:t>1.</w:t>
            </w:r>
            <w:r>
              <w:rPr>
                <w:rFonts w:ascii="仿宋" w:hAnsi="仿宋" w:eastAsia="仿宋" w:cs="仿宋"/>
                <w:color w:val="auto"/>
                <w:szCs w:val="21"/>
              </w:rPr>
              <w:t>项目名称：《</w:t>
            </w:r>
            <w:r>
              <w:rPr>
                <w:rFonts w:hint="eastAsia" w:ascii="仿宋" w:hAnsi="仿宋" w:eastAsia="仿宋" w:cs="仿宋"/>
                <w:color w:val="auto"/>
                <w:szCs w:val="21"/>
              </w:rPr>
              <w:t>深圳市2025年耕地资源质量分类更新与监测（不含深汕特别合作区）</w:t>
            </w:r>
            <w:r>
              <w:rPr>
                <w:rFonts w:ascii="仿宋" w:hAnsi="仿宋" w:eastAsia="仿宋" w:cs="仿宋"/>
                <w:color w:val="auto"/>
                <w:szCs w:val="21"/>
              </w:rPr>
              <w:t>》</w:t>
            </w:r>
          </w:p>
          <w:p>
            <w:pPr>
              <w:widowControl w:val="0"/>
              <w:spacing w:before="61"/>
              <w:ind w:firstLine="420" w:firstLineChars="200"/>
              <w:jc w:val="both"/>
              <w:rPr>
                <w:rFonts w:ascii="仿宋" w:hAnsi="仿宋" w:eastAsia="仿宋" w:cs="Times New Roman"/>
                <w:color w:val="auto"/>
                <w:kern w:val="0"/>
                <w:szCs w:val="21"/>
              </w:rPr>
            </w:pPr>
            <w:r>
              <w:rPr>
                <w:rFonts w:hint="eastAsia" w:ascii="仿宋" w:hAnsi="仿宋" w:eastAsia="仿宋" w:cs="仿宋"/>
                <w:color w:val="auto"/>
                <w:szCs w:val="21"/>
                <w:lang w:val="en-US" w:eastAsia="zh-CN"/>
              </w:rPr>
              <w:t>2.</w:t>
            </w:r>
            <w:r>
              <w:rPr>
                <w:rFonts w:ascii="仿宋" w:hAnsi="仿宋" w:eastAsia="仿宋" w:cs="仿宋"/>
                <w:color w:val="auto"/>
                <w:szCs w:val="21"/>
              </w:rPr>
              <w:t>服务</w:t>
            </w:r>
            <w:r>
              <w:rPr>
                <w:rFonts w:hint="eastAsia" w:ascii="仿宋" w:hAnsi="仿宋" w:eastAsia="仿宋" w:cs="Times New Roman"/>
                <w:color w:val="auto"/>
                <w:kern w:val="0"/>
                <w:szCs w:val="21"/>
              </w:rPr>
              <w:t>地点：深圳市</w:t>
            </w:r>
            <w:r>
              <w:rPr>
                <w:rFonts w:hint="eastAsia" w:ascii="仿宋" w:hAnsi="仿宋" w:eastAsia="仿宋" w:cs="仿宋"/>
                <w:color w:val="auto"/>
                <w:szCs w:val="21"/>
              </w:rPr>
              <w:t>（不含深汕特别合作区）</w:t>
            </w:r>
          </w:p>
          <w:p>
            <w:pPr>
              <w:widowControl w:val="0"/>
              <w:spacing w:before="61"/>
              <w:ind w:firstLine="420" w:firstLineChars="200"/>
              <w:jc w:val="both"/>
              <w:rPr>
                <w:rFonts w:ascii="仿宋" w:hAnsi="仿宋" w:eastAsia="仿宋" w:cs="Times New Roman"/>
                <w:color w:val="auto"/>
                <w:kern w:val="0"/>
                <w:szCs w:val="21"/>
              </w:rPr>
            </w:pPr>
            <w:r>
              <w:rPr>
                <w:rFonts w:hint="eastAsia" w:ascii="仿宋" w:hAnsi="仿宋" w:eastAsia="仿宋" w:cs="仿宋"/>
                <w:color w:val="auto"/>
                <w:szCs w:val="21"/>
                <w:lang w:val="en-US" w:eastAsia="zh-CN"/>
              </w:rPr>
              <w:t>3.</w:t>
            </w:r>
            <w:r>
              <w:rPr>
                <w:rFonts w:hint="eastAsia" w:ascii="仿宋" w:hAnsi="仿宋" w:eastAsia="仿宋" w:cs="Times New Roman"/>
                <w:color w:val="auto"/>
                <w:kern w:val="0"/>
                <w:szCs w:val="21"/>
              </w:rPr>
              <w:t>服务内容：包括耕地资源质量分类更新、</w:t>
            </w:r>
            <w:r>
              <w:rPr>
                <w:rFonts w:hint="eastAsia" w:ascii="仿宋" w:hAnsi="仿宋" w:eastAsia="仿宋" w:cs="仿宋"/>
                <w:color w:val="auto"/>
                <w:spacing w:val="-8"/>
                <w:szCs w:val="21"/>
              </w:rPr>
              <w:t>耕地资源质量分类监测两部分。</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四</w:t>
            </w:r>
            <w:r>
              <w:rPr>
                <w:rFonts w:hint="eastAsia" w:ascii="仿宋" w:hAnsi="仿宋" w:eastAsia="仿宋" w:cs="仿宋"/>
                <w:color w:val="auto"/>
                <w:szCs w:val="21"/>
                <w:highlight w:val="none"/>
              </w:rPr>
              <w:t>、项目服务期限（下达的计划时间和实际服务期限不一致的，需列明实际服务期限）</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宋体" w:hAnsi="宋体" w:eastAsia="仿宋"/>
                <w:color w:val="auto"/>
                <w:kern w:val="0"/>
                <w:szCs w:val="28"/>
              </w:rPr>
              <w:t>本项目履行期限为</w:t>
            </w:r>
            <w:r>
              <w:rPr>
                <w:rFonts w:hint="eastAsia" w:ascii="仿宋" w:hAnsi="仿宋" w:eastAsia="仿宋" w:cs="仿宋"/>
                <w:color w:val="auto"/>
                <w:szCs w:val="21"/>
                <w:highlight w:val="none"/>
                <w:lang w:val="en-US" w:eastAsia="zh-CN"/>
              </w:rPr>
              <w:t>自合同签订后12个月内完成，遇有特殊情况，经双方协商后服务期限可适当延长。</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五</w:t>
            </w:r>
            <w:r>
              <w:rPr>
                <w:rFonts w:hint="eastAsia" w:ascii="仿宋" w:hAnsi="仿宋" w:eastAsia="仿宋" w:cs="仿宋"/>
                <w:color w:val="auto"/>
                <w:szCs w:val="21"/>
                <w:highlight w:val="none"/>
              </w:rPr>
              <w:t>、组织实施要求</w:t>
            </w:r>
          </w:p>
          <w:p>
            <w:pPr>
              <w:ind w:firstLine="420" w:firstLineChars="200"/>
              <w:rPr>
                <w:color w:val="auto"/>
              </w:rPr>
            </w:pPr>
            <w:r>
              <w:rPr>
                <w:rFonts w:hint="eastAsia" w:ascii="仿宋" w:hAnsi="仿宋" w:eastAsia="仿宋" w:cs="仿宋"/>
                <w:color w:val="auto"/>
                <w:szCs w:val="21"/>
              </w:rPr>
              <w:t>为确保本项目工作开展管理规范、实施有力，中标人应成立项目组，对项目组各成员开展专业学习交流，并配合采购人组织、举办本项目各工作阶段的汇报、审查等工作，并负责解答相关的问题。</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六</w:t>
            </w:r>
            <w:r>
              <w:rPr>
                <w:rFonts w:hint="eastAsia" w:ascii="仿宋" w:hAnsi="仿宋" w:eastAsia="仿宋" w:cs="仿宋"/>
                <w:color w:val="auto"/>
                <w:szCs w:val="21"/>
                <w:highlight w:val="none"/>
              </w:rPr>
              <w:t>、成果要求</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维护要求</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预期成果包括市、区两级，市级成果包括分析报告、汇总表、数据说明文件，区级成果包括分析报告、汇总表、数据库、其他成果。</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成果格式：分析报告、数据说明文件为</w:t>
            </w:r>
            <w:r>
              <w:rPr>
                <w:rFonts w:hint="eastAsia" w:ascii="宋体" w:hAnsi="宋体" w:eastAsia="宋体" w:cs="宋体"/>
                <w:color w:val="auto"/>
                <w:sz w:val="24"/>
                <w:szCs w:val="24"/>
                <w:highlight w:val="none"/>
                <w:lang w:val="en-US" w:eastAsia="zh-CN"/>
              </w:rPr>
              <w:t>word</w:t>
            </w:r>
            <w:r>
              <w:rPr>
                <w:rFonts w:hint="eastAsia" w:ascii="仿宋" w:hAnsi="仿宋" w:eastAsia="仿宋" w:cs="仿宋"/>
                <w:color w:val="auto"/>
                <w:szCs w:val="21"/>
                <w:highlight w:val="none"/>
                <w:lang w:val="en-US" w:eastAsia="zh-CN"/>
              </w:rPr>
              <w:t>格式，汇总表为Excel格式，数据库为gdb</w:t>
            </w:r>
            <w:r>
              <w:rPr>
                <w:rFonts w:hint="eastAsia" w:ascii="仿宋" w:hAnsi="仿宋" w:eastAsia="仿宋" w:cs="仿宋"/>
                <w:color w:val="auto"/>
                <w:szCs w:val="21"/>
                <w:highlight w:val="none"/>
              </w:rPr>
              <w:t>格式、2000国家大地坐标系</w:t>
            </w:r>
            <w:r>
              <w:rPr>
                <w:rFonts w:hint="eastAsia" w:ascii="仿宋" w:hAnsi="仿宋" w:eastAsia="仿宋" w:cs="仿宋"/>
                <w:color w:val="auto"/>
                <w:szCs w:val="21"/>
                <w:highlight w:val="none"/>
                <w:lang w:val="en-US" w:eastAsia="zh-CN"/>
              </w:rPr>
              <w:t>。</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成果形式及数量：以上成果均需提供电子形式1份，其中分析报告、数据说明文件还需提供纸质成果2份。</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七</w:t>
            </w:r>
            <w:r>
              <w:rPr>
                <w:rFonts w:hint="eastAsia" w:ascii="仿宋" w:hAnsi="仿宋" w:eastAsia="仿宋" w:cs="仿宋"/>
                <w:color w:val="auto"/>
                <w:szCs w:val="21"/>
                <w:highlight w:val="none"/>
              </w:rPr>
              <w:t>、技术培训要求</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项目人员安排要求</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1.独立设置项目组，有固定的项目负责人和联系人，项目组专业技术人员不少于5人。</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2.项目组负责人具有国土行业高级职称，具备规划和国土行业五年以上（含五年）工作经</w:t>
            </w:r>
            <w:bookmarkStart w:id="0" w:name="_GoBack"/>
            <w:bookmarkEnd w:id="0"/>
            <w:r>
              <w:rPr>
                <w:rFonts w:hint="eastAsia" w:ascii="仿宋" w:hAnsi="仿宋" w:eastAsia="仿宋" w:cs="仿宋"/>
                <w:color w:val="auto"/>
                <w:szCs w:val="21"/>
                <w:highlight w:val="none"/>
              </w:rPr>
              <w:t>验，以及副省级（或以上）城市耕地质量等别更新或耕地</w:t>
            </w:r>
            <w:r>
              <w:rPr>
                <w:rFonts w:hint="eastAsia" w:ascii="仿宋" w:hAnsi="仿宋" w:eastAsia="仿宋" w:cs="仿宋"/>
                <w:color w:val="auto"/>
                <w:szCs w:val="21"/>
                <w:highlight w:val="none"/>
                <w:lang w:val="en-US" w:eastAsia="zh-CN"/>
              </w:rPr>
              <w:t>资源</w:t>
            </w:r>
            <w:r>
              <w:rPr>
                <w:rFonts w:hint="eastAsia" w:ascii="仿宋" w:hAnsi="仿宋" w:eastAsia="仿宋" w:cs="仿宋"/>
                <w:color w:val="auto"/>
                <w:szCs w:val="21"/>
                <w:highlight w:val="none"/>
              </w:rPr>
              <w:t>质量分类项目工作经验。</w:t>
            </w:r>
          </w:p>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八</w:t>
            </w:r>
            <w:r>
              <w:rPr>
                <w:rFonts w:hint="eastAsia" w:ascii="仿宋" w:hAnsi="仿宋" w:eastAsia="仿宋" w:cs="仿宋"/>
                <w:color w:val="auto"/>
                <w:szCs w:val="21"/>
                <w:highlight w:val="none"/>
              </w:rPr>
              <w:t>、售后服务内容、要求和期限</w:t>
            </w:r>
          </w:p>
          <w:p>
            <w:pPr>
              <w:keepNext w:val="0"/>
              <w:keepLines w:val="0"/>
              <w:pageBreakBefore w:val="0"/>
              <w:widowControl w:val="0"/>
              <w:kinsoku/>
              <w:overflowPunct/>
              <w:topLinePunct w:val="0"/>
              <w:autoSpaceDE/>
              <w:autoSpaceDN/>
              <w:bidi w:val="0"/>
              <w:ind w:firstLine="415" w:firstLineChars="198"/>
              <w:jc w:val="left"/>
              <w:rPr>
                <w:rFonts w:hint="eastAsia" w:ascii="仿宋" w:hAnsi="仿宋" w:eastAsia="仿宋" w:cs="仿宋"/>
                <w:color w:val="auto"/>
                <w:kern w:val="0"/>
                <w:szCs w:val="21"/>
                <w:highlight w:val="none"/>
              </w:rPr>
            </w:pPr>
            <w:r>
              <w:rPr>
                <w:rFonts w:hint="eastAsia" w:ascii="仿宋" w:hAnsi="仿宋" w:eastAsia="仿宋" w:cs="仿宋"/>
                <w:color w:val="auto"/>
                <w:kern w:val="2"/>
                <w:sz w:val="21"/>
                <w:szCs w:val="21"/>
                <w:lang w:eastAsia="zh-CN"/>
              </w:rPr>
              <w:t>自项目服务期限截止之日起1年内，中标方须与采购方保持全面沟通，随时跟进与项目相关的工作，并就项目成果实际使用过程中出现的问题提供咨询、分析和解决建议拟定。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466" w:type="dxa"/>
            <w:vMerge w:val="restart"/>
            <w:noWrap w:val="0"/>
            <w:vAlign w:val="top"/>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其他要求</w:t>
            </w:r>
          </w:p>
        </w:tc>
        <w:tc>
          <w:tcPr>
            <w:tcW w:w="7501" w:type="dxa"/>
            <w:gridSpan w:val="4"/>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r>
              <w:rPr>
                <w:rFonts w:hint="eastAsia" w:ascii="仿宋" w:hAnsi="仿宋" w:eastAsia="仿宋" w:cs="仿宋"/>
                <w:b/>
                <w:color w:val="auto"/>
                <w:szCs w:val="21"/>
                <w:highlight w:val="none"/>
              </w:rPr>
              <w:t>特定供应商的名称、项目负责人及联系方式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466"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p>
        </w:tc>
        <w:tc>
          <w:tcPr>
            <w:tcW w:w="1425" w:type="dxa"/>
            <w:vMerge w:val="restart"/>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rPr>
            </w:pPr>
            <w:r>
              <w:rPr>
                <w:rFonts w:hint="eastAsia" w:ascii="仿宋" w:hAnsi="仿宋" w:eastAsia="仿宋" w:cs="仿宋"/>
                <w:bCs/>
                <w:color w:val="auto"/>
                <w:szCs w:val="21"/>
                <w:highlight w:val="none"/>
              </w:rPr>
              <w:t>特定供应商</w:t>
            </w:r>
          </w:p>
        </w:tc>
        <w:tc>
          <w:tcPr>
            <w:tcW w:w="6076" w:type="dxa"/>
            <w:gridSpan w:val="3"/>
            <w:noWrap w:val="0"/>
            <w:vAlign w:val="top"/>
          </w:tcPr>
          <w:p>
            <w:pPr>
              <w:keepNext w:val="0"/>
              <w:keepLines w:val="0"/>
              <w:pageBreakBefore w:val="0"/>
              <w:widowControl w:val="0"/>
              <w:kinsoku/>
              <w:overflowPunct/>
              <w:topLinePunct w:val="0"/>
              <w:autoSpaceDE/>
              <w:autoSpaceDN/>
              <w:bidi w:val="0"/>
              <w:jc w:val="left"/>
              <w:rPr>
                <w:rFonts w:hint="default" w:ascii="仿宋" w:hAnsi="仿宋" w:eastAsia="仿宋" w:cs="仿宋"/>
                <w:bCs/>
                <w:color w:val="auto"/>
                <w:kern w:val="0"/>
                <w:szCs w:val="21"/>
                <w:highlight w:val="none"/>
                <w:lang w:val="en-US" w:eastAsia="zh-CN"/>
              </w:rPr>
            </w:pPr>
            <w:r>
              <w:rPr>
                <w:rFonts w:hint="eastAsia" w:ascii="仿宋" w:hAnsi="仿宋" w:eastAsia="仿宋" w:cs="仿宋"/>
                <w:bCs/>
                <w:color w:val="auto"/>
                <w:szCs w:val="21"/>
                <w:highlight w:val="none"/>
              </w:rPr>
              <w:t>单位名称：</w:t>
            </w:r>
            <w:r>
              <w:rPr>
                <w:rFonts w:hint="eastAsia" w:ascii="仿宋" w:hAnsi="仿宋" w:eastAsia="仿宋" w:cs="仿宋"/>
                <w:bCs/>
                <w:color w:val="auto"/>
                <w:szCs w:val="21"/>
                <w:highlight w:val="none"/>
                <w:lang w:val="en-US" w:eastAsia="zh-CN"/>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6"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p>
        </w:tc>
        <w:tc>
          <w:tcPr>
            <w:tcW w:w="1425"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rPr>
            </w:pPr>
          </w:p>
        </w:tc>
        <w:tc>
          <w:tcPr>
            <w:tcW w:w="6076" w:type="dxa"/>
            <w:gridSpan w:val="3"/>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lang w:val="en-US" w:eastAsia="zh-CN"/>
              </w:rPr>
            </w:pPr>
            <w:r>
              <w:rPr>
                <w:rFonts w:hint="eastAsia" w:ascii="仿宋" w:hAnsi="仿宋" w:eastAsia="仿宋" w:cs="仿宋"/>
                <w:bCs/>
                <w:color w:val="auto"/>
                <w:szCs w:val="21"/>
                <w:highlight w:val="none"/>
              </w:rPr>
              <w:t>项目经办人：</w:t>
            </w:r>
            <w:r>
              <w:rPr>
                <w:rFonts w:hint="eastAsia" w:ascii="仿宋" w:hAnsi="仿宋" w:eastAsia="仿宋" w:cs="仿宋"/>
                <w:bCs/>
                <w:color w:val="auto"/>
                <w:szCs w:val="21"/>
                <w:highlight w:val="none"/>
                <w:lang w:val="en-US" w:eastAsia="zh-CN"/>
              </w:rPr>
              <w:t>许多艺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66"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p>
        </w:tc>
        <w:tc>
          <w:tcPr>
            <w:tcW w:w="1425"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rPr>
            </w:pPr>
          </w:p>
        </w:tc>
        <w:tc>
          <w:tcPr>
            <w:tcW w:w="6076" w:type="dxa"/>
            <w:gridSpan w:val="3"/>
            <w:noWrap w:val="0"/>
            <w:vAlign w:val="top"/>
          </w:tcPr>
          <w:p>
            <w:pPr>
              <w:keepNext w:val="0"/>
              <w:keepLines w:val="0"/>
              <w:pageBreakBefore w:val="0"/>
              <w:widowControl w:val="0"/>
              <w:kinsoku/>
              <w:overflowPunct/>
              <w:topLinePunct w:val="0"/>
              <w:autoSpaceDE/>
              <w:autoSpaceDN/>
              <w:bidi w:val="0"/>
              <w:jc w:val="left"/>
              <w:rPr>
                <w:rFonts w:hint="default" w:ascii="仿宋" w:hAnsi="仿宋" w:eastAsia="仿宋" w:cs="仿宋"/>
                <w:bCs/>
                <w:color w:val="auto"/>
                <w:kern w:val="0"/>
                <w:szCs w:val="21"/>
                <w:highlight w:val="none"/>
                <w:lang w:val="en-US" w:eastAsia="zh-CN"/>
              </w:rPr>
            </w:pPr>
            <w:r>
              <w:rPr>
                <w:rFonts w:hint="eastAsia" w:ascii="仿宋" w:hAnsi="仿宋" w:eastAsia="仿宋" w:cs="仿宋"/>
                <w:bCs/>
                <w:color w:val="auto"/>
                <w:szCs w:val="21"/>
                <w:highlight w:val="none"/>
              </w:rPr>
              <w:t>联系电话：</w:t>
            </w:r>
            <w:r>
              <w:rPr>
                <w:rFonts w:hint="eastAsia" w:ascii="仿宋" w:hAnsi="仿宋" w:eastAsia="仿宋" w:cs="仿宋"/>
                <w:bCs/>
                <w:color w:val="auto"/>
                <w:szCs w:val="21"/>
                <w:highlight w:val="none"/>
                <w:lang w:val="en-US" w:eastAsia="zh-CN"/>
              </w:rPr>
              <w:t>0755-83949017</w:t>
            </w:r>
          </w:p>
        </w:tc>
      </w:tr>
    </w:tbl>
    <w:p>
      <w:pPr>
        <w:keepNext w:val="0"/>
        <w:keepLines w:val="0"/>
        <w:pageBreakBefore w:val="0"/>
        <w:widowControl w:val="0"/>
        <w:kinsoku/>
        <w:overflowPunct/>
        <w:topLinePunct w:val="0"/>
        <w:autoSpaceDE/>
        <w:autoSpaceDN/>
        <w:bidi w:val="0"/>
        <w:spacing w:line="360" w:lineRule="exact"/>
        <w:jc w:val="left"/>
        <w:rPr>
          <w:rFonts w:hint="eastAsia"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注：</w:t>
      </w:r>
    </w:p>
    <w:p>
      <w:pPr>
        <w:keepNext w:val="0"/>
        <w:keepLines w:val="0"/>
        <w:pageBreakBefore w:val="0"/>
        <w:widowControl w:val="0"/>
        <w:kinsoku/>
        <w:overflowPunct/>
        <w:topLinePunct w:val="0"/>
        <w:autoSpaceDE/>
        <w:autoSpaceDN/>
        <w:bidi w:val="0"/>
        <w:spacing w:line="360" w:lineRule="exact"/>
        <w:jc w:val="left"/>
        <w:rPr>
          <w:rFonts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1、带“*”号的为必填表内容，其他内容可根据项目作适当增减。</w:t>
      </w:r>
    </w:p>
    <w:p>
      <w:pPr>
        <w:keepNext w:val="0"/>
        <w:keepLines w:val="0"/>
        <w:pageBreakBefore w:val="0"/>
        <w:widowControl w:val="0"/>
        <w:kinsoku/>
        <w:overflowPunct/>
        <w:topLinePunct w:val="0"/>
        <w:autoSpaceDE/>
        <w:autoSpaceDN/>
        <w:bidi w:val="0"/>
        <w:spacing w:line="360" w:lineRule="exact"/>
        <w:jc w:val="left"/>
        <w:rPr>
          <w:rFonts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2、其他要求栏目仅适用非公开招标采购方式项目，采购推荐供应商名单必须经过主管部门报批，并将主管部门批复材料提交至采购中心。根据采购条例第十九条规定适用非公开招标方式需要公示的，应同时向采购中心提交公示的证明材料。</w:t>
      </w:r>
    </w:p>
    <w:p>
      <w:pPr>
        <w:keepNext w:val="0"/>
        <w:keepLines w:val="0"/>
        <w:pageBreakBefore w:val="0"/>
        <w:widowControl w:val="0"/>
        <w:kinsoku/>
        <w:overflowPunct/>
        <w:topLinePunct w:val="0"/>
        <w:autoSpaceDE/>
        <w:autoSpaceDN/>
        <w:bidi w:val="0"/>
        <w:spacing w:line="360" w:lineRule="exact"/>
        <w:rPr>
          <w:rFonts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3、采购单位以上填报的商务条款、技术条款若存在倾向性或不公正性条款，由此引起的不良后果将由采购单位自行承担。</w:t>
      </w:r>
    </w:p>
    <w:p>
      <w:pPr>
        <w:keepNext w:val="0"/>
        <w:keepLines w:val="0"/>
        <w:pageBreakBefore w:val="0"/>
        <w:widowControl w:val="0"/>
        <w:numPr>
          <w:ilvl w:val="0"/>
          <w:numId w:val="0"/>
        </w:numPr>
        <w:kinsoku/>
        <w:overflowPunct/>
        <w:topLinePunct w:val="0"/>
        <w:autoSpaceDE/>
        <w:autoSpaceDN/>
        <w:bidi w:val="0"/>
        <w:jc w:val="left"/>
        <w:rPr>
          <w:rFonts w:hint="default"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4、项目需要提供带车服务的，需核查中标单位提供的车型，避免违规出现豪华或超标准车型。</w:t>
      </w:r>
    </w:p>
    <w:p>
      <w:pPr>
        <w:keepNext w:val="0"/>
        <w:keepLines w:val="0"/>
        <w:pageBreakBefore w:val="0"/>
        <w:widowControl w:val="0"/>
        <w:kinsoku/>
        <w:overflowPunct/>
        <w:topLinePunct w:val="0"/>
        <w:autoSpaceDE/>
        <w:autoSpaceDN/>
        <w:bidi w:val="0"/>
        <w:jc w:val="left"/>
        <w:rPr>
          <w:rFonts w:hint="eastAsia" w:ascii="仿宋_GB2312" w:hAnsi="仿宋_GB2312" w:eastAsia="仿宋_GB2312" w:cs="仿宋_GB2312"/>
          <w:bCs/>
          <w:color w:val="000000" w:themeColor="text1"/>
          <w:sz w:val="32"/>
          <w:szCs w:val="32"/>
          <w:highlight w:val="none"/>
          <w14:textFill>
            <w14:solidFill>
              <w14:schemeClr w14:val="tx1"/>
            </w14:solidFill>
          </w14:textFill>
        </w:rPr>
      </w:pPr>
    </w:p>
    <w:p>
      <w:pPr>
        <w:rPr>
          <w:rFonts w:hint="eastAsia" w:ascii="仿宋_GB2312" w:hAnsi="仿宋_GB2312" w:eastAsia="仿宋_GB2312" w:cs="仿宋_GB2312"/>
          <w:bCs/>
          <w:color w:val="000000" w:themeColor="text1"/>
          <w:sz w:val="32"/>
          <w:szCs w:val="32"/>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E16A6"/>
    <w:rsid w:val="017E1168"/>
    <w:rsid w:val="018C4675"/>
    <w:rsid w:val="03506580"/>
    <w:rsid w:val="03892C16"/>
    <w:rsid w:val="05E23036"/>
    <w:rsid w:val="075B720A"/>
    <w:rsid w:val="0A124380"/>
    <w:rsid w:val="0A821DCB"/>
    <w:rsid w:val="0A9F2A70"/>
    <w:rsid w:val="0BF254A5"/>
    <w:rsid w:val="0D552B6D"/>
    <w:rsid w:val="0E5A6B98"/>
    <w:rsid w:val="0EBD768C"/>
    <w:rsid w:val="0EE05EF8"/>
    <w:rsid w:val="0FE54120"/>
    <w:rsid w:val="11855DCB"/>
    <w:rsid w:val="134925B4"/>
    <w:rsid w:val="145A394B"/>
    <w:rsid w:val="157B7F4A"/>
    <w:rsid w:val="15E056F0"/>
    <w:rsid w:val="184B1A3D"/>
    <w:rsid w:val="199365BB"/>
    <w:rsid w:val="19B7283D"/>
    <w:rsid w:val="19E21103"/>
    <w:rsid w:val="19ED7494"/>
    <w:rsid w:val="1A1D05AA"/>
    <w:rsid w:val="1AED534D"/>
    <w:rsid w:val="1D155742"/>
    <w:rsid w:val="1D7E18EE"/>
    <w:rsid w:val="1F197111"/>
    <w:rsid w:val="1F1E6E1C"/>
    <w:rsid w:val="1F81583C"/>
    <w:rsid w:val="1F990BC0"/>
    <w:rsid w:val="23516881"/>
    <w:rsid w:val="2379093F"/>
    <w:rsid w:val="26665E8F"/>
    <w:rsid w:val="2A9D64F9"/>
    <w:rsid w:val="2AD63CED"/>
    <w:rsid w:val="2B956A91"/>
    <w:rsid w:val="2BFC773A"/>
    <w:rsid w:val="2D9547AC"/>
    <w:rsid w:val="2E63592A"/>
    <w:rsid w:val="2F7D0EC7"/>
    <w:rsid w:val="32C5265C"/>
    <w:rsid w:val="32D50D5B"/>
    <w:rsid w:val="33005939"/>
    <w:rsid w:val="34C57BA3"/>
    <w:rsid w:val="363244F6"/>
    <w:rsid w:val="36601B42"/>
    <w:rsid w:val="38396E4A"/>
    <w:rsid w:val="38A0203C"/>
    <w:rsid w:val="38ED553D"/>
    <w:rsid w:val="3DA466B7"/>
    <w:rsid w:val="3FC578AB"/>
    <w:rsid w:val="41636052"/>
    <w:rsid w:val="43B62C04"/>
    <w:rsid w:val="44F04025"/>
    <w:rsid w:val="45C168FC"/>
    <w:rsid w:val="45C2437E"/>
    <w:rsid w:val="45D8450C"/>
    <w:rsid w:val="46F843FA"/>
    <w:rsid w:val="470A5E15"/>
    <w:rsid w:val="4B50661E"/>
    <w:rsid w:val="4C855396"/>
    <w:rsid w:val="4E1C41B2"/>
    <w:rsid w:val="53EC6EBC"/>
    <w:rsid w:val="54496509"/>
    <w:rsid w:val="54CD2AB0"/>
    <w:rsid w:val="54E570D4"/>
    <w:rsid w:val="54FC4BA2"/>
    <w:rsid w:val="55077B36"/>
    <w:rsid w:val="55797948"/>
    <w:rsid w:val="55AE459E"/>
    <w:rsid w:val="56226ADC"/>
    <w:rsid w:val="57435CBA"/>
    <w:rsid w:val="575326D1"/>
    <w:rsid w:val="586040B5"/>
    <w:rsid w:val="5AA553C6"/>
    <w:rsid w:val="5AE16125"/>
    <w:rsid w:val="5B184080"/>
    <w:rsid w:val="5C435D6C"/>
    <w:rsid w:val="5C6D3E4D"/>
    <w:rsid w:val="5D90101C"/>
    <w:rsid w:val="5EE62ABD"/>
    <w:rsid w:val="5F4E11E7"/>
    <w:rsid w:val="5FA36B77"/>
    <w:rsid w:val="63AD4F94"/>
    <w:rsid w:val="67E90CF6"/>
    <w:rsid w:val="67F814CD"/>
    <w:rsid w:val="68DA4C11"/>
    <w:rsid w:val="69FE41E0"/>
    <w:rsid w:val="6BFA38B5"/>
    <w:rsid w:val="6ED53C62"/>
    <w:rsid w:val="73CE74E3"/>
    <w:rsid w:val="742F001D"/>
    <w:rsid w:val="74BF7515"/>
    <w:rsid w:val="768538C6"/>
    <w:rsid w:val="7C694FA8"/>
    <w:rsid w:val="7DCA4F70"/>
    <w:rsid w:val="7F370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表格文字"/>
    <w:basedOn w:val="1"/>
    <w:qFormat/>
    <w:uiPriority w:val="0"/>
    <w:pPr>
      <w:spacing w:before="25" w:after="25"/>
      <w:jc w:val="left"/>
    </w:pPr>
    <w:rPr>
      <w:bCs/>
      <w:spacing w:val="10"/>
      <w:kern w:val="0"/>
      <w:sz w:val="24"/>
      <w:szCs w:val="20"/>
    </w:rPr>
  </w:style>
  <w:style w:type="paragraph" w:styleId="3">
    <w:name w:val="annotation text"/>
    <w:basedOn w:val="1"/>
    <w:qFormat/>
    <w:uiPriority w:val="0"/>
    <w:pPr>
      <w:spacing w:after="160" w:line="259" w:lineRule="auto"/>
    </w:pPr>
    <w:rPr>
      <w:rFonts w:ascii="等线" w:hAnsi="等线" w:eastAsia="等线" w:cs="Times New Roman"/>
      <w:kern w:val="0"/>
      <w:sz w:val="22"/>
    </w:rPr>
  </w:style>
  <w:style w:type="paragraph" w:styleId="4">
    <w:name w:val="Body Text"/>
    <w:basedOn w:val="1"/>
    <w:next w:val="5"/>
    <w:qFormat/>
    <w:uiPriority w:val="0"/>
    <w:pPr>
      <w:widowControl w:val="0"/>
      <w:spacing w:before="61"/>
      <w:ind w:left="102"/>
    </w:pPr>
    <w:rPr>
      <w:rFonts w:ascii="宋体" w:hAnsi="宋体" w:eastAsia="宋体"/>
      <w:kern w:val="0"/>
      <w:sz w:val="28"/>
      <w:szCs w:val="28"/>
      <w:lang w:eastAsia="en-US"/>
    </w:rPr>
  </w:style>
  <w:style w:type="paragraph" w:styleId="5">
    <w:name w:val="Title"/>
    <w:basedOn w:val="1"/>
    <w:next w:val="1"/>
    <w:qFormat/>
    <w:uiPriority w:val="0"/>
    <w:pPr>
      <w:spacing w:before="240" w:after="60"/>
      <w:jc w:val="center"/>
      <w:outlineLvl w:val="0"/>
    </w:pPr>
    <w:rPr>
      <w:rFonts w:ascii="Cambria" w:hAnsi="Cambria" w:eastAsia="宋体"/>
      <w:b/>
      <w:bCs/>
    </w:rPr>
  </w:style>
  <w:style w:type="paragraph" w:styleId="6">
    <w:name w:val="footnote text"/>
    <w:basedOn w:val="1"/>
    <w:qFormat/>
    <w:uiPriority w:val="0"/>
    <w:pPr>
      <w:snapToGrid w:val="0"/>
      <w:jc w:val="left"/>
    </w:pPr>
    <w:rPr>
      <w:sz w:val="18"/>
    </w:rPr>
  </w:style>
  <w:style w:type="paragraph" w:styleId="7">
    <w:name w:val="Body Text First Indent"/>
    <w:basedOn w:val="4"/>
    <w:qFormat/>
    <w:uiPriority w:val="0"/>
    <w:pPr>
      <w:ind w:firstLine="420" w:firstLineChars="100"/>
    </w:p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BodyText"/>
    <w:basedOn w:val="1"/>
    <w:qFormat/>
    <w:uiPriority w:val="0"/>
    <w:rPr>
      <w:rFonts w:ascii="Calibri" w:hAnsi="Calibri"/>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2025-01-23T01:08:00Z</dcterms:created>
  <dc:creator>hongxh</dc:creator>
  <cp:lastModifiedBy>Story★ </cp:lastModifiedBy>
  <cp:lastPrinted>2025-02-20T08:14:00Z</cp:lastPrinted>
  <dcterms:modified xsi:type="dcterms:W3CDTF">2025-06-09T03:23:21Z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45F33E5890C341F0856085EE26F915C4</vt:lpwstr>
  </property>
</Properties>
</file>