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09CC6">
      <w:pPr>
        <w:keepNext w:val="0"/>
        <w:keepLines w:val="0"/>
        <w:pageBreakBefore w:val="0"/>
        <w:widowControl w:val="0"/>
        <w:kinsoku/>
        <w:wordWrap/>
        <w:overflowPunct/>
        <w:topLinePunct w:val="0"/>
        <w:autoSpaceDE/>
        <w:autoSpaceDN/>
        <w:bidi w:val="0"/>
        <w:adjustRightInd/>
        <w:snapToGrid/>
        <w:spacing w:afterLines="200" w:line="640" w:lineRule="exact"/>
        <w:ind w:firstLine="0" w:firstLineChars="0"/>
        <w:jc w:val="center"/>
        <w:textAlignment w:val="auto"/>
        <w:rPr>
          <w:rFonts w:hint="eastAsia" w:ascii="方正小标宋简体" w:hAnsi="方正小标宋简体" w:eastAsia="方正小标宋简体" w:cs="方正小标宋简体"/>
          <w:b w:val="0"/>
          <w:bCs w:val="0"/>
          <w:color w:val="auto"/>
          <w:spacing w:val="0"/>
          <w:w w:val="100"/>
          <w:sz w:val="44"/>
          <w:szCs w:val="44"/>
          <w:highlight w:val="none"/>
        </w:rPr>
      </w:pPr>
      <w:r>
        <w:rPr>
          <w:rFonts w:hint="eastAsia" w:ascii="方正小标宋简体" w:hAnsi="方正小标宋简体" w:eastAsia="方正小标宋简体" w:cs="方正小标宋简体"/>
          <w:b w:val="0"/>
          <w:bCs w:val="0"/>
          <w:color w:val="auto"/>
          <w:spacing w:val="0"/>
          <w:w w:val="100"/>
          <w:sz w:val="44"/>
          <w:szCs w:val="44"/>
          <w:highlight w:val="none"/>
        </w:rPr>
        <w:t>深圳市</w:t>
      </w:r>
      <w:r>
        <w:rPr>
          <w:rFonts w:hint="eastAsia" w:ascii="方正小标宋简体" w:hAnsi="方正小标宋简体" w:eastAsia="方正小标宋简体" w:cs="方正小标宋简体"/>
          <w:b w:val="0"/>
          <w:bCs w:val="0"/>
          <w:color w:val="auto"/>
          <w:spacing w:val="0"/>
          <w:w w:val="100"/>
          <w:sz w:val="44"/>
          <w:szCs w:val="44"/>
          <w:highlight w:val="none"/>
          <w:lang w:val="en-US" w:eastAsia="zh-CN"/>
        </w:rPr>
        <w:t>国有建设用地</w:t>
      </w:r>
      <w:r>
        <w:rPr>
          <w:rFonts w:hint="eastAsia" w:ascii="方正小标宋简体" w:hAnsi="方正小标宋简体" w:eastAsia="方正小标宋简体" w:cs="方正小标宋简体"/>
          <w:b w:val="0"/>
          <w:bCs w:val="0"/>
          <w:color w:val="auto"/>
          <w:spacing w:val="0"/>
          <w:w w:val="100"/>
          <w:sz w:val="44"/>
          <w:szCs w:val="44"/>
          <w:highlight w:val="none"/>
        </w:rPr>
        <w:t>使用权挂牌出让竞买须知</w:t>
      </w:r>
    </w:p>
    <w:p w14:paraId="07A01A3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pacing w:val="0"/>
          <w:w w:val="100"/>
          <w:sz w:val="32"/>
          <w:szCs w:val="32"/>
          <w:highlight w:val="none"/>
        </w:rPr>
      </w:pPr>
      <w:r>
        <w:rPr>
          <w:rFonts w:hint="eastAsia" w:ascii="黑体" w:hAnsi="黑体" w:eastAsia="黑体" w:cs="黑体"/>
          <w:b w:val="0"/>
          <w:bCs/>
          <w:color w:val="auto"/>
          <w:spacing w:val="0"/>
          <w:w w:val="100"/>
          <w:sz w:val="32"/>
          <w:szCs w:val="32"/>
          <w:highlight w:val="none"/>
        </w:rPr>
        <w:t>一、制定依据及适用范围</w:t>
      </w:r>
    </w:p>
    <w:p w14:paraId="5E2D927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按照有关法律、法规和规章的规定，深圳交易集团有限公司（深圳公共资源交易中心）（以下简称公共资源交易中心）</w:t>
      </w:r>
      <w:r>
        <w:rPr>
          <w:rFonts w:hint="eastAsia" w:ascii="仿宋_GB2312" w:hAnsi="仿宋_GB2312" w:eastAsia="仿宋_GB2312" w:cs="仿宋_GB2312"/>
          <w:color w:val="000000"/>
          <w:spacing w:val="0"/>
          <w:w w:val="100"/>
          <w:kern w:val="0"/>
          <w:sz w:val="32"/>
          <w:szCs w:val="32"/>
          <w:highlight w:val="none"/>
          <w:lang w:eastAsia="zh-CN"/>
        </w:rPr>
        <w:t>授权</w:t>
      </w:r>
      <w:r>
        <w:rPr>
          <w:rFonts w:hint="eastAsia" w:ascii="仿宋_GB2312" w:hAnsi="仿宋_GB2312" w:eastAsia="仿宋_GB2312" w:cs="仿宋_GB2312"/>
          <w:color w:val="000000"/>
          <w:spacing w:val="0"/>
          <w:w w:val="100"/>
          <w:kern w:val="0"/>
          <w:sz w:val="32"/>
          <w:szCs w:val="32"/>
          <w:highlight w:val="none"/>
          <w:lang w:val="en-US" w:eastAsia="zh-CN"/>
        </w:rPr>
        <w:t>深圳交易集团有限公司</w:t>
      </w:r>
      <w:r>
        <w:rPr>
          <w:rFonts w:hint="eastAsia" w:ascii="仿宋_GB2312" w:hAnsi="仿宋_GB2312" w:eastAsia="仿宋_GB2312" w:cs="仿宋_GB2312"/>
          <w:color w:val="000000"/>
          <w:spacing w:val="0"/>
          <w:w w:val="100"/>
          <w:kern w:val="0"/>
          <w:sz w:val="32"/>
          <w:szCs w:val="32"/>
          <w:highlight w:val="none"/>
          <w:lang w:eastAsia="zh-CN"/>
        </w:rPr>
        <w:t>土地矿业权</w:t>
      </w:r>
      <w:r>
        <w:rPr>
          <w:rFonts w:hint="eastAsia" w:ascii="仿宋_GB2312" w:hAnsi="仿宋_GB2312" w:eastAsia="仿宋_GB2312" w:cs="仿宋_GB2312"/>
          <w:color w:val="000000"/>
          <w:spacing w:val="0"/>
          <w:w w:val="100"/>
          <w:kern w:val="0"/>
          <w:sz w:val="32"/>
          <w:szCs w:val="32"/>
          <w:highlight w:val="none"/>
          <w:lang w:val="en-US" w:eastAsia="zh-CN"/>
        </w:rPr>
        <w:t>业</w:t>
      </w:r>
      <w:bookmarkStart w:id="0" w:name="_GoBack"/>
      <w:bookmarkEnd w:id="0"/>
      <w:r>
        <w:rPr>
          <w:rFonts w:hint="eastAsia" w:ascii="仿宋_GB2312" w:hAnsi="仿宋_GB2312" w:eastAsia="仿宋_GB2312" w:cs="仿宋_GB2312"/>
          <w:color w:val="000000"/>
          <w:spacing w:val="0"/>
          <w:w w:val="100"/>
          <w:kern w:val="0"/>
          <w:sz w:val="32"/>
          <w:szCs w:val="32"/>
          <w:highlight w:val="none"/>
          <w:lang w:val="en-US" w:eastAsia="zh-CN"/>
        </w:rPr>
        <w:t>务</w:t>
      </w:r>
      <w:r>
        <w:rPr>
          <w:rFonts w:hint="eastAsia" w:ascii="仿宋_GB2312" w:hAnsi="仿宋_GB2312" w:eastAsia="仿宋_GB2312" w:cs="仿宋_GB2312"/>
          <w:color w:val="000000"/>
          <w:spacing w:val="0"/>
          <w:w w:val="100"/>
          <w:kern w:val="0"/>
          <w:sz w:val="32"/>
          <w:szCs w:val="32"/>
          <w:highlight w:val="none"/>
          <w:lang w:eastAsia="zh-CN"/>
        </w:rPr>
        <w:t>分公司（</w:t>
      </w:r>
      <w:r>
        <w:rPr>
          <w:rFonts w:hint="eastAsia" w:ascii="仿宋_GB2312" w:hAnsi="仿宋_GB2312" w:eastAsia="仿宋_GB2312" w:cs="仿宋_GB2312"/>
          <w:color w:val="000000"/>
          <w:spacing w:val="0"/>
          <w:w w:val="100"/>
          <w:kern w:val="0"/>
          <w:sz w:val="32"/>
          <w:szCs w:val="32"/>
          <w:highlight w:val="none"/>
          <w:lang w:val="en-US" w:eastAsia="zh-CN"/>
        </w:rPr>
        <w:t>以下简称“土地分公司”</w:t>
      </w:r>
      <w:r>
        <w:rPr>
          <w:rFonts w:hint="eastAsia" w:ascii="仿宋_GB2312" w:hAnsi="仿宋_GB2312" w:eastAsia="仿宋_GB2312" w:cs="仿宋_GB2312"/>
          <w:color w:val="000000"/>
          <w:spacing w:val="0"/>
          <w:w w:val="100"/>
          <w:kern w:val="0"/>
          <w:sz w:val="32"/>
          <w:szCs w:val="32"/>
          <w:highlight w:val="none"/>
          <w:lang w:eastAsia="zh-CN"/>
        </w:rPr>
        <w:t>）</w:t>
      </w:r>
      <w:r>
        <w:rPr>
          <w:rFonts w:hint="eastAsia" w:ascii="仿宋_GB2312" w:hAnsi="仿宋_GB2312" w:eastAsia="仿宋_GB2312" w:cs="仿宋_GB2312"/>
          <w:color w:val="000000"/>
          <w:spacing w:val="0"/>
          <w:w w:val="100"/>
          <w:kern w:val="0"/>
          <w:sz w:val="32"/>
          <w:szCs w:val="32"/>
          <w:highlight w:val="none"/>
        </w:rPr>
        <w:t>制定</w:t>
      </w:r>
      <w:r>
        <w:rPr>
          <w:rFonts w:hint="eastAsia" w:ascii="仿宋_GB2312" w:hAnsi="仿宋_GB2312" w:eastAsia="仿宋_GB2312" w:cs="仿宋_GB2312"/>
          <w:color w:val="000000"/>
          <w:spacing w:val="0"/>
          <w:w w:val="100"/>
          <w:kern w:val="0"/>
          <w:sz w:val="32"/>
          <w:szCs w:val="32"/>
          <w:highlight w:val="none"/>
          <w:lang w:eastAsia="zh-CN"/>
        </w:rPr>
        <w:t>《</w:t>
      </w:r>
      <w:r>
        <w:rPr>
          <w:rFonts w:hint="eastAsia" w:ascii="仿宋_GB2312" w:hAnsi="仿宋_GB2312" w:eastAsia="仿宋_GB2312" w:cs="仿宋_GB2312"/>
          <w:color w:val="000000"/>
          <w:spacing w:val="0"/>
          <w:w w:val="100"/>
          <w:kern w:val="0"/>
          <w:sz w:val="32"/>
          <w:szCs w:val="32"/>
          <w:highlight w:val="none"/>
        </w:rPr>
        <w:t>深圳市国有建设用地使用权挂牌出让竞买须知》（以下简称《竞买须知》）。</w:t>
      </w:r>
    </w:p>
    <w:p w14:paraId="312621B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lang w:val="en-US" w:eastAsia="zh-CN"/>
        </w:rPr>
        <w:t>本</w:t>
      </w:r>
      <w:r>
        <w:rPr>
          <w:rFonts w:hint="eastAsia" w:ascii="仿宋_GB2312" w:hAnsi="仿宋_GB2312" w:eastAsia="仿宋_GB2312" w:cs="仿宋_GB2312"/>
          <w:color w:val="000000"/>
          <w:spacing w:val="0"/>
          <w:w w:val="100"/>
          <w:kern w:val="0"/>
          <w:sz w:val="32"/>
          <w:szCs w:val="32"/>
          <w:highlight w:val="none"/>
          <w:lang w:eastAsia="zh-CN"/>
        </w:rPr>
        <w:t>《竞买须知》</w:t>
      </w:r>
      <w:r>
        <w:rPr>
          <w:rFonts w:hint="eastAsia" w:ascii="仿宋_GB2312" w:hAnsi="仿宋_GB2312" w:eastAsia="仿宋_GB2312" w:cs="仿宋_GB2312"/>
          <w:color w:val="000000"/>
          <w:spacing w:val="0"/>
          <w:w w:val="100"/>
          <w:kern w:val="0"/>
          <w:sz w:val="32"/>
          <w:szCs w:val="32"/>
          <w:highlight w:val="none"/>
        </w:rPr>
        <w:t>适用于</w:t>
      </w:r>
      <w:r>
        <w:rPr>
          <w:rFonts w:hint="eastAsia" w:ascii="仿宋_GB2312" w:hAnsi="仿宋_GB2312" w:eastAsia="仿宋_GB2312" w:cs="仿宋_GB2312"/>
          <w:color w:val="000000"/>
          <w:spacing w:val="0"/>
          <w:w w:val="100"/>
          <w:kern w:val="0"/>
          <w:sz w:val="32"/>
          <w:szCs w:val="32"/>
          <w:highlight w:val="none"/>
          <w:lang w:val="en-US" w:eastAsia="zh-CN"/>
        </w:rPr>
        <w:t>土地分公司</w:t>
      </w:r>
      <w:r>
        <w:rPr>
          <w:rFonts w:hint="eastAsia" w:ascii="仿宋_GB2312" w:hAnsi="仿宋_GB2312" w:eastAsia="仿宋_GB2312" w:cs="仿宋_GB2312"/>
          <w:color w:val="000000"/>
          <w:spacing w:val="0"/>
          <w:w w:val="100"/>
          <w:kern w:val="0"/>
          <w:sz w:val="32"/>
          <w:szCs w:val="32"/>
          <w:highlight w:val="none"/>
        </w:rPr>
        <w:t>组织国有</w:t>
      </w:r>
      <w:r>
        <w:rPr>
          <w:rFonts w:hint="eastAsia" w:ascii="仿宋_GB2312" w:hAnsi="仿宋_GB2312" w:eastAsia="仿宋_GB2312" w:cs="仿宋_GB2312"/>
          <w:color w:val="000000"/>
          <w:spacing w:val="0"/>
          <w:w w:val="100"/>
          <w:kern w:val="0"/>
          <w:sz w:val="32"/>
          <w:szCs w:val="32"/>
          <w:highlight w:val="none"/>
          <w:lang w:val="en-US" w:eastAsia="zh-CN"/>
        </w:rPr>
        <w:t>建设用地</w:t>
      </w:r>
      <w:r>
        <w:rPr>
          <w:rFonts w:hint="eastAsia" w:ascii="仿宋_GB2312" w:hAnsi="仿宋_GB2312" w:eastAsia="仿宋_GB2312" w:cs="仿宋_GB2312"/>
          <w:color w:val="000000"/>
          <w:spacing w:val="0"/>
          <w:w w:val="100"/>
          <w:kern w:val="0"/>
          <w:sz w:val="32"/>
          <w:szCs w:val="32"/>
          <w:highlight w:val="none"/>
        </w:rPr>
        <w:t>使用权挂牌出让</w:t>
      </w:r>
      <w:r>
        <w:rPr>
          <w:rFonts w:hint="eastAsia" w:ascii="仿宋_GB2312" w:hAnsi="仿宋_GB2312" w:eastAsia="仿宋_GB2312" w:cs="仿宋_GB2312"/>
          <w:color w:val="000000"/>
          <w:spacing w:val="0"/>
          <w:w w:val="100"/>
          <w:kern w:val="0"/>
          <w:sz w:val="32"/>
          <w:szCs w:val="32"/>
          <w:highlight w:val="none"/>
          <w:lang w:val="en-US" w:eastAsia="zh-CN"/>
        </w:rPr>
        <w:t>活动</w:t>
      </w:r>
      <w:r>
        <w:rPr>
          <w:rFonts w:hint="eastAsia" w:ascii="仿宋_GB2312" w:hAnsi="仿宋_GB2312" w:eastAsia="仿宋_GB2312" w:cs="仿宋_GB2312"/>
          <w:color w:val="000000"/>
          <w:spacing w:val="0"/>
          <w:w w:val="100"/>
          <w:kern w:val="0"/>
          <w:sz w:val="32"/>
          <w:szCs w:val="32"/>
          <w:highlight w:val="none"/>
        </w:rPr>
        <w:t>。</w:t>
      </w:r>
    </w:p>
    <w:p w14:paraId="5463CD7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国有建设用地使用权挂牌出让应遵循公开、公平、公正和诚实信用原则。</w:t>
      </w:r>
    </w:p>
    <w:p w14:paraId="1EE4CEE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pacing w:val="0"/>
          <w:w w:val="100"/>
          <w:sz w:val="32"/>
          <w:szCs w:val="32"/>
          <w:highlight w:val="none"/>
        </w:rPr>
      </w:pPr>
      <w:r>
        <w:rPr>
          <w:rFonts w:hint="eastAsia" w:ascii="黑体" w:hAnsi="黑体" w:eastAsia="黑体" w:cs="黑体"/>
          <w:b w:val="0"/>
          <w:bCs/>
          <w:color w:val="auto"/>
          <w:spacing w:val="0"/>
          <w:w w:val="100"/>
          <w:sz w:val="32"/>
          <w:szCs w:val="32"/>
          <w:highlight w:val="none"/>
        </w:rPr>
        <w:t>二、出让文件</w:t>
      </w:r>
    </w:p>
    <w:p w14:paraId="21F396B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出让文件在深圳公共资源交易网发布</w:t>
      </w:r>
      <w:r>
        <w:rPr>
          <w:rFonts w:hint="eastAsia" w:ascii="仿宋_GB2312" w:hAnsi="仿宋_GB2312" w:eastAsia="仿宋_GB2312" w:cs="仿宋_GB2312"/>
          <w:color w:val="000000"/>
          <w:spacing w:val="0"/>
          <w:w w:val="100"/>
          <w:kern w:val="0"/>
          <w:sz w:val="32"/>
          <w:szCs w:val="32"/>
          <w:highlight w:val="none"/>
          <w:lang w:eastAsia="zh-CN"/>
        </w:rPr>
        <w:t>，</w:t>
      </w:r>
      <w:r>
        <w:rPr>
          <w:rFonts w:hint="eastAsia" w:ascii="仿宋_GB2312" w:hAnsi="仿宋_GB2312" w:eastAsia="仿宋_GB2312" w:cs="仿宋_GB2312"/>
          <w:color w:val="000000"/>
          <w:spacing w:val="0"/>
          <w:w w:val="100"/>
          <w:kern w:val="0"/>
          <w:sz w:val="32"/>
          <w:szCs w:val="32"/>
          <w:highlight w:val="none"/>
        </w:rPr>
        <w:t>可登录https://www.szggzy.com/jygg/list.html?id=tdky查阅或下载。出让文件包括：</w:t>
      </w:r>
    </w:p>
    <w:p w14:paraId="24BD183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（一）</w:t>
      </w:r>
      <w:r>
        <w:rPr>
          <w:rFonts w:hint="eastAsia" w:ascii="仿宋_GB2312" w:hAnsi="仿宋_GB2312" w:eastAsia="仿宋_GB2312" w:cs="仿宋_GB2312"/>
          <w:color w:val="000000"/>
          <w:spacing w:val="0"/>
          <w:w w:val="100"/>
          <w:kern w:val="0"/>
          <w:sz w:val="32"/>
          <w:szCs w:val="32"/>
          <w:highlight w:val="none"/>
          <w:lang w:val="en-US" w:eastAsia="zh-CN"/>
        </w:rPr>
        <w:t xml:space="preserve"> </w:t>
      </w:r>
      <w:r>
        <w:rPr>
          <w:rFonts w:hint="eastAsia" w:ascii="仿宋_GB2312" w:hAnsi="仿宋_GB2312" w:eastAsia="仿宋_GB2312" w:cs="仿宋_GB2312"/>
          <w:color w:val="000000"/>
          <w:spacing w:val="0"/>
          <w:w w:val="100"/>
          <w:kern w:val="0"/>
          <w:sz w:val="32"/>
          <w:szCs w:val="32"/>
          <w:highlight w:val="none"/>
        </w:rPr>
        <w:t>公开发布的有关国有建设用地使用权出让公告（以下简称公告）；</w:t>
      </w:r>
    </w:p>
    <w:p w14:paraId="5EE2D65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（二）《深圳市</w:t>
      </w:r>
      <w:r>
        <w:rPr>
          <w:rFonts w:hint="eastAsia" w:ascii="仿宋_GB2312" w:hAnsi="仿宋_GB2312" w:eastAsia="仿宋_GB2312" w:cs="仿宋_GB2312"/>
          <w:color w:val="000000"/>
          <w:spacing w:val="0"/>
          <w:w w:val="100"/>
          <w:kern w:val="0"/>
          <w:sz w:val="32"/>
          <w:szCs w:val="32"/>
          <w:highlight w:val="none"/>
          <w:lang w:val="en-US" w:eastAsia="zh-CN"/>
        </w:rPr>
        <w:t>国有建设用地</w:t>
      </w:r>
      <w:r>
        <w:rPr>
          <w:rFonts w:hint="eastAsia" w:ascii="仿宋_GB2312" w:hAnsi="仿宋_GB2312" w:eastAsia="仿宋_GB2312" w:cs="仿宋_GB2312"/>
          <w:color w:val="000000"/>
          <w:spacing w:val="0"/>
          <w:w w:val="100"/>
          <w:kern w:val="0"/>
          <w:sz w:val="32"/>
          <w:szCs w:val="32"/>
          <w:highlight w:val="none"/>
        </w:rPr>
        <w:t>使用权挂牌出让竞买须知》；</w:t>
      </w:r>
    </w:p>
    <w:p w14:paraId="57816AC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（三）《竞买申请书》（样本）；</w:t>
      </w:r>
    </w:p>
    <w:p w14:paraId="5A6830E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eastAsia="zh-CN"/>
        </w:rPr>
      </w:pPr>
      <w:r>
        <w:rPr>
          <w:rFonts w:hint="eastAsia" w:ascii="仿宋_GB2312" w:hAnsi="仿宋_GB2312" w:eastAsia="仿宋_GB2312" w:cs="仿宋_GB2312"/>
          <w:color w:val="000000"/>
          <w:spacing w:val="0"/>
          <w:w w:val="100"/>
          <w:kern w:val="0"/>
          <w:sz w:val="32"/>
          <w:szCs w:val="32"/>
          <w:highlight w:val="none"/>
          <w:lang w:eastAsia="zh-CN"/>
        </w:rPr>
        <w:t>（</w:t>
      </w:r>
      <w:r>
        <w:rPr>
          <w:rFonts w:hint="eastAsia" w:ascii="仿宋_GB2312" w:hAnsi="仿宋_GB2312" w:eastAsia="仿宋_GB2312" w:cs="仿宋_GB2312"/>
          <w:color w:val="000000"/>
          <w:spacing w:val="0"/>
          <w:w w:val="100"/>
          <w:kern w:val="0"/>
          <w:sz w:val="32"/>
          <w:szCs w:val="32"/>
          <w:highlight w:val="none"/>
          <w:lang w:val="en-US" w:eastAsia="zh-CN"/>
        </w:rPr>
        <w:t>四</w:t>
      </w:r>
      <w:r>
        <w:rPr>
          <w:rFonts w:hint="eastAsia" w:ascii="仿宋_GB2312" w:hAnsi="仿宋_GB2312" w:eastAsia="仿宋_GB2312" w:cs="仿宋_GB2312"/>
          <w:color w:val="000000"/>
          <w:spacing w:val="0"/>
          <w:w w:val="100"/>
          <w:kern w:val="0"/>
          <w:sz w:val="32"/>
          <w:szCs w:val="32"/>
          <w:highlight w:val="none"/>
          <w:lang w:eastAsia="zh-CN"/>
        </w:rPr>
        <w:t>）《</w:t>
      </w:r>
      <w:r>
        <w:rPr>
          <w:rFonts w:hint="eastAsia" w:ascii="仿宋_GB2312" w:hAnsi="仿宋_GB2312" w:eastAsia="仿宋_GB2312" w:cs="仿宋_GB2312"/>
          <w:color w:val="000000"/>
          <w:spacing w:val="0"/>
          <w:w w:val="100"/>
          <w:kern w:val="0"/>
          <w:sz w:val="32"/>
          <w:szCs w:val="32"/>
          <w:highlight w:val="none"/>
          <w:lang w:val="en-US" w:eastAsia="zh-CN"/>
        </w:rPr>
        <w:t>书面报价单</w:t>
      </w:r>
      <w:r>
        <w:rPr>
          <w:rFonts w:hint="eastAsia" w:ascii="仿宋_GB2312" w:hAnsi="仿宋_GB2312" w:eastAsia="仿宋_GB2312" w:cs="仿宋_GB2312"/>
          <w:color w:val="000000"/>
          <w:spacing w:val="0"/>
          <w:w w:val="100"/>
          <w:kern w:val="0"/>
          <w:sz w:val="32"/>
          <w:szCs w:val="32"/>
          <w:highlight w:val="none"/>
          <w:lang w:eastAsia="zh-CN"/>
        </w:rPr>
        <w:t>》（</w:t>
      </w:r>
      <w:r>
        <w:rPr>
          <w:rFonts w:hint="eastAsia" w:ascii="仿宋_GB2312" w:hAnsi="仿宋_GB2312" w:eastAsia="仿宋_GB2312" w:cs="仿宋_GB2312"/>
          <w:color w:val="000000"/>
          <w:spacing w:val="0"/>
          <w:w w:val="100"/>
          <w:kern w:val="0"/>
          <w:sz w:val="32"/>
          <w:szCs w:val="32"/>
          <w:highlight w:val="none"/>
          <w:lang w:val="en-US" w:eastAsia="zh-CN"/>
        </w:rPr>
        <w:t>样本</w:t>
      </w:r>
      <w:r>
        <w:rPr>
          <w:rFonts w:hint="eastAsia" w:ascii="仿宋_GB2312" w:hAnsi="仿宋_GB2312" w:eastAsia="仿宋_GB2312" w:cs="仿宋_GB2312"/>
          <w:color w:val="000000"/>
          <w:spacing w:val="0"/>
          <w:w w:val="100"/>
          <w:kern w:val="0"/>
          <w:sz w:val="32"/>
          <w:szCs w:val="32"/>
          <w:highlight w:val="none"/>
          <w:lang w:eastAsia="zh-CN"/>
        </w:rPr>
        <w:t>）；</w:t>
      </w:r>
    </w:p>
    <w:p w14:paraId="28274C7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w:t>
      </w:r>
      <w:r>
        <w:rPr>
          <w:rFonts w:hint="eastAsia" w:ascii="仿宋_GB2312" w:hAnsi="仿宋_GB2312" w:eastAsia="仿宋_GB2312" w:cs="仿宋_GB2312"/>
          <w:color w:val="000000"/>
          <w:spacing w:val="0"/>
          <w:w w:val="100"/>
          <w:kern w:val="0"/>
          <w:sz w:val="32"/>
          <w:szCs w:val="32"/>
          <w:highlight w:val="none"/>
          <w:lang w:val="en-US" w:eastAsia="zh-CN"/>
        </w:rPr>
        <w:t>五</w:t>
      </w:r>
      <w:r>
        <w:rPr>
          <w:rFonts w:hint="eastAsia" w:ascii="仿宋_GB2312" w:hAnsi="仿宋_GB2312" w:eastAsia="仿宋_GB2312" w:cs="仿宋_GB2312"/>
          <w:color w:val="000000"/>
          <w:spacing w:val="0"/>
          <w:w w:val="100"/>
          <w:kern w:val="0"/>
          <w:sz w:val="32"/>
          <w:szCs w:val="32"/>
          <w:highlight w:val="none"/>
        </w:rPr>
        <w:t>）《成交确认书》（样本）；</w:t>
      </w:r>
    </w:p>
    <w:p w14:paraId="5AEBCD2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w:t>
      </w:r>
      <w:r>
        <w:rPr>
          <w:rFonts w:hint="eastAsia" w:ascii="仿宋_GB2312" w:hAnsi="仿宋_GB2312" w:eastAsia="仿宋_GB2312" w:cs="仿宋_GB2312"/>
          <w:color w:val="000000"/>
          <w:spacing w:val="0"/>
          <w:w w:val="100"/>
          <w:kern w:val="0"/>
          <w:sz w:val="32"/>
          <w:szCs w:val="32"/>
          <w:highlight w:val="none"/>
          <w:lang w:val="en-US" w:eastAsia="zh-CN"/>
        </w:rPr>
        <w:t>六</w:t>
      </w:r>
      <w:r>
        <w:rPr>
          <w:rFonts w:hint="eastAsia" w:ascii="仿宋_GB2312" w:hAnsi="仿宋_GB2312" w:eastAsia="仿宋_GB2312" w:cs="仿宋_GB2312"/>
          <w:color w:val="000000"/>
          <w:spacing w:val="0"/>
          <w:w w:val="100"/>
          <w:kern w:val="0"/>
          <w:sz w:val="32"/>
          <w:szCs w:val="32"/>
          <w:highlight w:val="none"/>
        </w:rPr>
        <w:t>）《深圳市国有建设用地使用权出让合同》（样本，以下简称《出让合同》）；</w:t>
      </w:r>
    </w:p>
    <w:p w14:paraId="05113F2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w:t>
      </w:r>
      <w:r>
        <w:rPr>
          <w:rFonts w:hint="eastAsia" w:ascii="仿宋_GB2312" w:hAnsi="仿宋_GB2312" w:eastAsia="仿宋_GB2312" w:cs="仿宋_GB2312"/>
          <w:color w:val="000000"/>
          <w:spacing w:val="0"/>
          <w:w w:val="100"/>
          <w:kern w:val="0"/>
          <w:sz w:val="32"/>
          <w:szCs w:val="32"/>
          <w:highlight w:val="none"/>
          <w:lang w:val="en-US" w:eastAsia="zh-CN"/>
        </w:rPr>
        <w:t>七</w:t>
      </w:r>
      <w:r>
        <w:rPr>
          <w:rFonts w:hint="eastAsia" w:ascii="仿宋_GB2312" w:hAnsi="仿宋_GB2312" w:eastAsia="仿宋_GB2312" w:cs="仿宋_GB2312"/>
          <w:color w:val="000000"/>
          <w:spacing w:val="0"/>
          <w:w w:val="100"/>
          <w:kern w:val="0"/>
          <w:sz w:val="32"/>
          <w:szCs w:val="32"/>
          <w:highlight w:val="none"/>
        </w:rPr>
        <w:t>）《关于竞买人关联性的承诺函》（样本）；</w:t>
      </w:r>
    </w:p>
    <w:p w14:paraId="36438BC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w:t>
      </w:r>
      <w:r>
        <w:rPr>
          <w:rFonts w:hint="eastAsia" w:ascii="仿宋_GB2312" w:hAnsi="仿宋_GB2312" w:eastAsia="仿宋_GB2312" w:cs="仿宋_GB2312"/>
          <w:color w:val="000000"/>
          <w:spacing w:val="0"/>
          <w:w w:val="100"/>
          <w:kern w:val="0"/>
          <w:sz w:val="32"/>
          <w:szCs w:val="32"/>
          <w:highlight w:val="none"/>
          <w:lang w:val="en-US" w:eastAsia="zh-CN"/>
        </w:rPr>
        <w:t>八</w:t>
      </w:r>
      <w:r>
        <w:rPr>
          <w:rFonts w:hint="eastAsia" w:ascii="仿宋_GB2312" w:hAnsi="仿宋_GB2312" w:eastAsia="仿宋_GB2312" w:cs="仿宋_GB2312"/>
          <w:color w:val="000000"/>
          <w:spacing w:val="0"/>
          <w:w w:val="100"/>
          <w:kern w:val="0"/>
          <w:sz w:val="32"/>
          <w:szCs w:val="32"/>
          <w:highlight w:val="none"/>
        </w:rPr>
        <w:t>）《关于土地购置资金来源的承诺函》（样本）；</w:t>
      </w:r>
    </w:p>
    <w:p w14:paraId="06D26FD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w:t>
      </w:r>
      <w:r>
        <w:rPr>
          <w:rFonts w:hint="eastAsia" w:ascii="仿宋_GB2312" w:hAnsi="仿宋_GB2312" w:eastAsia="仿宋_GB2312" w:cs="仿宋_GB2312"/>
          <w:color w:val="000000"/>
          <w:spacing w:val="0"/>
          <w:w w:val="100"/>
          <w:kern w:val="0"/>
          <w:sz w:val="32"/>
          <w:szCs w:val="32"/>
          <w:highlight w:val="none"/>
          <w:lang w:val="en-US" w:eastAsia="zh-CN"/>
        </w:rPr>
        <w:t>九</w:t>
      </w:r>
      <w:r>
        <w:rPr>
          <w:rFonts w:hint="eastAsia" w:ascii="仿宋_GB2312" w:hAnsi="仿宋_GB2312" w:eastAsia="仿宋_GB2312" w:cs="仿宋_GB2312"/>
          <w:color w:val="000000"/>
          <w:spacing w:val="0"/>
          <w:w w:val="100"/>
          <w:kern w:val="0"/>
          <w:sz w:val="32"/>
          <w:szCs w:val="32"/>
          <w:highlight w:val="none"/>
        </w:rPr>
        <w:t>）《商品住房用地购置资金来源情况申报表》（样本）；</w:t>
      </w:r>
    </w:p>
    <w:p w14:paraId="65DB2EE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w:t>
      </w:r>
      <w:r>
        <w:rPr>
          <w:rFonts w:hint="eastAsia" w:ascii="仿宋_GB2312" w:hAnsi="仿宋_GB2312" w:eastAsia="仿宋_GB2312" w:cs="仿宋_GB2312"/>
          <w:color w:val="000000"/>
          <w:spacing w:val="0"/>
          <w:w w:val="100"/>
          <w:kern w:val="0"/>
          <w:sz w:val="32"/>
          <w:szCs w:val="32"/>
          <w:highlight w:val="none"/>
          <w:lang w:val="en-US" w:eastAsia="zh-CN"/>
        </w:rPr>
        <w:t>十</w:t>
      </w:r>
      <w:r>
        <w:rPr>
          <w:rFonts w:hint="eastAsia" w:ascii="仿宋_GB2312" w:hAnsi="仿宋_GB2312" w:eastAsia="仿宋_GB2312" w:cs="仿宋_GB2312"/>
          <w:color w:val="000000"/>
          <w:spacing w:val="0"/>
          <w:w w:val="100"/>
          <w:kern w:val="0"/>
          <w:sz w:val="32"/>
          <w:szCs w:val="32"/>
          <w:highlight w:val="none"/>
        </w:rPr>
        <w:t>）</w:t>
      </w:r>
      <w:r>
        <w:rPr>
          <w:rFonts w:hint="eastAsia" w:ascii="仿宋_GB2312" w:hAnsi="仿宋_GB2312" w:eastAsia="仿宋_GB2312" w:cs="仿宋_GB2312"/>
          <w:color w:val="000000"/>
          <w:spacing w:val="0"/>
          <w:w w:val="100"/>
          <w:kern w:val="0"/>
          <w:sz w:val="32"/>
          <w:szCs w:val="32"/>
          <w:highlight w:val="none"/>
          <w:lang w:eastAsia="zh-CN"/>
        </w:rPr>
        <w:t>《</w:t>
      </w:r>
      <w:r>
        <w:rPr>
          <w:rFonts w:hint="eastAsia" w:ascii="仿宋_GB2312" w:hAnsi="仿宋_GB2312" w:eastAsia="仿宋_GB2312" w:cs="仿宋_GB2312"/>
          <w:color w:val="000000"/>
          <w:spacing w:val="0"/>
          <w:w w:val="100"/>
          <w:kern w:val="0"/>
          <w:sz w:val="32"/>
          <w:szCs w:val="32"/>
          <w:highlight w:val="none"/>
          <w:lang w:val="en-US" w:eastAsia="zh-CN"/>
        </w:rPr>
        <w:t>深圳市国有建设用地使用权出让现场摇号操作指引</w:t>
      </w:r>
      <w:r>
        <w:rPr>
          <w:rFonts w:hint="eastAsia" w:ascii="仿宋_GB2312" w:hAnsi="仿宋_GB2312" w:eastAsia="仿宋_GB2312" w:cs="仿宋_GB2312"/>
          <w:color w:val="000000"/>
          <w:spacing w:val="0"/>
          <w:w w:val="100"/>
          <w:kern w:val="0"/>
          <w:sz w:val="32"/>
          <w:szCs w:val="32"/>
          <w:highlight w:val="none"/>
          <w:lang w:eastAsia="zh-CN"/>
        </w:rPr>
        <w:t>》</w:t>
      </w:r>
      <w:r>
        <w:rPr>
          <w:rFonts w:hint="eastAsia" w:ascii="仿宋_GB2312" w:hAnsi="仿宋_GB2312" w:eastAsia="仿宋_GB2312" w:cs="仿宋_GB2312"/>
          <w:color w:val="000000"/>
          <w:spacing w:val="0"/>
          <w:w w:val="100"/>
          <w:kern w:val="0"/>
          <w:sz w:val="32"/>
          <w:szCs w:val="32"/>
          <w:highlight w:val="none"/>
        </w:rPr>
        <w:t>；</w:t>
      </w:r>
    </w:p>
    <w:p w14:paraId="3BC8188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w:t>
      </w:r>
      <w:r>
        <w:rPr>
          <w:rFonts w:hint="eastAsia" w:ascii="仿宋_GB2312" w:hAnsi="仿宋_GB2312" w:eastAsia="仿宋_GB2312" w:cs="仿宋_GB2312"/>
          <w:color w:val="000000"/>
          <w:spacing w:val="0"/>
          <w:w w:val="100"/>
          <w:kern w:val="0"/>
          <w:sz w:val="32"/>
          <w:szCs w:val="32"/>
          <w:highlight w:val="none"/>
          <w:lang w:val="en-US" w:eastAsia="zh-CN"/>
        </w:rPr>
        <w:t>十一</w:t>
      </w:r>
      <w:r>
        <w:rPr>
          <w:rFonts w:hint="eastAsia" w:ascii="仿宋_GB2312" w:hAnsi="仿宋_GB2312" w:eastAsia="仿宋_GB2312" w:cs="仿宋_GB2312"/>
          <w:color w:val="000000"/>
          <w:spacing w:val="0"/>
          <w:w w:val="100"/>
          <w:kern w:val="0"/>
          <w:sz w:val="32"/>
          <w:szCs w:val="32"/>
          <w:highlight w:val="none"/>
          <w:lang w:eastAsia="zh-CN"/>
        </w:rPr>
        <w:t>）</w:t>
      </w:r>
      <w:r>
        <w:rPr>
          <w:rFonts w:hint="eastAsia" w:ascii="仿宋_GB2312" w:hAnsi="仿宋_GB2312" w:eastAsia="仿宋_GB2312" w:cs="仿宋_GB2312"/>
          <w:color w:val="000000"/>
          <w:spacing w:val="0"/>
          <w:w w:val="100"/>
          <w:kern w:val="0"/>
          <w:sz w:val="32"/>
          <w:szCs w:val="32"/>
          <w:highlight w:val="none"/>
        </w:rPr>
        <w:t>《深圳市国有建设用地使用权出让竞买人关联性审查操作指引》；</w:t>
      </w:r>
    </w:p>
    <w:p w14:paraId="47C6B53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eastAsia="zh-CN"/>
        </w:rPr>
      </w:pPr>
      <w:r>
        <w:rPr>
          <w:rFonts w:hint="eastAsia" w:ascii="仿宋_GB2312" w:hAnsi="仿宋_GB2312" w:eastAsia="仿宋_GB2312" w:cs="仿宋_GB2312"/>
          <w:color w:val="000000"/>
          <w:spacing w:val="0"/>
          <w:w w:val="100"/>
          <w:kern w:val="0"/>
          <w:sz w:val="32"/>
          <w:szCs w:val="32"/>
          <w:highlight w:val="none"/>
        </w:rPr>
        <w:t>（</w:t>
      </w:r>
      <w:r>
        <w:rPr>
          <w:rFonts w:hint="eastAsia" w:ascii="仿宋_GB2312" w:hAnsi="仿宋_GB2312" w:eastAsia="仿宋_GB2312" w:cs="仿宋_GB2312"/>
          <w:color w:val="000000"/>
          <w:spacing w:val="0"/>
          <w:w w:val="100"/>
          <w:kern w:val="0"/>
          <w:sz w:val="32"/>
          <w:szCs w:val="32"/>
          <w:highlight w:val="none"/>
          <w:lang w:val="en-US" w:eastAsia="zh-CN"/>
        </w:rPr>
        <w:t>十二）</w:t>
      </w:r>
      <w:r>
        <w:rPr>
          <w:rFonts w:hint="eastAsia" w:ascii="仿宋_GB2312" w:hAnsi="仿宋_GB2312" w:eastAsia="仿宋_GB2312" w:cs="仿宋_GB2312"/>
          <w:color w:val="000000"/>
          <w:spacing w:val="0"/>
          <w:w w:val="100"/>
          <w:kern w:val="0"/>
          <w:sz w:val="32"/>
          <w:szCs w:val="32"/>
          <w:highlight w:val="none"/>
        </w:rPr>
        <w:t>《</w:t>
      </w:r>
      <w:r>
        <w:rPr>
          <w:rFonts w:hint="eastAsia" w:ascii="仿宋_GB2312" w:hAnsi="仿宋_GB2312" w:eastAsia="仿宋_GB2312" w:cs="仿宋_GB2312"/>
          <w:color w:val="000000"/>
          <w:spacing w:val="0"/>
          <w:w w:val="100"/>
          <w:kern w:val="0"/>
          <w:sz w:val="32"/>
          <w:szCs w:val="32"/>
          <w:highlight w:val="none"/>
          <w:lang w:val="en-US" w:eastAsia="zh-CN"/>
        </w:rPr>
        <w:t>国有土地使用权出让收入缴款及竞买保证金退转操作指引</w:t>
      </w:r>
      <w:r>
        <w:rPr>
          <w:rFonts w:hint="eastAsia" w:ascii="仿宋_GB2312" w:hAnsi="仿宋_GB2312" w:eastAsia="仿宋_GB2312" w:cs="仿宋_GB2312"/>
          <w:color w:val="000000"/>
          <w:spacing w:val="0"/>
          <w:w w:val="100"/>
          <w:kern w:val="0"/>
          <w:sz w:val="32"/>
          <w:szCs w:val="32"/>
          <w:highlight w:val="none"/>
        </w:rPr>
        <w:t>》</w:t>
      </w:r>
      <w:r>
        <w:rPr>
          <w:rFonts w:hint="eastAsia" w:ascii="仿宋_GB2312" w:hAnsi="仿宋_GB2312" w:eastAsia="仿宋_GB2312" w:cs="仿宋_GB2312"/>
          <w:color w:val="000000"/>
          <w:spacing w:val="0"/>
          <w:w w:val="100"/>
          <w:kern w:val="0"/>
          <w:sz w:val="32"/>
          <w:szCs w:val="32"/>
          <w:highlight w:val="none"/>
          <w:lang w:eastAsia="zh-CN"/>
        </w:rPr>
        <w:t>；</w:t>
      </w:r>
    </w:p>
    <w:p w14:paraId="1D1F0DD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lang w:eastAsia="zh-CN"/>
        </w:rPr>
        <w:t>（</w:t>
      </w:r>
      <w:r>
        <w:rPr>
          <w:rFonts w:hint="eastAsia" w:ascii="仿宋_GB2312" w:hAnsi="仿宋_GB2312" w:eastAsia="仿宋_GB2312" w:cs="仿宋_GB2312"/>
          <w:color w:val="000000"/>
          <w:spacing w:val="0"/>
          <w:w w:val="100"/>
          <w:kern w:val="0"/>
          <w:sz w:val="32"/>
          <w:szCs w:val="32"/>
          <w:highlight w:val="none"/>
          <w:lang w:val="en-US" w:eastAsia="zh-CN"/>
        </w:rPr>
        <w:t>十三</w:t>
      </w:r>
      <w:r>
        <w:rPr>
          <w:rFonts w:hint="eastAsia" w:ascii="仿宋_GB2312" w:hAnsi="仿宋_GB2312" w:eastAsia="仿宋_GB2312" w:cs="仿宋_GB2312"/>
          <w:color w:val="000000"/>
          <w:spacing w:val="0"/>
          <w:w w:val="100"/>
          <w:kern w:val="0"/>
          <w:sz w:val="32"/>
          <w:szCs w:val="32"/>
          <w:highlight w:val="none"/>
          <w:lang w:eastAsia="zh-CN"/>
        </w:rPr>
        <w:t>）</w:t>
      </w:r>
      <w:r>
        <w:rPr>
          <w:rFonts w:hint="eastAsia" w:ascii="仿宋_GB2312" w:hAnsi="仿宋_GB2312" w:eastAsia="仿宋_GB2312" w:cs="仿宋_GB2312"/>
          <w:color w:val="000000"/>
          <w:spacing w:val="0"/>
          <w:w w:val="100"/>
          <w:kern w:val="0"/>
          <w:sz w:val="32"/>
          <w:szCs w:val="32"/>
          <w:highlight w:val="none"/>
        </w:rPr>
        <w:t>公告规定的其他文件。</w:t>
      </w:r>
    </w:p>
    <w:p w14:paraId="74EDBB4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pacing w:val="0"/>
          <w:w w:val="100"/>
          <w:sz w:val="32"/>
          <w:szCs w:val="32"/>
          <w:highlight w:val="none"/>
        </w:rPr>
      </w:pPr>
      <w:r>
        <w:rPr>
          <w:rFonts w:hint="eastAsia" w:ascii="黑体" w:hAnsi="黑体" w:eastAsia="黑体" w:cs="黑体"/>
          <w:b w:val="0"/>
          <w:bCs/>
          <w:color w:val="auto"/>
          <w:spacing w:val="0"/>
          <w:w w:val="100"/>
          <w:sz w:val="32"/>
          <w:szCs w:val="32"/>
          <w:highlight w:val="none"/>
        </w:rPr>
        <w:t>三、竞买约定</w:t>
      </w:r>
    </w:p>
    <w:p w14:paraId="07BDD9B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lang w:val="en-US" w:eastAsia="zh-CN"/>
        </w:rPr>
        <w:t>意向竞买人</w:t>
      </w:r>
      <w:r>
        <w:rPr>
          <w:rFonts w:hint="eastAsia" w:ascii="仿宋_GB2312" w:hAnsi="仿宋_GB2312" w:eastAsia="仿宋_GB2312" w:cs="仿宋_GB2312"/>
          <w:color w:val="000000"/>
          <w:spacing w:val="0"/>
          <w:w w:val="100"/>
          <w:kern w:val="0"/>
          <w:sz w:val="32"/>
          <w:szCs w:val="32"/>
          <w:highlight w:val="none"/>
        </w:rPr>
        <w:t>提交竞买申请前，应对出让宗地进行实地踏勘，全面了解出让文件和宗地现状；对出让文件和宗地现状有疑问的，应在竞买申请前向土地分公司书面提出。</w:t>
      </w:r>
      <w:r>
        <w:rPr>
          <w:rFonts w:hint="eastAsia" w:ascii="仿宋_GB2312" w:hAnsi="仿宋_GB2312" w:eastAsia="仿宋_GB2312" w:cs="仿宋_GB2312"/>
          <w:color w:val="000000"/>
          <w:spacing w:val="0"/>
          <w:w w:val="100"/>
          <w:kern w:val="0"/>
          <w:sz w:val="32"/>
          <w:szCs w:val="32"/>
          <w:highlight w:val="none"/>
          <w:lang w:val="en-US" w:eastAsia="zh-CN"/>
        </w:rPr>
        <w:t>意向竞买人</w:t>
      </w:r>
      <w:r>
        <w:rPr>
          <w:rFonts w:hint="eastAsia" w:ascii="仿宋_GB2312" w:hAnsi="仿宋_GB2312" w:eastAsia="仿宋_GB2312" w:cs="仿宋_GB2312"/>
          <w:color w:val="000000"/>
          <w:spacing w:val="0"/>
          <w:w w:val="100"/>
          <w:kern w:val="0"/>
          <w:sz w:val="32"/>
          <w:szCs w:val="32"/>
          <w:highlight w:val="none"/>
        </w:rPr>
        <w:t>一旦提出竞买申请，即视为对出让文件内容清楚并自愿受其约束，对宗地现状无异议。</w:t>
      </w:r>
    </w:p>
    <w:p w14:paraId="6543A2C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竞得出让宗地后，</w:t>
      </w:r>
      <w:r>
        <w:rPr>
          <w:rFonts w:hint="eastAsia" w:ascii="仿宋_GB2312" w:hAnsi="仿宋_GB2312" w:eastAsia="仿宋_GB2312" w:cs="仿宋_GB2312"/>
          <w:color w:val="000000"/>
          <w:spacing w:val="0"/>
          <w:w w:val="100"/>
          <w:kern w:val="0"/>
          <w:sz w:val="32"/>
          <w:szCs w:val="32"/>
          <w:highlight w:val="none"/>
          <w:lang w:val="en-US" w:eastAsia="zh-CN"/>
        </w:rPr>
        <w:t>竞得人</w:t>
      </w:r>
      <w:r>
        <w:rPr>
          <w:rFonts w:hint="eastAsia" w:ascii="仿宋_GB2312" w:hAnsi="仿宋_GB2312" w:eastAsia="仿宋_GB2312" w:cs="仿宋_GB2312"/>
          <w:color w:val="000000"/>
          <w:spacing w:val="0"/>
          <w:w w:val="100"/>
          <w:kern w:val="0"/>
          <w:sz w:val="32"/>
          <w:szCs w:val="32"/>
          <w:highlight w:val="none"/>
        </w:rPr>
        <w:t>不得以该宗地的出让文件和现状异议对成交结果及所签署的相关文件提出抗辩。</w:t>
      </w:r>
    </w:p>
    <w:p w14:paraId="100E219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pacing w:val="0"/>
          <w:w w:val="100"/>
          <w:sz w:val="32"/>
          <w:szCs w:val="32"/>
          <w:highlight w:val="none"/>
          <w:lang w:val="en-US" w:eastAsia="zh-CN"/>
        </w:rPr>
      </w:pPr>
      <w:r>
        <w:rPr>
          <w:rFonts w:hint="eastAsia" w:ascii="黑体" w:hAnsi="黑体" w:eastAsia="黑体" w:cs="黑体"/>
          <w:b w:val="0"/>
          <w:bCs/>
          <w:color w:val="auto"/>
          <w:spacing w:val="0"/>
          <w:w w:val="100"/>
          <w:sz w:val="32"/>
          <w:szCs w:val="32"/>
          <w:highlight w:val="none"/>
        </w:rPr>
        <w:t>四、出让</w:t>
      </w:r>
      <w:r>
        <w:rPr>
          <w:rFonts w:hint="eastAsia" w:ascii="黑体" w:hAnsi="黑体" w:eastAsia="黑体" w:cs="黑体"/>
          <w:b w:val="0"/>
          <w:bCs/>
          <w:color w:val="auto"/>
          <w:spacing w:val="0"/>
          <w:w w:val="100"/>
          <w:sz w:val="32"/>
          <w:szCs w:val="32"/>
          <w:highlight w:val="none"/>
          <w:lang w:val="en-US" w:eastAsia="zh-CN"/>
        </w:rPr>
        <w:t>公告</w:t>
      </w:r>
      <w:r>
        <w:rPr>
          <w:rFonts w:hint="eastAsia" w:ascii="黑体" w:hAnsi="黑体" w:eastAsia="黑体" w:cs="黑体"/>
          <w:b w:val="0"/>
          <w:bCs/>
          <w:color w:val="auto"/>
          <w:spacing w:val="0"/>
          <w:w w:val="100"/>
          <w:sz w:val="32"/>
          <w:szCs w:val="32"/>
          <w:highlight w:val="none"/>
        </w:rPr>
        <w:t>的</w:t>
      </w:r>
      <w:r>
        <w:rPr>
          <w:rFonts w:hint="eastAsia" w:ascii="黑体" w:hAnsi="黑体" w:eastAsia="黑体" w:cs="黑体"/>
          <w:b w:val="0"/>
          <w:bCs/>
          <w:color w:val="auto"/>
          <w:spacing w:val="0"/>
          <w:w w:val="100"/>
          <w:sz w:val="32"/>
          <w:szCs w:val="32"/>
          <w:highlight w:val="none"/>
          <w:lang w:val="en-US" w:eastAsia="zh-CN"/>
        </w:rPr>
        <w:t>更改</w:t>
      </w:r>
    </w:p>
    <w:p w14:paraId="674D416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需要更改出让公告内容的，土地分公司将更改后的补充公告在深圳公共资源交易网上发布，相关主体可登录网站进行查询。补充公告与当次其他出让文件具有同等效力，如后者与前者不一致时，以后者为准。</w:t>
      </w:r>
    </w:p>
    <w:p w14:paraId="582F49E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pacing w:val="0"/>
          <w:w w:val="100"/>
          <w:sz w:val="32"/>
          <w:szCs w:val="32"/>
          <w:highlight w:val="none"/>
        </w:rPr>
      </w:pPr>
      <w:r>
        <w:rPr>
          <w:rFonts w:hint="eastAsia" w:ascii="黑体" w:hAnsi="黑体" w:eastAsia="黑体" w:cs="黑体"/>
          <w:b w:val="0"/>
          <w:bCs/>
          <w:color w:val="auto"/>
          <w:spacing w:val="0"/>
          <w:w w:val="100"/>
          <w:sz w:val="32"/>
          <w:szCs w:val="32"/>
          <w:highlight w:val="none"/>
        </w:rPr>
        <w:t>五、申请程序与规则</w:t>
      </w:r>
    </w:p>
    <w:p w14:paraId="77C2375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spacing w:val="0"/>
          <w:w w:val="100"/>
          <w:kern w:val="0"/>
          <w:sz w:val="32"/>
          <w:szCs w:val="32"/>
          <w:highlight w:val="none"/>
          <w:lang w:val="en-US" w:eastAsia="zh-CN"/>
        </w:rPr>
      </w:pPr>
      <w:r>
        <w:rPr>
          <w:rFonts w:hint="eastAsia" w:ascii="楷体_GB2312" w:hAnsi="楷体_GB2312" w:eastAsia="楷体_GB2312" w:cs="楷体_GB2312"/>
          <w:color w:val="000000"/>
          <w:spacing w:val="0"/>
          <w:w w:val="100"/>
          <w:kern w:val="0"/>
          <w:sz w:val="32"/>
          <w:szCs w:val="32"/>
          <w:highlight w:val="none"/>
          <w:lang w:val="en-US" w:eastAsia="zh-CN"/>
        </w:rPr>
        <w:t>（一）网上注册</w:t>
      </w:r>
    </w:p>
    <w:p w14:paraId="106199D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意向竞买人应在深圳公共资源交易网登录统一用户中心（</w:t>
      </w:r>
      <w:r>
        <w:rPr>
          <w:rFonts w:hint="eastAsia" w:ascii="仿宋_GB2312" w:hAnsi="仿宋_GB2312" w:eastAsia="仿宋_GB2312" w:cs="仿宋_GB2312"/>
          <w:color w:val="000000"/>
          <w:spacing w:val="0"/>
          <w:w w:val="100"/>
          <w:kern w:val="0"/>
          <w:sz w:val="32"/>
          <w:szCs w:val="32"/>
          <w:highlight w:val="none"/>
          <w:lang w:val="en-US" w:eastAsia="zh-CN"/>
        </w:rPr>
        <w:fldChar w:fldCharType="begin"/>
      </w:r>
      <w:r>
        <w:rPr>
          <w:rFonts w:hint="eastAsia" w:ascii="仿宋_GB2312" w:hAnsi="仿宋_GB2312" w:eastAsia="仿宋_GB2312" w:cs="仿宋_GB2312"/>
          <w:color w:val="000000"/>
          <w:spacing w:val="0"/>
          <w:w w:val="100"/>
          <w:kern w:val="0"/>
          <w:sz w:val="32"/>
          <w:szCs w:val="32"/>
          <w:highlight w:val="none"/>
          <w:lang w:val="en-US" w:eastAsia="zh-CN"/>
        </w:rPr>
        <w:instrText xml:space="preserve"> HYPERLINK "https://trade.szggzy.com/ggzy/center/" \l "/login" \t "https://www.szggzy.com/jyfw/_self" </w:instrText>
      </w:r>
      <w:r>
        <w:rPr>
          <w:rFonts w:hint="eastAsia" w:ascii="仿宋_GB2312" w:hAnsi="仿宋_GB2312" w:eastAsia="仿宋_GB2312" w:cs="仿宋_GB2312"/>
          <w:color w:val="000000"/>
          <w:spacing w:val="0"/>
          <w:w w:val="100"/>
          <w:kern w:val="0"/>
          <w:sz w:val="32"/>
          <w:szCs w:val="32"/>
          <w:highlight w:val="none"/>
          <w:lang w:val="en-US" w:eastAsia="zh-CN"/>
        </w:rPr>
        <w:fldChar w:fldCharType="separate"/>
      </w:r>
      <w:r>
        <w:rPr>
          <w:rFonts w:hint="eastAsia" w:ascii="仿宋_GB2312" w:hAnsi="仿宋_GB2312" w:eastAsia="仿宋_GB2312" w:cs="仿宋_GB2312"/>
          <w:color w:val="000000"/>
          <w:spacing w:val="0"/>
          <w:w w:val="100"/>
          <w:kern w:val="0"/>
          <w:sz w:val="32"/>
          <w:szCs w:val="32"/>
          <w:highlight w:val="none"/>
          <w:lang w:val="en-US" w:eastAsia="zh-CN"/>
        </w:rPr>
        <w:t>https://trade.szggzy.com/ggzy/center/#/login</w:t>
      </w:r>
      <w:r>
        <w:rPr>
          <w:rFonts w:hint="eastAsia" w:ascii="仿宋_GB2312" w:hAnsi="仿宋_GB2312" w:eastAsia="仿宋_GB2312" w:cs="仿宋_GB2312"/>
          <w:color w:val="000000"/>
          <w:spacing w:val="0"/>
          <w:w w:val="100"/>
          <w:kern w:val="0"/>
          <w:sz w:val="32"/>
          <w:szCs w:val="32"/>
          <w:highlight w:val="none"/>
          <w:lang w:val="en-US" w:eastAsia="zh-CN"/>
        </w:rPr>
        <w:fldChar w:fldCharType="end"/>
      </w:r>
      <w:r>
        <w:rPr>
          <w:rFonts w:hint="eastAsia" w:ascii="仿宋_GB2312" w:hAnsi="仿宋_GB2312" w:eastAsia="仿宋_GB2312" w:cs="仿宋_GB2312"/>
          <w:color w:val="000000"/>
          <w:spacing w:val="0"/>
          <w:w w:val="100"/>
          <w:kern w:val="0"/>
          <w:sz w:val="32"/>
          <w:szCs w:val="32"/>
          <w:highlight w:val="none"/>
          <w:lang w:val="en-US" w:eastAsia="zh-CN"/>
        </w:rPr>
        <w:t>），参照平台上的《土地矿业权交易平台竞买人操作指引》（以下简称《竞买人操作指引》，</w:t>
      </w:r>
      <w:r>
        <w:rPr>
          <w:rFonts w:hint="eastAsia" w:ascii="仿宋_GB2312" w:hAnsi="仿宋_GB2312" w:eastAsia="仿宋_GB2312" w:cs="仿宋_GB2312"/>
          <w:color w:val="000000"/>
          <w:spacing w:val="0"/>
          <w:w w:val="100"/>
          <w:kern w:val="0"/>
          <w:sz w:val="32"/>
          <w:szCs w:val="32"/>
          <w:highlight w:val="none"/>
          <w:lang w:val="en-US" w:eastAsia="zh-CN"/>
        </w:rPr>
        <w:fldChar w:fldCharType="begin"/>
      </w:r>
      <w:r>
        <w:rPr>
          <w:rFonts w:hint="eastAsia" w:ascii="仿宋_GB2312" w:hAnsi="仿宋_GB2312" w:eastAsia="仿宋_GB2312" w:cs="仿宋_GB2312"/>
          <w:color w:val="000000"/>
          <w:spacing w:val="0"/>
          <w:w w:val="100"/>
          <w:kern w:val="0"/>
          <w:sz w:val="32"/>
          <w:szCs w:val="32"/>
          <w:highlight w:val="none"/>
          <w:lang w:val="en-US" w:eastAsia="zh-CN"/>
        </w:rPr>
        <w:instrText xml:space="preserve"> HYPERLINK "https://www.szggzy.com/jyfw/details.html?contentId=1717872" </w:instrText>
      </w:r>
      <w:r>
        <w:rPr>
          <w:rFonts w:hint="eastAsia" w:ascii="仿宋_GB2312" w:hAnsi="仿宋_GB2312" w:eastAsia="仿宋_GB2312" w:cs="仿宋_GB2312"/>
          <w:color w:val="000000"/>
          <w:spacing w:val="0"/>
          <w:w w:val="100"/>
          <w:kern w:val="0"/>
          <w:sz w:val="32"/>
          <w:szCs w:val="32"/>
          <w:highlight w:val="none"/>
          <w:lang w:val="en-US" w:eastAsia="zh-CN"/>
        </w:rPr>
        <w:fldChar w:fldCharType="separate"/>
      </w:r>
      <w:r>
        <w:rPr>
          <w:rFonts w:hint="eastAsia" w:ascii="仿宋_GB2312" w:hAnsi="仿宋_GB2312" w:eastAsia="仿宋_GB2312" w:cs="仿宋_GB2312"/>
          <w:color w:val="000000"/>
          <w:spacing w:val="0"/>
          <w:w w:val="100"/>
          <w:kern w:val="0"/>
          <w:sz w:val="32"/>
          <w:szCs w:val="32"/>
          <w:highlight w:val="none"/>
          <w:lang w:val="en-US" w:eastAsia="zh-CN"/>
        </w:rPr>
        <w:t>https://www.szggzy.com/jyfw/details.html?contentId=1717872</w:t>
      </w:r>
      <w:r>
        <w:rPr>
          <w:rFonts w:hint="eastAsia" w:ascii="仿宋_GB2312" w:hAnsi="仿宋_GB2312" w:eastAsia="仿宋_GB2312" w:cs="仿宋_GB2312"/>
          <w:color w:val="000000"/>
          <w:spacing w:val="0"/>
          <w:w w:val="100"/>
          <w:kern w:val="0"/>
          <w:sz w:val="32"/>
          <w:szCs w:val="32"/>
          <w:highlight w:val="none"/>
          <w:lang w:val="en-US" w:eastAsia="zh-CN"/>
        </w:rPr>
        <w:fldChar w:fldCharType="end"/>
      </w:r>
      <w:r>
        <w:rPr>
          <w:rFonts w:hint="eastAsia" w:ascii="仿宋_GB2312" w:hAnsi="仿宋_GB2312" w:eastAsia="仿宋_GB2312" w:cs="仿宋_GB2312"/>
          <w:color w:val="000000"/>
          <w:spacing w:val="0"/>
          <w:w w:val="100"/>
          <w:kern w:val="0"/>
          <w:sz w:val="32"/>
          <w:szCs w:val="32"/>
          <w:highlight w:val="none"/>
          <w:lang w:val="en-US" w:eastAsia="zh-CN"/>
        </w:rPr>
        <w:t>）进行网上注册。</w:t>
      </w:r>
    </w:p>
    <w:p w14:paraId="2EA8D56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意向竞买人注册账号有以下方式：</w:t>
      </w:r>
    </w:p>
    <w:p w14:paraId="22AA654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1、通过CA数字认证方式的，意向竞买人需办理CA证书，下载深圳交易集团CA互通平台驱动（详见深圳公共资源交易网公示的《深圳交易集团CA互通平台用户操作手册》），插入CA证书进行注册；</w:t>
      </w:r>
    </w:p>
    <w:p w14:paraId="35FE7CD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2、通过省统一认证方式的，可点击广东省统一身份认证平台登录系统通过跳转进行注册认证；</w:t>
      </w:r>
    </w:p>
    <w:p w14:paraId="4AA97F9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3、通过电子营业执照方式的，可使用微信APP扫码即可进行电子营业执照注册；</w:t>
      </w:r>
    </w:p>
    <w:p w14:paraId="0A839E3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4、通过全国共享互认CA方式的，使用共享互认CA APP扫码，授权登录系统。使用此方式登录前，请先确保已下载共享互认CA APP并完成注册。</w:t>
      </w:r>
    </w:p>
    <w:p w14:paraId="7FC8686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5、其他方式</w:t>
      </w:r>
    </w:p>
    <w:p w14:paraId="72ADA81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1）通过经办人方式的，填写企业信息、法定代表人信息、经办人信息，上传注册资料完善信息时，意向竞买人须提供的资料包括经办人证件照片、企业证件照片、法人授权委托书（加盖公章）、办理承诺函（加盖公章）。</w:t>
      </w:r>
      <w:r>
        <w:rPr>
          <w:rFonts w:hint="eastAsia" w:ascii="仿宋_GB2312" w:hAnsi="仿宋_GB2312" w:eastAsia="仿宋_GB2312" w:cs="仿宋_GB2312"/>
          <w:color w:val="000000"/>
          <w:spacing w:val="0"/>
          <w:w w:val="100"/>
          <w:kern w:val="0"/>
          <w:sz w:val="32"/>
          <w:szCs w:val="32"/>
          <w:highlight w:val="none"/>
          <w:lang w:val="en-US" w:eastAsia="zh-CN"/>
        </w:rPr>
        <w:br w:type="textWrapping"/>
      </w:r>
      <w:r>
        <w:rPr>
          <w:rFonts w:hint="eastAsia" w:ascii="仿宋_GB2312" w:hAnsi="仿宋_GB2312" w:eastAsia="仿宋_GB2312" w:cs="仿宋_GB2312"/>
          <w:color w:val="000000"/>
          <w:spacing w:val="0"/>
          <w:w w:val="100"/>
          <w:kern w:val="0"/>
          <w:sz w:val="32"/>
          <w:szCs w:val="32"/>
          <w:highlight w:val="none"/>
          <w:lang w:val="en-US" w:eastAsia="zh-CN"/>
        </w:rPr>
        <w:t xml:space="preserve">   （2）通过法定代表人方式的，填写企业信息、法定代表人信息，上传注册资料完善信息时，意向竞买人须提供的资料包括法人证件照片、企业证件照片、办理承诺函（加盖公章）。</w:t>
      </w:r>
    </w:p>
    <w:p w14:paraId="7A8AEAB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意向竞买人使用账户密码登陆的，意向竞买人可使用与账号绑定的手机号，获取并输入短信验证码后，登录系统。然后前往【统一用户中心-我的账户-安全中心】使用手机绑定功能，将手机与账号绑定。</w:t>
      </w:r>
    </w:p>
    <w:p w14:paraId="4E6725BC">
      <w:pPr>
        <w:keepNext w:val="0"/>
        <w:keepLines w:val="0"/>
        <w:pageBreakBefore w:val="0"/>
        <w:widowControl/>
        <w:kinsoku/>
        <w:wordWrap/>
        <w:overflowPunct/>
        <w:topLinePunct w:val="0"/>
        <w:autoSpaceDE/>
        <w:autoSpaceDN/>
        <w:bidi w:val="0"/>
        <w:adjustRightInd/>
        <w:snapToGrid/>
        <w:spacing w:line="560" w:lineRule="exact"/>
        <w:ind w:left="637" w:leftChars="236" w:firstLine="0" w:firstLineChars="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同一意向竞买人可按规定申请参与竞买不同宗地。 </w:t>
      </w:r>
    </w:p>
    <w:p w14:paraId="3D248D96">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意向竞买人须对其网上注册信息的真实性、有效性及合法性负责。意向竞买人须确保当前身份证明信息与网上注册信息一致，在</w:t>
      </w:r>
      <w:r>
        <w:rPr>
          <w:rFonts w:hint="eastAsia" w:ascii="仿宋_GB2312" w:hAnsi="仿宋_GB2312" w:eastAsia="仿宋_GB2312" w:cs="仿宋_GB2312"/>
          <w:color w:val="000000"/>
          <w:spacing w:val="0"/>
          <w:w w:val="100"/>
          <w:kern w:val="0"/>
          <w:sz w:val="32"/>
          <w:szCs w:val="32"/>
          <w:highlight w:val="none"/>
          <w:lang w:val="en-IE" w:eastAsia="zh-CN"/>
        </w:rPr>
        <w:t>账</w:t>
      </w:r>
      <w:r>
        <w:rPr>
          <w:rFonts w:hint="eastAsia" w:ascii="仿宋_GB2312" w:hAnsi="仿宋_GB2312" w:eastAsia="仿宋_GB2312" w:cs="仿宋_GB2312"/>
          <w:color w:val="000000"/>
          <w:spacing w:val="0"/>
          <w:w w:val="100"/>
          <w:kern w:val="0"/>
          <w:sz w:val="32"/>
          <w:szCs w:val="32"/>
          <w:highlight w:val="none"/>
          <w:lang w:val="en-US" w:eastAsia="zh-CN"/>
        </w:rPr>
        <w:t>号有效期内，如出现身份证明、联系方式等注册信息变更的，须及时通过深圳公共资源交易网更新注册信息。否则，因信息不一致所引起的包括但不限于竞买或竞得资格被取消的一切后果和法律责任，概由意向竞买人自行承担。</w:t>
      </w:r>
    </w:p>
    <w:p w14:paraId="34FDB21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意向竞买人应当妥善保管</w:t>
      </w:r>
      <w:r>
        <w:rPr>
          <w:rFonts w:hint="eastAsia" w:ascii="仿宋_GB2312" w:hAnsi="仿宋_GB2312" w:eastAsia="仿宋_GB2312" w:cs="仿宋_GB2312"/>
          <w:color w:val="000000"/>
          <w:spacing w:val="0"/>
          <w:w w:val="100"/>
          <w:kern w:val="0"/>
          <w:sz w:val="32"/>
          <w:szCs w:val="32"/>
          <w:highlight w:val="none"/>
          <w:lang w:val="en-IE" w:eastAsia="zh-CN"/>
        </w:rPr>
        <w:t>账</w:t>
      </w:r>
      <w:r>
        <w:rPr>
          <w:rFonts w:hint="eastAsia" w:ascii="仿宋_GB2312" w:hAnsi="仿宋_GB2312" w:eastAsia="仿宋_GB2312" w:cs="仿宋_GB2312"/>
          <w:color w:val="000000"/>
          <w:spacing w:val="0"/>
          <w:w w:val="100"/>
          <w:kern w:val="0"/>
          <w:sz w:val="32"/>
          <w:szCs w:val="32"/>
          <w:highlight w:val="none"/>
          <w:lang w:val="en-US" w:eastAsia="zh-CN"/>
        </w:rPr>
        <w:t>号和密码，如有遗失的，其后果由意向竞买人自行负责；如因泄露密码，造成他人通过深圳土地矿业权交易平台报价的，视同意向竞买人的报价，并由意向竞买人承担全部法律责任。前述泄露密码是指意向竞买人将密码故意或过失泄露给他人的行为，包括但不限于在进入深圳土地矿业权交易平台后，离开报价终端前不退出系统致使他人可以继续报价的，或者放任他人进行操作等情形。</w:t>
      </w:r>
    </w:p>
    <w:p w14:paraId="0019351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spacing w:val="0"/>
          <w:w w:val="100"/>
          <w:kern w:val="0"/>
          <w:sz w:val="32"/>
          <w:szCs w:val="32"/>
          <w:highlight w:val="none"/>
          <w:lang w:val="en-US" w:eastAsia="zh-CN"/>
        </w:rPr>
      </w:pPr>
      <w:r>
        <w:rPr>
          <w:rFonts w:hint="eastAsia" w:ascii="楷体_GB2312" w:hAnsi="楷体_GB2312" w:eastAsia="楷体_GB2312" w:cs="楷体_GB2312"/>
          <w:color w:val="000000"/>
          <w:spacing w:val="0"/>
          <w:w w:val="100"/>
          <w:kern w:val="0"/>
          <w:sz w:val="32"/>
          <w:szCs w:val="32"/>
          <w:highlight w:val="none"/>
          <w:lang w:val="en-US" w:eastAsia="zh-CN"/>
        </w:rPr>
        <w:t>（二）申请竞买</w:t>
      </w:r>
    </w:p>
    <w:p w14:paraId="1A22BE20">
      <w:pPr>
        <w:pStyle w:val="8"/>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IE" w:eastAsia="zh-CN" w:bidi="ar-SA"/>
        </w:rPr>
      </w:pPr>
      <w:r>
        <w:rPr>
          <w:rFonts w:hint="eastAsia" w:ascii="仿宋_GB2312" w:hAnsi="仿宋_GB2312" w:eastAsia="仿宋_GB2312" w:cs="仿宋_GB2312"/>
          <w:color w:val="000000"/>
          <w:spacing w:val="0"/>
          <w:w w:val="100"/>
          <w:kern w:val="0"/>
          <w:sz w:val="32"/>
          <w:szCs w:val="32"/>
          <w:highlight w:val="none"/>
          <w:lang w:val="en-IE" w:eastAsia="zh-CN" w:bidi="ar-SA"/>
        </w:rPr>
        <w:t>意向竞买人网上注册后，在深圳公共资源交易网登录统一用户中心，进入深圳土地矿业权交易平台，选择意向宗地，提出竞买申请。</w:t>
      </w:r>
    </w:p>
    <w:p w14:paraId="3BE7218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spacing w:val="0"/>
          <w:w w:val="100"/>
          <w:kern w:val="0"/>
          <w:sz w:val="32"/>
          <w:szCs w:val="32"/>
          <w:highlight w:val="none"/>
          <w:lang w:val="en-US" w:eastAsia="zh-CN"/>
        </w:rPr>
      </w:pPr>
      <w:r>
        <w:rPr>
          <w:rFonts w:hint="eastAsia" w:ascii="楷体_GB2312" w:hAnsi="楷体_GB2312" w:eastAsia="楷体_GB2312" w:cs="楷体_GB2312"/>
          <w:color w:val="000000"/>
          <w:spacing w:val="0"/>
          <w:w w:val="100"/>
          <w:kern w:val="0"/>
          <w:sz w:val="32"/>
          <w:szCs w:val="32"/>
          <w:highlight w:val="none"/>
          <w:lang w:val="en-US" w:eastAsia="zh-CN"/>
        </w:rPr>
        <w:t>（三）交纳竞买保证金</w:t>
      </w:r>
    </w:p>
    <w:p w14:paraId="7BA9AB09">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提出竞买申请后，竞买申请人应按公告规定按时足额交纳竞买保证金，竞买保证金不得由其他单位或个人代交。竞买申请人交纳竞买保证金后，可通过深圳土地矿业权交易平台及时查询竞买保证金到账情况。竞买保证金到账截止时间以深圳土地矿业权交易平台网站显示的银行到账时间为准。</w:t>
      </w:r>
      <w:r>
        <w:rPr>
          <w:rFonts w:hint="eastAsia" w:ascii="仿宋_GB2312" w:hAnsi="仿宋_GB2312" w:eastAsia="仿宋_GB2312" w:cs="仿宋_GB2312"/>
          <w:color w:val="000000"/>
          <w:spacing w:val="0"/>
          <w:w w:val="100"/>
          <w:kern w:val="0"/>
          <w:sz w:val="32"/>
          <w:szCs w:val="32"/>
          <w:highlight w:val="none"/>
          <w:lang w:val="en-IE" w:eastAsia="zh-CN" w:bidi="ar-SA"/>
        </w:rPr>
        <w:t>竞买保证金的交纳具体程序详见</w:t>
      </w:r>
      <w:r>
        <w:rPr>
          <w:rFonts w:hint="eastAsia" w:ascii="仿宋_GB2312" w:hAnsi="仿宋_GB2312" w:eastAsia="仿宋_GB2312" w:cs="仿宋_GB2312"/>
          <w:color w:val="000000"/>
          <w:spacing w:val="0"/>
          <w:w w:val="100"/>
          <w:kern w:val="0"/>
          <w:sz w:val="32"/>
          <w:szCs w:val="32"/>
          <w:highlight w:val="none"/>
          <w:lang w:val="en-US" w:eastAsia="zh-CN" w:bidi="ar-SA"/>
        </w:rPr>
        <w:t>深圳公共资源交易网中的</w:t>
      </w:r>
      <w:r>
        <w:rPr>
          <w:rFonts w:hint="eastAsia" w:ascii="仿宋_GB2312" w:hAnsi="仿宋_GB2312" w:eastAsia="仿宋_GB2312" w:cs="仿宋_GB2312"/>
          <w:color w:val="000000"/>
          <w:spacing w:val="0"/>
          <w:w w:val="100"/>
          <w:kern w:val="0"/>
          <w:sz w:val="32"/>
          <w:szCs w:val="32"/>
          <w:highlight w:val="none"/>
          <w:lang w:val="en-IE" w:eastAsia="zh-CN" w:bidi="ar-SA"/>
        </w:rPr>
        <w:t>《</w:t>
      </w:r>
      <w:r>
        <w:rPr>
          <w:rFonts w:hint="eastAsia" w:ascii="仿宋_GB2312" w:hAnsi="仿宋_GB2312" w:eastAsia="仿宋_GB2312" w:cs="仿宋_GB2312"/>
          <w:color w:val="000000"/>
          <w:spacing w:val="0"/>
          <w:w w:val="100"/>
          <w:kern w:val="0"/>
          <w:sz w:val="32"/>
          <w:szCs w:val="32"/>
          <w:highlight w:val="none"/>
          <w:lang w:val="en-US" w:eastAsia="zh-CN" w:bidi="ar-SA"/>
        </w:rPr>
        <w:t>竞买人</w:t>
      </w:r>
      <w:r>
        <w:rPr>
          <w:rFonts w:hint="eastAsia" w:ascii="仿宋_GB2312" w:hAnsi="仿宋_GB2312" w:eastAsia="仿宋_GB2312" w:cs="仿宋_GB2312"/>
          <w:color w:val="000000"/>
          <w:spacing w:val="0"/>
          <w:w w:val="100"/>
          <w:kern w:val="0"/>
          <w:sz w:val="32"/>
          <w:szCs w:val="32"/>
          <w:highlight w:val="none"/>
          <w:lang w:val="en-IE" w:eastAsia="zh-CN" w:bidi="ar-SA"/>
        </w:rPr>
        <w:t>操作指引》。</w:t>
      </w:r>
    </w:p>
    <w:p w14:paraId="2B8CF26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spacing w:val="0"/>
          <w:w w:val="100"/>
          <w:kern w:val="0"/>
          <w:sz w:val="32"/>
          <w:szCs w:val="32"/>
          <w:highlight w:val="none"/>
          <w:lang w:val="en-US" w:eastAsia="zh-CN"/>
        </w:rPr>
      </w:pPr>
      <w:r>
        <w:rPr>
          <w:rFonts w:hint="eastAsia" w:ascii="楷体_GB2312" w:hAnsi="楷体_GB2312" w:eastAsia="楷体_GB2312" w:cs="楷体_GB2312"/>
          <w:color w:val="000000"/>
          <w:spacing w:val="0"/>
          <w:w w:val="100"/>
          <w:kern w:val="0"/>
          <w:sz w:val="32"/>
          <w:szCs w:val="32"/>
          <w:highlight w:val="none"/>
          <w:lang w:val="en-US" w:eastAsia="zh-CN"/>
        </w:rPr>
        <w:t>（四）申请确认竞买资格</w:t>
      </w:r>
    </w:p>
    <w:p w14:paraId="1189A8C0">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竞买申请人按时足额交纳竞买保证金后，将由深圳土地矿业权交易平台自动生成《竞买申请受理回执》，竞买申请人须通过深圳土地矿业权交易平台查看并打印该回执。</w:t>
      </w:r>
    </w:p>
    <w:p w14:paraId="59B1F5A2">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竞买申请人应按公告规定的时间和地点，向土地分公司申请确认竞买资格。在申请确认竞买资格时，竞买申请人须提交以下材料：</w:t>
      </w:r>
    </w:p>
    <w:p w14:paraId="0DAA74B4">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1.《竞买申请书》（深圳土地矿业权交易平台打印，需加盖公司公章）；</w:t>
      </w:r>
    </w:p>
    <w:p w14:paraId="188FBCC3">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2.《书面报价单》（深圳公共资源交易网下载，《书面报价单》一式两份，需加盖公司公章以及法定代表人或授权委托人签字或签章）；</w:t>
      </w:r>
    </w:p>
    <w:p w14:paraId="08749647">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3.《竞买申请受理回执》；</w:t>
      </w:r>
    </w:p>
    <w:p w14:paraId="361AEE76">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4.《关于竞买人关联性的承诺函》（深圳公共资源交易网下载，需加盖公司公章以及法定代表人或授权委托人签字或签章）；</w:t>
      </w:r>
    </w:p>
    <w:p w14:paraId="1EFA1517">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5.《关于“交房即发证”的承诺函》（深圳公共资源交易网下载，需加盖公司公章以及法定代表人或授权委托人签字或签章）</w:t>
      </w:r>
    </w:p>
    <w:p w14:paraId="732436D5">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6.股东结构关系证明材料。</w:t>
      </w:r>
    </w:p>
    <w:p w14:paraId="352FE995">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（1）竞买申请人所有涉及直接控股、间接控股的股东结构关系的树形图（需加盖公司公章）；</w:t>
      </w:r>
    </w:p>
    <w:p w14:paraId="28C7A992">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（2）竞买申请人隶属上市公司的，应提交相关上市公司主体近三年披露的年报（竞买申请人需在网上交易系统上传近三年年报的电子版，无需提供纸质盖章件）；</w:t>
      </w:r>
    </w:p>
    <w:p w14:paraId="2F1B984A">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7.《关于土地购置资金来源的承诺函》（深圳公共资源交易网下载，需加盖公司公章以及法定代表人或授权委托人签字或签章）；</w:t>
      </w:r>
    </w:p>
    <w:p w14:paraId="58BFB252">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8.全资子公司或项目公司的出资构成、成立时间等内容的说明文件。（拟成立全资子公司或项目公司进行开发建设的应提供，需加盖公司公章）；</w:t>
      </w:r>
    </w:p>
    <w:p w14:paraId="2F36AD0C">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9.《竞买须知》（深圳公共资源交易网下载，需加盖公司公章及骑缝章）；</w:t>
      </w:r>
    </w:p>
    <w:p w14:paraId="2BA5ED49">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10.相关身份证明材料：</w:t>
      </w:r>
    </w:p>
    <w:p w14:paraId="26D24D3B">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（1）营业执照副本复印件；</w:t>
      </w:r>
    </w:p>
    <w:p w14:paraId="7B9349DA">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（2）法定代表人证明书；</w:t>
      </w:r>
    </w:p>
    <w:p w14:paraId="54D12EA6">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（3）法定代表人身份证复印件；</w:t>
      </w:r>
    </w:p>
    <w:p w14:paraId="2D35DC26">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（4）公告要求的其他文件。</w:t>
      </w:r>
    </w:p>
    <w:p w14:paraId="4124F104">
      <w:pPr>
        <w:keepNext w:val="0"/>
        <w:keepLines w:val="0"/>
        <w:pageBreakBefore w:val="0"/>
        <w:widowControl/>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bCs/>
          <w:color w:val="000000"/>
          <w:spacing w:val="0"/>
          <w:w w:val="100"/>
          <w:kern w:val="0"/>
          <w:sz w:val="32"/>
          <w:szCs w:val="32"/>
          <w:highlight w:val="none"/>
          <w:lang w:val="en-US" w:eastAsia="zh-CN" w:bidi="ar-SA"/>
        </w:rPr>
      </w:pPr>
      <w:r>
        <w:rPr>
          <w:rFonts w:hint="eastAsia" w:ascii="仿宋_GB2312" w:hAnsi="仿宋_GB2312" w:eastAsia="仿宋_GB2312" w:cs="仿宋_GB2312"/>
          <w:b/>
          <w:bCs/>
          <w:color w:val="000000"/>
          <w:spacing w:val="0"/>
          <w:w w:val="100"/>
          <w:kern w:val="0"/>
          <w:sz w:val="32"/>
          <w:szCs w:val="32"/>
          <w:highlight w:val="none"/>
          <w:lang w:val="en-US" w:eastAsia="zh-CN" w:bidi="ar-SA"/>
        </w:rPr>
        <w:t>注意事项：</w:t>
      </w:r>
    </w:p>
    <w:p w14:paraId="021231E4">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1.前述材料均须加盖公章；凡未注明原件或复印件的，一律提交原件；凡注明提交复印件的，复印件需加盖公章，按照要求核原件。</w:t>
      </w:r>
    </w:p>
    <w:p w14:paraId="4E855CF9">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2.前来现场办理竞买手续的人员，应当携带本人身份证原件。</w:t>
      </w:r>
    </w:p>
    <w:p w14:paraId="6B23945C">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非法定代表人办理竞买手续的，应当出具授权委托书和身份证复印件，授权委托书应当注明委托期限和授权事项，法定代表人证明书和授权委托书模板自拟。授权事项主要包括：</w:t>
      </w:r>
    </w:p>
    <w:p w14:paraId="0E5BF649">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申请确认</w:t>
      </w:r>
      <w:r>
        <w:rPr>
          <w:rFonts w:hint="eastAsia" w:ascii="仿宋_GB2312" w:hAnsi="仿宋_GB2312" w:eastAsia="仿宋_GB2312" w:cs="仿宋_GB2312"/>
          <w:color w:val="000000"/>
          <w:spacing w:val="0"/>
          <w:w w:val="100"/>
          <w:kern w:val="0"/>
          <w:sz w:val="32"/>
          <w:szCs w:val="32"/>
          <w:highlight w:val="none"/>
          <w:u w:val="single"/>
          <w:lang w:val="en-US" w:eastAsia="zh-CN" w:bidi="ar-SA"/>
        </w:rPr>
        <w:t>A319-1225</w:t>
      </w:r>
      <w:r>
        <w:rPr>
          <w:rFonts w:hint="eastAsia" w:ascii="仿宋_GB2312" w:hAnsi="仿宋_GB2312" w:eastAsia="仿宋_GB2312" w:cs="仿宋_GB2312"/>
          <w:color w:val="000000"/>
          <w:spacing w:val="0"/>
          <w:w w:val="100"/>
          <w:kern w:val="0"/>
          <w:sz w:val="32"/>
          <w:szCs w:val="32"/>
          <w:highlight w:val="none"/>
          <w:lang w:val="en-US" w:eastAsia="zh-CN" w:bidi="ar-SA"/>
        </w:rPr>
        <w:t>宗地竞买资格；</w:t>
      </w:r>
    </w:p>
    <w:p w14:paraId="0B28FF30">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进行报价或竞价；</w:t>
      </w:r>
    </w:p>
    <w:p w14:paraId="47162CA6">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签订《成交确认书》；</w:t>
      </w:r>
    </w:p>
    <w:p w14:paraId="63136210">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参与现场摇号，领取身份号牌。</w:t>
      </w:r>
    </w:p>
    <w:p w14:paraId="69C005E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授权委托书应由法定代表人签字或签章；属于其他申请人类型的，参照上述要求办理；授权行为发生在境外的，应当按规定进行公证或认证。</w:t>
      </w:r>
    </w:p>
    <w:p w14:paraId="4CD16C1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3.各项材料可以使用其它语言，但必须附中文译本，所有材料的解释应以中文为准。</w:t>
      </w:r>
    </w:p>
    <w:p w14:paraId="4EE48A3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4.经审核，竞买申请人按时足额交纳竞买保证金，且提供的相关申请材料符合公告和《竞买须知》要求的，土地分公司将确认竞买申请人的竞买资格，竞买人可按规定参与报价或竞价。</w:t>
      </w:r>
    </w:p>
    <w:p w14:paraId="43ADF9B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5.有下列情形之一的，竞买资格不予确认：</w:t>
      </w:r>
    </w:p>
    <w:p w14:paraId="2E8A69D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（1）未按公告规定按时足额交纳竞买保证金的；</w:t>
      </w:r>
    </w:p>
    <w:p w14:paraId="46017D2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（2）竞买申请人不符合公告规定主体资格要求的；</w:t>
      </w:r>
    </w:p>
    <w:p w14:paraId="5FF3A66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（3） 竞买申请人网上注册信息与提供的相关申请材料不一致的；</w:t>
      </w:r>
    </w:p>
    <w:p w14:paraId="3F47DC4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（4）提供的相关申请材料不齐全，或者不符合公告或本《竞买须知》要求的；</w:t>
      </w:r>
    </w:p>
    <w:p w14:paraId="53A59003">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（5）《书面报价单》报价低于挂牌起始价的；</w:t>
      </w:r>
    </w:p>
    <w:p w14:paraId="257C40C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（6）不符合法律、法规、公告或本《竞买须知》规定的其他情形的。</w:t>
      </w:r>
    </w:p>
    <w:p w14:paraId="3B83D6B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对未确认竞买资格的，已交纳的竞买保证金由公共资源交易中心原路无息退还。</w:t>
      </w:r>
    </w:p>
    <w:p w14:paraId="7480D36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pacing w:val="0"/>
          <w:w w:val="100"/>
          <w:sz w:val="32"/>
          <w:szCs w:val="32"/>
          <w:highlight w:val="none"/>
        </w:rPr>
      </w:pPr>
      <w:r>
        <w:rPr>
          <w:rFonts w:hint="eastAsia" w:ascii="黑体" w:hAnsi="黑体" w:eastAsia="黑体" w:cs="黑体"/>
          <w:b w:val="0"/>
          <w:bCs/>
          <w:color w:val="auto"/>
          <w:spacing w:val="0"/>
          <w:w w:val="100"/>
          <w:sz w:val="32"/>
          <w:szCs w:val="32"/>
          <w:highlight w:val="none"/>
        </w:rPr>
        <w:t>六、竞价程序与规则</w:t>
      </w:r>
    </w:p>
    <w:p w14:paraId="499E5FE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spacing w:val="0"/>
          <w:w w:val="100"/>
          <w:kern w:val="0"/>
          <w:sz w:val="32"/>
          <w:szCs w:val="32"/>
          <w:highlight w:val="none"/>
          <w:lang w:val="en-US" w:eastAsia="zh-CN"/>
        </w:rPr>
      </w:pPr>
      <w:r>
        <w:rPr>
          <w:rFonts w:hint="eastAsia" w:ascii="楷体_GB2312" w:hAnsi="楷体_GB2312" w:eastAsia="楷体_GB2312" w:cs="楷体_GB2312"/>
          <w:color w:val="000000"/>
          <w:spacing w:val="0"/>
          <w:w w:val="100"/>
          <w:kern w:val="0"/>
          <w:sz w:val="32"/>
          <w:szCs w:val="32"/>
          <w:highlight w:val="none"/>
          <w:lang w:val="en-US" w:eastAsia="zh-CN"/>
        </w:rPr>
        <w:t>（一）报价</w:t>
      </w:r>
    </w:p>
    <w:p w14:paraId="5DC7392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本次出让宗地的挂牌出让起始价为人民币</w:t>
      </w:r>
      <w:r>
        <w:rPr>
          <w:rFonts w:hint="eastAsia" w:ascii="仿宋_GB2312" w:hAnsi="仿宋_GB2312" w:eastAsia="仿宋_GB2312" w:cs="仿宋_GB2312"/>
          <w:color w:val="000000"/>
          <w:spacing w:val="0"/>
          <w:w w:val="100"/>
          <w:kern w:val="0"/>
          <w:sz w:val="32"/>
          <w:szCs w:val="32"/>
          <w:highlight w:val="none"/>
          <w:u w:val="single"/>
          <w:lang w:val="en-US" w:eastAsia="zh-CN" w:bidi="ar-SA"/>
        </w:rPr>
        <w:t>109000</w:t>
      </w:r>
      <w:r>
        <w:rPr>
          <w:rFonts w:hint="eastAsia" w:ascii="仿宋_GB2312" w:hAnsi="仿宋_GB2312" w:eastAsia="仿宋_GB2312" w:cs="仿宋_GB2312"/>
          <w:color w:val="000000"/>
          <w:spacing w:val="0"/>
          <w:w w:val="100"/>
          <w:kern w:val="0"/>
          <w:sz w:val="32"/>
          <w:szCs w:val="32"/>
          <w:highlight w:val="none"/>
          <w:lang w:val="en-US" w:eastAsia="zh-CN" w:bidi="ar-SA"/>
        </w:rPr>
        <w:t>万元，最低竞价增幅为人民币</w:t>
      </w:r>
      <w:r>
        <w:rPr>
          <w:rFonts w:hint="default" w:ascii="仿宋_GB2312" w:hAnsi="仿宋_GB2312" w:eastAsia="仿宋_GB2312" w:cs="仿宋_GB2312"/>
          <w:color w:val="000000"/>
          <w:spacing w:val="0"/>
          <w:w w:val="100"/>
          <w:kern w:val="0"/>
          <w:sz w:val="32"/>
          <w:szCs w:val="32"/>
          <w:highlight w:val="none"/>
          <w:u w:val="single"/>
          <w:lang w:val="en-US" w:eastAsia="zh-CN" w:bidi="ar-SA"/>
        </w:rPr>
        <w:t>500</w:t>
      </w:r>
      <w:r>
        <w:rPr>
          <w:rFonts w:hint="eastAsia" w:ascii="仿宋_GB2312" w:hAnsi="仿宋_GB2312" w:eastAsia="仿宋_GB2312" w:cs="仿宋_GB2312"/>
          <w:color w:val="000000"/>
          <w:spacing w:val="0"/>
          <w:w w:val="100"/>
          <w:kern w:val="0"/>
          <w:sz w:val="32"/>
          <w:szCs w:val="32"/>
          <w:highlight w:val="none"/>
          <w:lang w:val="en-US" w:eastAsia="zh-CN" w:bidi="ar-SA"/>
        </w:rPr>
        <w:t>万元整。</w:t>
      </w:r>
    </w:p>
    <w:p w14:paraId="19CB02F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深圳土地矿业权交易平台不接受低于挂牌起始价的报价、未在公告规定期限内的报价。</w:t>
      </w:r>
    </w:p>
    <w:p w14:paraId="2957F1D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在公告规定的期限内，已确认竞买资格的竞买人即按其确认竞买资格时提交的《书面报价单》上的报价完成一次报价，报价均视为同一时间报价。土地分公司确认竞买人报价后，在深圳土地矿业权交易平台更新挂牌报价。</w:t>
      </w:r>
    </w:p>
    <w:p w14:paraId="25234B1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竞买人报价时应当仔细、慎重，报价一经确认后即具法律效力，不可撤回。土地分公司不接受竞买人的任何操作失误理由。</w:t>
      </w:r>
    </w:p>
    <w:p w14:paraId="6C1F500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spacing w:val="0"/>
          <w:w w:val="100"/>
          <w:kern w:val="0"/>
          <w:sz w:val="32"/>
          <w:szCs w:val="32"/>
          <w:highlight w:val="none"/>
          <w:lang w:val="en-US" w:eastAsia="zh-CN"/>
        </w:rPr>
      </w:pPr>
      <w:r>
        <w:rPr>
          <w:rFonts w:hint="eastAsia" w:ascii="楷体_GB2312" w:hAnsi="楷体_GB2312" w:eastAsia="楷体_GB2312" w:cs="楷体_GB2312"/>
          <w:color w:val="000000"/>
          <w:spacing w:val="0"/>
          <w:w w:val="100"/>
          <w:kern w:val="0"/>
          <w:sz w:val="32"/>
          <w:szCs w:val="32"/>
          <w:highlight w:val="none"/>
          <w:lang w:val="en-US" w:eastAsia="zh-CN"/>
        </w:rPr>
        <w:t xml:space="preserve"> （二）公布竞买情况</w:t>
      </w:r>
    </w:p>
    <w:p w14:paraId="6BF3A31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在挂牌期截止前，土地分公司将通过深圳土地矿业权交易平台以“无人竞买”、“1人竞买”和“多人（指2人或2人以上，下同）竞买”方式通报宗地已确认竞买资格的竞买人的有效竞买情况，届时竞买人应当自行通过网上交易系统查询。</w:t>
      </w:r>
    </w:p>
    <w:p w14:paraId="1A49ADA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spacing w:val="0"/>
          <w:w w:val="100"/>
          <w:kern w:val="0"/>
          <w:sz w:val="32"/>
          <w:szCs w:val="32"/>
          <w:highlight w:val="none"/>
          <w:lang w:val="en-US" w:eastAsia="zh-CN"/>
        </w:rPr>
      </w:pPr>
      <w:r>
        <w:rPr>
          <w:rFonts w:hint="eastAsia" w:ascii="楷体_GB2312" w:hAnsi="楷体_GB2312" w:eastAsia="楷体_GB2312" w:cs="楷体_GB2312"/>
          <w:color w:val="000000"/>
          <w:spacing w:val="0"/>
          <w:w w:val="100"/>
          <w:kern w:val="0"/>
          <w:sz w:val="32"/>
          <w:szCs w:val="32"/>
          <w:highlight w:val="none"/>
          <w:lang w:val="en-US" w:eastAsia="zh-CN"/>
        </w:rPr>
        <w:t>（三）直接成交或转入现场竞价</w:t>
      </w:r>
    </w:p>
    <w:p w14:paraId="0C805B9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在挂牌期截止时，按照以下原则确定直接成交或转入现场竞价：</w:t>
      </w:r>
    </w:p>
    <w:p w14:paraId="528F33C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1.属“无人竞买”的，挂牌不成交；</w:t>
      </w:r>
    </w:p>
    <w:p w14:paraId="628A5E2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2.属“1人竞买”的，根据竞买人的报价情况确定竞得人。</w:t>
      </w:r>
    </w:p>
    <w:p w14:paraId="7663996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3.属“多人竞买”的，在挂牌期截止时间届满后进入现场竞价。</w:t>
      </w:r>
    </w:p>
    <w:p w14:paraId="0C1AC7D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spacing w:val="0"/>
          <w:w w:val="100"/>
          <w:kern w:val="0"/>
          <w:sz w:val="32"/>
          <w:szCs w:val="32"/>
          <w:highlight w:val="none"/>
          <w:lang w:val="en-US" w:eastAsia="zh-CN"/>
        </w:rPr>
      </w:pPr>
      <w:r>
        <w:rPr>
          <w:rFonts w:hint="eastAsia" w:ascii="楷体_GB2312" w:hAnsi="楷体_GB2312" w:eastAsia="楷体_GB2312" w:cs="楷体_GB2312"/>
          <w:color w:val="000000"/>
          <w:spacing w:val="0"/>
          <w:w w:val="100"/>
          <w:kern w:val="0"/>
          <w:sz w:val="32"/>
          <w:szCs w:val="32"/>
          <w:highlight w:val="none"/>
          <w:lang w:val="en-US" w:eastAsia="zh-CN"/>
        </w:rPr>
        <w:t>（四）现场竞价</w:t>
      </w:r>
    </w:p>
    <w:p w14:paraId="4CCDDFF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1. 领取竞买号牌</w:t>
      </w:r>
    </w:p>
    <w:p w14:paraId="330B979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宗地属“多人竞买”的，已确认竞买资格的竞买人进入现场竞价。</w:t>
      </w:r>
    </w:p>
    <w:p w14:paraId="35C1FA1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竞买号牌代表竞买人现场竞价的资格。竞买人凭《竞买申请受理回执》、身份证原件（非法定代表人或受托人本人的，应当另行提供法人授权委托书，委托书应当注明委托期限和授权事项），领取竞买号牌参与现场竞价。</w:t>
      </w:r>
    </w:p>
    <w:p w14:paraId="15B4FF2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截至挂牌期结束，当前最高报价者仍未按规定领取现场竞买号牌的，视为放弃现场报价的权利，但其当前最高报价仍然有效；非当前最高报价者仍未按规定领取现场竞买号牌的，视为放弃现场竞价资格。</w:t>
      </w:r>
    </w:p>
    <w:p w14:paraId="61605DD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2. 主持人宣布挂牌期报价情况和现场竞价规则，核对竞买人。</w:t>
      </w:r>
    </w:p>
    <w:p w14:paraId="0D7DA06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3. 现场竞价开始，竞价规则如下：</w:t>
      </w:r>
    </w:p>
    <w:p w14:paraId="30B252C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（1）竞买人必须服从主持人的裁判。</w:t>
      </w:r>
    </w:p>
    <w:p w14:paraId="2BEF73F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（2）现场竞价中竞买人举牌向上竞成交地价的行为，即视为应价（报价）行为。竞价过程中，同一价格多人应价的，主持人以举牌时间先后确定先者为目前报价并予以接受。</w:t>
      </w:r>
    </w:p>
    <w:p w14:paraId="00E1941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（3）竞买号牌代表竞买人的资格，因竞买人未尽到保管义务，致使他人使用该号牌应价的，视为竞买人报价，并由其承担相应的法律责任。</w:t>
      </w:r>
    </w:p>
    <w:p w14:paraId="61311CF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（4）现场竞价的最低竞价增幅为人民币</w:t>
      </w:r>
      <w:r>
        <w:rPr>
          <w:rFonts w:hint="default" w:ascii="仿宋_GB2312" w:hAnsi="仿宋_GB2312" w:eastAsia="仿宋_GB2312" w:cs="仿宋_GB2312"/>
          <w:color w:val="000000"/>
          <w:spacing w:val="0"/>
          <w:w w:val="100"/>
          <w:kern w:val="0"/>
          <w:sz w:val="32"/>
          <w:szCs w:val="32"/>
          <w:highlight w:val="none"/>
          <w:u w:val="single"/>
          <w:lang w:val="en-US" w:eastAsia="zh-CN" w:bidi="ar-SA"/>
        </w:rPr>
        <w:t>500</w:t>
      </w:r>
      <w:r>
        <w:rPr>
          <w:rFonts w:hint="eastAsia" w:ascii="仿宋_GB2312" w:hAnsi="仿宋_GB2312" w:eastAsia="仿宋_GB2312" w:cs="仿宋_GB2312"/>
          <w:color w:val="000000"/>
          <w:spacing w:val="0"/>
          <w:w w:val="100"/>
          <w:kern w:val="0"/>
          <w:sz w:val="32"/>
          <w:szCs w:val="32"/>
          <w:highlight w:val="none"/>
          <w:u w:val="none"/>
          <w:lang w:val="en-US" w:eastAsia="zh-CN" w:bidi="ar-SA"/>
        </w:rPr>
        <w:t>万元</w:t>
      </w:r>
      <w:r>
        <w:rPr>
          <w:rFonts w:hint="eastAsia" w:ascii="仿宋_GB2312" w:hAnsi="仿宋_GB2312" w:eastAsia="仿宋_GB2312" w:cs="仿宋_GB2312"/>
          <w:color w:val="000000"/>
          <w:spacing w:val="0"/>
          <w:w w:val="100"/>
          <w:kern w:val="0"/>
          <w:sz w:val="32"/>
          <w:szCs w:val="32"/>
          <w:highlight w:val="none"/>
          <w:lang w:val="en-US" w:eastAsia="zh-CN" w:bidi="ar-SA"/>
        </w:rPr>
        <w:t>整，主持人有权依照现场应价情况实时调整竞价增幅。</w:t>
      </w:r>
    </w:p>
    <w:p w14:paraId="233C765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（5）竞买人可以举牌方式应价，也可以口头方式报价。竞买人以口头方式报价的，口头报价须高出当前最高应价一个以上竞价增幅，</w:t>
      </w:r>
      <w:r>
        <w:rPr>
          <w:rFonts w:hint="eastAsia" w:ascii="仿宋_GB2312" w:hAnsi="仿宋_GB2312" w:eastAsia="仿宋_GB2312" w:cs="仿宋_GB2312"/>
          <w:color w:val="000000"/>
          <w:spacing w:val="0"/>
          <w:w w:val="100"/>
          <w:kern w:val="0"/>
          <w:sz w:val="32"/>
          <w:szCs w:val="32"/>
          <w:highlight w:val="none"/>
          <w:lang w:val="en-US" w:eastAsia="zh-CN"/>
        </w:rPr>
        <w:t>且应为当前竞价增幅的整数倍，</w:t>
      </w:r>
      <w:r>
        <w:rPr>
          <w:rFonts w:hint="eastAsia" w:ascii="仿宋_GB2312" w:hAnsi="仿宋_GB2312" w:eastAsia="仿宋_GB2312" w:cs="仿宋_GB2312"/>
          <w:color w:val="000000"/>
          <w:spacing w:val="0"/>
          <w:w w:val="100"/>
          <w:kern w:val="0"/>
          <w:sz w:val="32"/>
          <w:szCs w:val="32"/>
          <w:highlight w:val="none"/>
          <w:lang w:val="en-US" w:eastAsia="zh-CN" w:bidi="ar-SA"/>
        </w:rPr>
        <w:t>并得到主持人的确认，否则其报价不予接受。</w:t>
      </w:r>
    </w:p>
    <w:p w14:paraId="0D981F6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6）主持人在每次报价后，经依序宣布报价“第一次”、“第二次”、“最后一次”。当主持人宣布报价“最后一次”且无人进一步应价时，当前最高报价视为最后应价。最后应价不低于底价的，主持人以击槌方式确认成交。主持人一经落槌，将不再接受任何报价。</w:t>
      </w:r>
    </w:p>
    <w:p w14:paraId="2AB0D45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（7）现场竞价的起叫价为挂牌期截止时的最高报价加一个竞价增幅；现场竞价过程中无人应价的，则最高报价为成交价。如最高报价者仅有1个，则确定其为竞得人。</w:t>
      </w:r>
    </w:p>
    <w:p w14:paraId="298978E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（8）现场竞价采用的具体办法为：</w:t>
      </w:r>
    </w:p>
    <w:p w14:paraId="49E3BE2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lang w:val="en-US" w:eastAsia="zh-CN"/>
        </w:rPr>
        <w:t>现场竞价环节如有人报价，则</w:t>
      </w:r>
      <w:r>
        <w:rPr>
          <w:rFonts w:hint="eastAsia" w:ascii="仿宋_GB2312" w:hAnsi="仿宋_GB2312" w:eastAsia="仿宋_GB2312" w:cs="仿宋_GB2312"/>
          <w:color w:val="000000"/>
          <w:spacing w:val="0"/>
          <w:w w:val="100"/>
          <w:kern w:val="0"/>
          <w:sz w:val="32"/>
          <w:szCs w:val="32"/>
          <w:highlight w:val="none"/>
        </w:rPr>
        <w:t>以“价高者得”为原则确定竞得人和成交价。</w:t>
      </w:r>
    </w:p>
    <w:p w14:paraId="626061D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spacing w:val="0"/>
          <w:w w:val="100"/>
          <w:kern w:val="0"/>
          <w:sz w:val="32"/>
          <w:szCs w:val="32"/>
          <w:highlight w:val="none"/>
          <w:lang w:val="en-US" w:eastAsia="zh-CN"/>
        </w:rPr>
      </w:pPr>
      <w:r>
        <w:rPr>
          <w:rFonts w:hint="eastAsia" w:ascii="楷体_GB2312" w:hAnsi="楷体_GB2312" w:eastAsia="楷体_GB2312" w:cs="楷体_GB2312"/>
          <w:color w:val="000000"/>
          <w:spacing w:val="0"/>
          <w:w w:val="100"/>
          <w:kern w:val="0"/>
          <w:sz w:val="32"/>
          <w:szCs w:val="32"/>
          <w:highlight w:val="none"/>
          <w:lang w:val="en-US" w:eastAsia="zh-CN"/>
        </w:rPr>
        <w:t>（五）现场摇号</w:t>
      </w:r>
    </w:p>
    <w:p w14:paraId="651968D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现场竞价</w:t>
      </w:r>
      <w:r>
        <w:rPr>
          <w:rFonts w:hint="eastAsia" w:ascii="仿宋_GB2312" w:hAnsi="仿宋_GB2312" w:eastAsia="仿宋_GB2312" w:cs="仿宋_GB2312"/>
          <w:color w:val="000000"/>
          <w:spacing w:val="0"/>
          <w:w w:val="100"/>
          <w:kern w:val="0"/>
          <w:sz w:val="32"/>
          <w:szCs w:val="32"/>
          <w:highlight w:val="none"/>
          <w:lang w:val="en-US" w:eastAsia="zh-CN"/>
        </w:rPr>
        <w:t>环节如无人报价</w:t>
      </w:r>
      <w:r>
        <w:rPr>
          <w:rFonts w:hint="eastAsia" w:ascii="仿宋_GB2312" w:hAnsi="仿宋_GB2312" w:eastAsia="仿宋_GB2312" w:cs="仿宋_GB2312"/>
          <w:color w:val="000000"/>
          <w:spacing w:val="0"/>
          <w:w w:val="100"/>
          <w:kern w:val="0"/>
          <w:sz w:val="32"/>
          <w:szCs w:val="32"/>
          <w:highlight w:val="none"/>
        </w:rPr>
        <w:t>，</w:t>
      </w:r>
      <w:r>
        <w:rPr>
          <w:rFonts w:hint="eastAsia" w:ascii="仿宋_GB2312" w:hAnsi="仿宋_GB2312" w:eastAsia="仿宋_GB2312" w:cs="仿宋_GB2312"/>
          <w:color w:val="000000"/>
          <w:spacing w:val="0"/>
          <w:w w:val="100"/>
          <w:kern w:val="0"/>
          <w:sz w:val="32"/>
          <w:szCs w:val="32"/>
          <w:highlight w:val="none"/>
          <w:lang w:val="en-US" w:eastAsia="zh-CN"/>
        </w:rPr>
        <w:t>则确定</w:t>
      </w:r>
      <w:r>
        <w:rPr>
          <w:rFonts w:hint="eastAsia" w:ascii="仿宋_GB2312" w:hAnsi="仿宋_GB2312" w:eastAsia="仿宋_GB2312" w:cs="仿宋_GB2312"/>
          <w:color w:val="000000"/>
          <w:spacing w:val="0"/>
          <w:w w:val="100"/>
          <w:kern w:val="0"/>
          <w:sz w:val="32"/>
          <w:szCs w:val="32"/>
          <w:highlight w:val="none"/>
        </w:rPr>
        <w:t>《书面报价单》最高报价者为竞得人</w:t>
      </w:r>
      <w:r>
        <w:rPr>
          <w:rFonts w:hint="eastAsia" w:ascii="仿宋_GB2312" w:hAnsi="仿宋_GB2312" w:eastAsia="仿宋_GB2312" w:cs="仿宋_GB2312"/>
          <w:color w:val="000000"/>
          <w:spacing w:val="0"/>
          <w:w w:val="100"/>
          <w:kern w:val="0"/>
          <w:sz w:val="32"/>
          <w:szCs w:val="32"/>
          <w:highlight w:val="none"/>
          <w:lang w:eastAsia="zh-CN"/>
        </w:rPr>
        <w:t>，</w:t>
      </w:r>
      <w:r>
        <w:rPr>
          <w:rFonts w:hint="eastAsia" w:ascii="仿宋_GB2312" w:hAnsi="仿宋_GB2312" w:eastAsia="仿宋_GB2312" w:cs="仿宋_GB2312"/>
          <w:color w:val="000000"/>
          <w:spacing w:val="0"/>
          <w:w w:val="100"/>
          <w:kern w:val="0"/>
          <w:sz w:val="32"/>
          <w:szCs w:val="32"/>
          <w:highlight w:val="none"/>
        </w:rPr>
        <w:t>有2个或2个以上相同最高报价的，</w:t>
      </w:r>
      <w:r>
        <w:rPr>
          <w:rFonts w:hint="eastAsia" w:ascii="仿宋_GB2312" w:hAnsi="仿宋_GB2312" w:eastAsia="仿宋_GB2312" w:cs="仿宋_GB2312"/>
          <w:color w:val="000000"/>
          <w:spacing w:val="0"/>
          <w:w w:val="100"/>
          <w:kern w:val="0"/>
          <w:sz w:val="32"/>
          <w:szCs w:val="32"/>
          <w:highlight w:val="none"/>
          <w:lang w:val="en-US" w:eastAsia="zh-CN"/>
        </w:rPr>
        <w:t>由土地分公司</w:t>
      </w:r>
      <w:r>
        <w:rPr>
          <w:rFonts w:hint="eastAsia" w:ascii="仿宋_GB2312" w:hAnsi="仿宋_GB2312" w:eastAsia="仿宋_GB2312" w:cs="仿宋_GB2312"/>
          <w:color w:val="000000"/>
          <w:spacing w:val="0"/>
          <w:w w:val="100"/>
          <w:kern w:val="0"/>
          <w:sz w:val="32"/>
          <w:szCs w:val="32"/>
          <w:highlight w:val="none"/>
        </w:rPr>
        <w:t>通过摇号方式确定竞得人。</w:t>
      </w:r>
    </w:p>
    <w:p w14:paraId="4588A138">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pacing w:val="0"/>
          <w:w w:val="100"/>
          <w:kern w:val="0"/>
          <w:sz w:val="28"/>
          <w:szCs w:val="28"/>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bidi="ar-SA"/>
        </w:rPr>
        <w:t>摇号具体细则详见《深圳市国有建设用地使用权出让现场摇号指引》。</w:t>
      </w:r>
    </w:p>
    <w:p w14:paraId="228639E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spacing w:val="0"/>
          <w:w w:val="100"/>
          <w:kern w:val="0"/>
          <w:sz w:val="32"/>
          <w:szCs w:val="32"/>
          <w:highlight w:val="none"/>
          <w:lang w:val="en-US" w:eastAsia="zh-CN"/>
        </w:rPr>
      </w:pPr>
      <w:r>
        <w:rPr>
          <w:rFonts w:hint="eastAsia" w:ascii="楷体_GB2312" w:hAnsi="楷体_GB2312" w:eastAsia="楷体_GB2312" w:cs="楷体_GB2312"/>
          <w:color w:val="000000"/>
          <w:spacing w:val="0"/>
          <w:w w:val="100"/>
          <w:kern w:val="0"/>
          <w:sz w:val="32"/>
          <w:szCs w:val="32"/>
          <w:highlight w:val="none"/>
          <w:lang w:val="en-US" w:eastAsia="zh-CN"/>
        </w:rPr>
        <w:t>（六）不可抗力应急处理</w:t>
      </w:r>
    </w:p>
    <w:p w14:paraId="6E37D1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因不可抗力，致使挂牌截止日的挂牌出让工作无法进行的，挂牌截止时间在履行法定程序后顺延或提前终止。土地分公司将通过网站刊登补充公告等方式向竞买人告知相关事宜。</w:t>
      </w:r>
    </w:p>
    <w:p w14:paraId="4AA8F4C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pacing w:val="0"/>
          <w:w w:val="100"/>
          <w:sz w:val="32"/>
          <w:szCs w:val="32"/>
          <w:highlight w:val="none"/>
        </w:rPr>
      </w:pPr>
      <w:r>
        <w:rPr>
          <w:rFonts w:hint="eastAsia" w:ascii="黑体" w:hAnsi="黑体" w:eastAsia="黑体" w:cs="黑体"/>
          <w:b w:val="0"/>
          <w:bCs/>
          <w:color w:val="auto"/>
          <w:spacing w:val="0"/>
          <w:w w:val="100"/>
          <w:sz w:val="32"/>
          <w:szCs w:val="32"/>
          <w:highlight w:val="none"/>
        </w:rPr>
        <w:t>七、成交与申请签订合同</w:t>
      </w:r>
    </w:p>
    <w:p w14:paraId="50E1C771">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竞得人须在成交后现场即时签订《成交确认书》，并在签订《成交确认书》后3个工作日内向市规划和自然资源局辖区管理局申请签订《出让合同》。</w:t>
      </w:r>
    </w:p>
    <w:p w14:paraId="13B9825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pacing w:val="0"/>
          <w:w w:val="100"/>
          <w:sz w:val="32"/>
          <w:szCs w:val="32"/>
          <w:highlight w:val="none"/>
        </w:rPr>
      </w:pPr>
      <w:r>
        <w:rPr>
          <w:rFonts w:hint="eastAsia" w:ascii="黑体" w:hAnsi="黑体" w:eastAsia="黑体" w:cs="黑体"/>
          <w:b w:val="0"/>
          <w:bCs/>
          <w:color w:val="auto"/>
          <w:spacing w:val="0"/>
          <w:w w:val="100"/>
          <w:sz w:val="32"/>
          <w:szCs w:val="32"/>
          <w:highlight w:val="none"/>
        </w:rPr>
        <w:t>八、款项支付</w:t>
      </w:r>
    </w:p>
    <w:p w14:paraId="2B508C20">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除公告另有规定外，竞买保证金和成交价款应当以人民币支付。</w:t>
      </w:r>
    </w:p>
    <w:p w14:paraId="0ABEAAB0">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未竞得人交纳的竞买保证金自竞买结束次日起3个工作日内按原路无息退还。</w:t>
      </w:r>
    </w:p>
    <w:p w14:paraId="7937C61D">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竞得人应当按照公告规定支付成交价款。</w:t>
      </w:r>
    </w:p>
    <w:p w14:paraId="2F1D17C5">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竞得人交纳的保证金抵作土地出让价款，不再退还。</w:t>
      </w:r>
    </w:p>
    <w:p w14:paraId="2557DA09">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竞得人未按规定签订《成交确认书》《出让合同》或因其他情形被取消竞得资格的，已交纳的竞买保证金不予退还。</w:t>
      </w:r>
    </w:p>
    <w:p w14:paraId="46852716">
      <w:pPr>
        <w:spacing w:line="560" w:lineRule="exact"/>
        <w:ind w:firstLine="640" w:firstLineChars="200"/>
        <w:rPr>
          <w:rFonts w:hint="eastAsia" w:ascii="黑体" w:hAnsi="黑体" w:eastAsia="黑体" w:cs="黑体"/>
          <w:b w:val="0"/>
          <w:bCs/>
          <w:color w:val="auto"/>
          <w:spacing w:val="0"/>
          <w:w w:val="100"/>
          <w:kern w:val="2"/>
          <w:sz w:val="32"/>
          <w:szCs w:val="32"/>
          <w:highlight w:val="none"/>
          <w:lang w:val="en-US" w:eastAsia="zh-CN"/>
        </w:rPr>
      </w:pPr>
      <w:r>
        <w:rPr>
          <w:rFonts w:hint="eastAsia" w:ascii="黑体" w:hAnsi="黑体" w:eastAsia="黑体" w:cs="黑体"/>
          <w:b w:val="0"/>
          <w:bCs/>
          <w:color w:val="auto"/>
          <w:spacing w:val="0"/>
          <w:w w:val="100"/>
          <w:kern w:val="2"/>
          <w:sz w:val="32"/>
          <w:szCs w:val="32"/>
          <w:highlight w:val="none"/>
          <w:lang w:val="en-US" w:eastAsia="zh-CN"/>
        </w:rPr>
        <w:t>九、“交地即交证”服务</w:t>
      </w:r>
    </w:p>
    <w:p w14:paraId="77E74283">
      <w:pPr>
        <w:tabs>
          <w:tab w:val="left" w:pos="8460"/>
          <w:tab w:val="clear" w:pos="4820"/>
          <w:tab w:val="clear" w:pos="5103"/>
          <w:tab w:val="clear" w:pos="8505"/>
        </w:tabs>
        <w:spacing w:line="560" w:lineRule="exact"/>
        <w:ind w:firstLine="640" w:firstLineChars="200"/>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竞买人应在提交竞买申请时，同意按“交地即交证”模式同意同步申请办理《建设用地规划许可证》、签订《出让合同》、办理《付清地价款证明》及国有建设用地使用权首次登记。</w:t>
      </w:r>
    </w:p>
    <w:p w14:paraId="7857337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pacing w:val="0"/>
          <w:w w:val="100"/>
          <w:sz w:val="32"/>
          <w:szCs w:val="32"/>
          <w:highlight w:val="none"/>
        </w:rPr>
      </w:pPr>
      <w:r>
        <w:rPr>
          <w:rFonts w:hint="eastAsia" w:ascii="黑体" w:hAnsi="黑体" w:eastAsia="黑体" w:cs="黑体"/>
          <w:b w:val="0"/>
          <w:bCs/>
          <w:color w:val="auto"/>
          <w:spacing w:val="0"/>
          <w:w w:val="100"/>
          <w:sz w:val="32"/>
          <w:szCs w:val="32"/>
          <w:highlight w:val="none"/>
          <w:lang w:val="en-US" w:eastAsia="zh-CN"/>
        </w:rPr>
        <w:t>十</w:t>
      </w:r>
      <w:r>
        <w:rPr>
          <w:rFonts w:hint="eastAsia" w:ascii="黑体" w:hAnsi="黑体" w:eastAsia="黑体" w:cs="黑体"/>
          <w:b w:val="0"/>
          <w:bCs/>
          <w:color w:val="auto"/>
          <w:spacing w:val="0"/>
          <w:w w:val="100"/>
          <w:sz w:val="32"/>
          <w:szCs w:val="32"/>
          <w:highlight w:val="none"/>
        </w:rPr>
        <w:t>、土地购置资金来源审查</w:t>
      </w:r>
    </w:p>
    <w:p w14:paraId="7340F2B6">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自缴清</w:t>
      </w:r>
      <w:r>
        <w:rPr>
          <w:rFonts w:hint="eastAsia" w:ascii="仿宋_GB2312" w:hAnsi="仿宋_GB2312" w:eastAsia="仿宋_GB2312" w:cs="仿宋_GB2312"/>
          <w:color w:val="000000"/>
          <w:spacing w:val="0"/>
          <w:w w:val="100"/>
          <w:kern w:val="0"/>
          <w:sz w:val="32"/>
          <w:szCs w:val="32"/>
          <w:highlight w:val="none"/>
        </w:rPr>
        <w:t>土地出让价款</w:t>
      </w:r>
      <w:r>
        <w:rPr>
          <w:rFonts w:hint="eastAsia" w:ascii="仿宋_GB2312" w:hAnsi="仿宋_GB2312" w:eastAsia="仿宋_GB2312" w:cs="仿宋_GB2312"/>
          <w:color w:val="000000"/>
          <w:spacing w:val="0"/>
          <w:w w:val="100"/>
          <w:kern w:val="0"/>
          <w:sz w:val="32"/>
          <w:szCs w:val="32"/>
          <w:highlight w:val="none"/>
          <w:lang w:val="en-US" w:eastAsia="zh-CN" w:bidi="ar-SA"/>
        </w:rPr>
        <w:t>之日起5个工作日内，竞得人须向市规划和自然资源局提交如下资料:</w:t>
      </w:r>
    </w:p>
    <w:p w14:paraId="52A600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（一）经境内具有证券期货资格的会计师事务所鉴证的《商品住房用地购置资金来源情况申报表》（以下简称《申报表》）。</w:t>
      </w:r>
    </w:p>
    <w:p w14:paraId="13B007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（二）竞得人相关身份证明材料（具体详见《竞买须知》）。</w:t>
      </w:r>
    </w:p>
    <w:p w14:paraId="4CF3C7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（三）境内具有证券期货资格的会计师事务所出具的《资金审计报告》，具体列明以下内容：</w:t>
      </w:r>
    </w:p>
    <w:p w14:paraId="0CF887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1、土地竞得主体基本情况，包括控股股东、资金最终关联方基本情况；</w:t>
      </w:r>
    </w:p>
    <w:p w14:paraId="194353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2、承诺并实际核查土地竞得主体提交的《申报表》及附件证明材料；</w:t>
      </w:r>
    </w:p>
    <w:p w14:paraId="381F15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3、穿透核查土地竞得主体及控股股东、资金最终关联方的资金来源，明确说明土地竞得主体的实际资金来源（如涉及关联方，要说明最终关联方的资金来源类型）；</w:t>
      </w:r>
    </w:p>
    <w:p w14:paraId="0499B5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4、针对“土地购置资金来源是否属于企业股东提供的借款、转贷、担保或其他相关融资便利等；是否属于金融机构各类融资资金；是否属于房地产产业链上下游关联企业借款或预付款；是否属于其他自然人、法人、非法人组织的借款；是否属于竞买企业控制的非房地产企业融资等。”作出结论。</w:t>
      </w:r>
    </w:p>
    <w:p w14:paraId="105246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审计报告后附会计师事务所的执业证明、证券期货资格证明等。</w:t>
      </w:r>
    </w:p>
    <w:p w14:paraId="7F3308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上述资料由公共资源交易中心土地业务受理窗口代收后2个工作日内移交深圳市地方金融管理局进行资金来源审查。</w:t>
      </w:r>
    </w:p>
    <w:p w14:paraId="26D8D0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深圳市地方金融管理局根据竞得人提供的材料，组织相关监管部门对竞得人土地购置资金来源进行审查，并自收到材料之日起10个工作日内向市规划和自然资源局出具书面审查结果。市规划和自然资源局收到审查结果后应在2个工作日内通知竞得人。</w:t>
      </w:r>
    </w:p>
    <w:p w14:paraId="312034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pacing w:val="0"/>
          <w:w w:val="100"/>
          <w:kern w:val="0"/>
          <w:sz w:val="28"/>
          <w:szCs w:val="28"/>
          <w:highlight w:val="none"/>
        </w:rPr>
      </w:pPr>
      <w:r>
        <w:rPr>
          <w:rFonts w:hint="eastAsia" w:ascii="仿宋_GB2312" w:hAnsi="仿宋_GB2312" w:eastAsia="仿宋_GB2312" w:cs="仿宋_GB2312"/>
          <w:color w:val="000000"/>
          <w:spacing w:val="0"/>
          <w:w w:val="100"/>
          <w:kern w:val="0"/>
          <w:sz w:val="32"/>
          <w:szCs w:val="32"/>
          <w:highlight w:val="none"/>
          <w:lang w:val="en-US" w:eastAsia="zh-CN" w:bidi="ar-SA"/>
        </w:rPr>
        <w:t>土地购置资金来源审查未获通过的，解除《出让合同》，收回国有建设用地使用权，收取国有建设用地使用权出让价款总额20%的违约金，剩余部分不计利息退还，禁止该企业1年内参加我市国有建设用地竞买活动。</w:t>
      </w:r>
    </w:p>
    <w:p w14:paraId="2B79FC4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pacing w:val="0"/>
          <w:w w:val="100"/>
          <w:sz w:val="32"/>
          <w:szCs w:val="32"/>
          <w:highlight w:val="none"/>
        </w:rPr>
      </w:pPr>
      <w:r>
        <w:rPr>
          <w:rFonts w:hint="eastAsia" w:ascii="黑体" w:hAnsi="黑体" w:eastAsia="黑体" w:cs="黑体"/>
          <w:b w:val="0"/>
          <w:bCs/>
          <w:color w:val="auto"/>
          <w:spacing w:val="0"/>
          <w:w w:val="100"/>
          <w:sz w:val="32"/>
          <w:szCs w:val="32"/>
          <w:highlight w:val="none"/>
        </w:rPr>
        <w:t>十</w:t>
      </w:r>
      <w:r>
        <w:rPr>
          <w:rFonts w:hint="eastAsia" w:ascii="黑体" w:hAnsi="黑体" w:eastAsia="黑体" w:cs="黑体"/>
          <w:b w:val="0"/>
          <w:bCs/>
          <w:color w:val="auto"/>
          <w:spacing w:val="0"/>
          <w:w w:val="100"/>
          <w:sz w:val="32"/>
          <w:szCs w:val="32"/>
          <w:highlight w:val="none"/>
          <w:lang w:val="en-US" w:eastAsia="zh-CN"/>
        </w:rPr>
        <w:t>一</w:t>
      </w:r>
      <w:r>
        <w:rPr>
          <w:rFonts w:hint="eastAsia" w:ascii="黑体" w:hAnsi="黑体" w:eastAsia="黑体" w:cs="黑体"/>
          <w:b w:val="0"/>
          <w:bCs/>
          <w:color w:val="auto"/>
          <w:spacing w:val="0"/>
          <w:w w:val="100"/>
          <w:sz w:val="32"/>
          <w:szCs w:val="32"/>
          <w:highlight w:val="none"/>
        </w:rPr>
        <w:t>、违约及违规责任</w:t>
      </w:r>
    </w:p>
    <w:p w14:paraId="6989CD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（一）竞买人有下列行为之一的，取消其竞买资格，禁止其1年内参加我市国有建设用地竞买活动：</w:t>
      </w:r>
    </w:p>
    <w:p w14:paraId="2B6BB3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1. 采取欺骗、贿赂、恶意串通等非法手段取得竞买资格的；</w:t>
      </w:r>
    </w:p>
    <w:p w14:paraId="4C9FC4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2. 应依法取消竞买资格的其他行为。</w:t>
      </w:r>
    </w:p>
    <w:p w14:paraId="28E477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二）竞得人有下列行为之一的，视为违约，取消其竞得资格，已交纳的竞买保证金不予退还，造成出让人、公共资源交易中心损失的，竞得人应当承担赔偿责任；已签订出让合同的，出让人可依法解除合同，收回国有建设用地使用权，已缴纳的土地出让价款在扣除违约金后退还（不计利息），禁止其1年内参加我市国有建设用地竞买活动：</w:t>
      </w:r>
    </w:p>
    <w:p w14:paraId="0A8DBD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1. 采取欺骗、贿赂、恶意串通等非法手段取得竞得资格的；</w:t>
      </w:r>
    </w:p>
    <w:p w14:paraId="1D0C6C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2. 提供虚假文件材料、隐瞒重要事实，引起出让纠纷的；</w:t>
      </w:r>
    </w:p>
    <w:p w14:paraId="20D787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3. 逾期或拒绝签订《成交确认书》的；</w:t>
      </w:r>
    </w:p>
    <w:p w14:paraId="2EC0B7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4. 逾期或拒绝签订《出让合同》的；</w:t>
      </w:r>
    </w:p>
    <w:p w14:paraId="75AACB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5. 未按出让合同等规定支付成交价款的；</w:t>
      </w:r>
    </w:p>
    <w:p w14:paraId="1695A6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6. 土地购置资金来源审查未获通过的；</w:t>
      </w:r>
    </w:p>
    <w:p w14:paraId="023B78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7. 违反公告中关联性审查要求的。</w:t>
      </w:r>
    </w:p>
    <w:p w14:paraId="510979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8. 构成违约责任的其他行为。</w:t>
      </w:r>
    </w:p>
    <w:p w14:paraId="66AC61F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pacing w:val="0"/>
          <w:w w:val="100"/>
          <w:sz w:val="32"/>
          <w:szCs w:val="32"/>
          <w:highlight w:val="none"/>
        </w:rPr>
      </w:pPr>
      <w:r>
        <w:rPr>
          <w:rFonts w:hint="eastAsia" w:ascii="黑体" w:hAnsi="黑体" w:eastAsia="黑体" w:cs="黑体"/>
          <w:b w:val="0"/>
          <w:bCs/>
          <w:color w:val="auto"/>
          <w:spacing w:val="0"/>
          <w:w w:val="100"/>
          <w:sz w:val="32"/>
          <w:szCs w:val="32"/>
          <w:highlight w:val="none"/>
        </w:rPr>
        <w:t>十</w:t>
      </w:r>
      <w:r>
        <w:rPr>
          <w:rFonts w:hint="eastAsia" w:ascii="黑体" w:hAnsi="黑体" w:eastAsia="黑体" w:cs="黑体"/>
          <w:b w:val="0"/>
          <w:bCs/>
          <w:color w:val="auto"/>
          <w:spacing w:val="0"/>
          <w:w w:val="100"/>
          <w:sz w:val="32"/>
          <w:szCs w:val="32"/>
          <w:highlight w:val="none"/>
          <w:lang w:val="en-US" w:eastAsia="zh-CN"/>
        </w:rPr>
        <w:t>二</w:t>
      </w:r>
      <w:r>
        <w:rPr>
          <w:rFonts w:hint="eastAsia" w:ascii="黑体" w:hAnsi="黑体" w:eastAsia="黑体" w:cs="黑体"/>
          <w:b w:val="0"/>
          <w:bCs/>
          <w:color w:val="auto"/>
          <w:spacing w:val="0"/>
          <w:w w:val="100"/>
          <w:sz w:val="32"/>
          <w:szCs w:val="32"/>
          <w:highlight w:val="none"/>
        </w:rPr>
        <w:t>、附则</w:t>
      </w:r>
    </w:p>
    <w:p w14:paraId="582919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（一）《竞买须知》及公告涉及的时点，以深圳土地矿业权交易平台系统所显示的时间为准。</w:t>
      </w:r>
    </w:p>
    <w:p w14:paraId="338B37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（二）土地分公司对本须知有最终解释权。其它未尽事宜以土地分公司的解释为准。</w:t>
      </w:r>
    </w:p>
    <w:p w14:paraId="693575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pacing w:val="0"/>
          <w:w w:val="100"/>
          <w:kern w:val="0"/>
          <w:sz w:val="32"/>
          <w:szCs w:val="32"/>
          <w:highlight w:val="none"/>
          <w:lang w:val="en-US" w:eastAsia="zh-CN" w:bidi="ar-SA"/>
        </w:rPr>
      </w:pPr>
    </w:p>
    <w:p w14:paraId="440CE11E">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color w:val="auto"/>
          <w:sz w:val="32"/>
          <w:szCs w:val="32"/>
          <w:highlight w:val="none"/>
        </w:rPr>
      </w:pPr>
      <w:r>
        <w:rPr>
          <w:rFonts w:hint="eastAsia" w:ascii="仿宋" w:hAnsi="仿宋" w:eastAsia="仿宋" w:cs="仿宋"/>
          <w:color w:val="auto"/>
          <w:spacing w:val="0"/>
          <w:w w:val="100"/>
          <w:kern w:val="0"/>
          <w:sz w:val="28"/>
          <w:szCs w:val="28"/>
          <w:highlight w:val="none"/>
        </w:rPr>
        <w:t xml:space="preserve">             </w:t>
      </w:r>
      <w:r>
        <w:rPr>
          <w:rFonts w:hint="eastAsia" w:ascii="仿宋_GB2312" w:hAnsi="仿宋_GB2312" w:eastAsia="仿宋_GB2312" w:cs="仿宋_GB2312"/>
          <w:color w:val="000000"/>
          <w:spacing w:val="0"/>
          <w:w w:val="100"/>
          <w:kern w:val="0"/>
          <w:sz w:val="32"/>
          <w:szCs w:val="32"/>
          <w:highlight w:val="none"/>
          <w:lang w:val="en-US" w:eastAsia="zh-CN" w:bidi="ar-SA"/>
        </w:rPr>
        <w:t>深圳交易集团有限公司土地矿业权业务分公司</w:t>
      </w:r>
    </w:p>
    <w:p w14:paraId="0E002C05">
      <w:pPr>
        <w:ind w:firstLine="0" w:firstLineChars="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w:t>
      </w:r>
    </w:p>
    <w:p w14:paraId="2A5E365F">
      <w:pPr>
        <w:pStyle w:val="2"/>
        <w:rPr>
          <w:rFonts w:hint="eastAsia" w:ascii="黑体" w:hAnsi="黑体" w:eastAsia="黑体" w:cs="黑体"/>
          <w:color w:val="auto"/>
          <w:sz w:val="32"/>
          <w:szCs w:val="32"/>
          <w:highlight w:val="none"/>
        </w:rPr>
      </w:pPr>
    </w:p>
    <w:p w14:paraId="585ADEA2">
      <w:pPr>
        <w:rPr>
          <w:rFonts w:hint="eastAsia"/>
        </w:rPr>
      </w:pPr>
    </w:p>
    <w:p w14:paraId="49351388">
      <w:pPr>
        <w:keepNext w:val="0"/>
        <w:keepLines w:val="0"/>
        <w:pageBreakBefore w:val="0"/>
        <w:widowControl w:val="0"/>
        <w:kinsoku/>
        <w:wordWrap/>
        <w:overflowPunct/>
        <w:topLinePunct w:val="0"/>
        <w:autoSpaceDE/>
        <w:autoSpaceDN/>
        <w:bidi w:val="0"/>
        <w:adjustRightInd/>
        <w:snapToGrid/>
        <w:spacing w:afterLines="200" w:line="640" w:lineRule="exact"/>
        <w:ind w:firstLine="0" w:firstLineChars="0"/>
        <w:jc w:val="center"/>
        <w:textAlignment w:val="auto"/>
        <w:rPr>
          <w:rFonts w:hint="eastAsia" w:ascii="方正小标宋简体" w:hAnsi="方正小标宋简体" w:eastAsia="方正小标宋简体" w:cs="方正小标宋简体"/>
          <w:b w:val="0"/>
          <w:bCs w:val="0"/>
          <w:color w:val="auto"/>
          <w:spacing w:val="0"/>
          <w:w w:val="100"/>
          <w:sz w:val="44"/>
          <w:szCs w:val="44"/>
          <w:highlight w:val="none"/>
          <w:lang w:val="en-US" w:eastAsia="zh-CN"/>
        </w:rPr>
      </w:pPr>
      <w:r>
        <w:rPr>
          <w:rFonts w:hint="eastAsia" w:ascii="方正小标宋简体" w:hAnsi="方正小标宋简体" w:eastAsia="方正小标宋简体" w:cs="方正小标宋简体"/>
          <w:b w:val="0"/>
          <w:bCs w:val="0"/>
          <w:color w:val="auto"/>
          <w:spacing w:val="0"/>
          <w:w w:val="100"/>
          <w:sz w:val="44"/>
          <w:szCs w:val="44"/>
          <w:highlight w:val="none"/>
          <w:lang w:val="en-US" w:eastAsia="zh-CN"/>
        </w:rPr>
        <w:t>承诺书</w:t>
      </w:r>
    </w:p>
    <w:p w14:paraId="7EC467F5">
      <w:pPr>
        <w:ind w:firstLine="562" w:firstLineChars="0"/>
        <w:rPr>
          <w:rFonts w:hint="eastAsia" w:ascii="黑体" w:hAnsi="黑体" w:eastAsia="黑体" w:cs="黑体"/>
          <w:color w:val="auto"/>
          <w:sz w:val="36"/>
          <w:szCs w:val="36"/>
          <w:highlight w:val="none"/>
          <w:lang w:val="en-US" w:eastAsia="zh-CN"/>
        </w:rPr>
      </w:pPr>
    </w:p>
    <w:p w14:paraId="116C401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我方已详细阅读《深圳市国有建设用地使用权挂牌出让竞买须知》，知悉并自愿遵守本须知各项条款要求。</w:t>
      </w:r>
    </w:p>
    <w:p w14:paraId="528B617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p>
    <w:p w14:paraId="00E23C5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p>
    <w:p w14:paraId="6E5679E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p>
    <w:p w14:paraId="16151C3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p>
    <w:p w14:paraId="3EB39FB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p>
    <w:p w14:paraId="2B85F75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p>
    <w:p w14:paraId="4F19F6F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p>
    <w:p w14:paraId="2FFBE4C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 xml:space="preserve">                        承诺人（盖章 ）：</w:t>
      </w:r>
    </w:p>
    <w:p w14:paraId="73A08760">
      <w:pPr>
        <w:keepNext w:val="0"/>
        <w:keepLines w:val="0"/>
        <w:pageBreakBefore w:val="0"/>
        <w:widowControl/>
        <w:kinsoku/>
        <w:wordWrap/>
        <w:overflowPunct/>
        <w:topLinePunct w:val="0"/>
        <w:autoSpaceDE/>
        <w:autoSpaceDN/>
        <w:bidi w:val="0"/>
        <w:adjustRightInd/>
        <w:snapToGrid/>
        <w:spacing w:line="560" w:lineRule="exact"/>
        <w:ind w:firstLine="4480" w:firstLineChars="14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法定代表人或委托代理人签字：</w:t>
      </w:r>
    </w:p>
    <w:p w14:paraId="307CC6B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spacing w:val="0"/>
          <w:w w:val="100"/>
          <w:kern w:val="0"/>
          <w:sz w:val="32"/>
          <w:szCs w:val="32"/>
          <w:highlight w:val="none"/>
          <w:lang w:val="en-US" w:eastAsia="zh-CN"/>
        </w:rPr>
      </w:pPr>
    </w:p>
    <w:p w14:paraId="37F9BAF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p>
    <w:p w14:paraId="143E0CCA">
      <w:pPr>
        <w:keepNext w:val="0"/>
        <w:keepLines w:val="0"/>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承诺日期：    年   月   日</w:t>
      </w:r>
    </w:p>
    <w:p w14:paraId="7D17B8D6">
      <w:pPr>
        <w:widowControl/>
        <w:ind w:firstLine="0" w:firstLineChars="0"/>
        <w:jc w:val="left"/>
        <w:rPr>
          <w:rFonts w:hint="eastAsia" w:ascii="仿宋" w:hAnsi="仿宋" w:eastAsia="仿宋" w:cs="仿宋"/>
          <w:color w:val="auto"/>
          <w:kern w:val="0"/>
          <w:sz w:val="28"/>
          <w:szCs w:val="28"/>
          <w:highlight w:val="none"/>
          <w:lang w:val="en-US" w:eastAsia="zh-CN"/>
        </w:rPr>
      </w:pPr>
    </w:p>
    <w:p w14:paraId="01293273">
      <w:pPr>
        <w:ind w:firstLine="562" w:firstLineChars="0"/>
        <w:rPr>
          <w:rFonts w:hint="eastAsia" w:ascii="仿宋" w:hAnsi="仿宋" w:eastAsia="仿宋" w:cs="仿宋"/>
          <w:color w:val="auto"/>
          <w:spacing w:val="0"/>
          <w:w w:val="100"/>
          <w:kern w:val="0"/>
          <w:sz w:val="30"/>
          <w:szCs w:val="30"/>
          <w:highlight w:val="none"/>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7" w:h="16160"/>
      <w:pgMar w:top="1559" w:right="1467" w:bottom="1402" w:left="1620" w:header="851" w:footer="518"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86"/>
      </w:pPr>
      <w:r>
        <w:separator/>
      </w:r>
    </w:p>
  </w:endnote>
  <w:endnote w:type="continuationSeparator" w:id="1">
    <w:p>
      <w:pPr>
        <w:spacing w:line="240" w:lineRule="auto"/>
        <w:ind w:firstLine="58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汉仪书宋二简">
    <w:altName w:val="宋体"/>
    <w:panose1 w:val="00000000000000000000"/>
    <w:charset w:val="86"/>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9A040">
    <w:pPr>
      <w:pStyle w:val="6"/>
      <w:framePr w:wrap="around" w:vAnchor="text" w:hAnchor="margin" w:xAlign="center" w:y="1"/>
      <w:ind w:firstLine="0" w:firstLineChars="0"/>
      <w:jc w:val="center"/>
      <w:rPr>
        <w:rStyle w:val="11"/>
        <w:rFonts w:ascii="宋体" w:hAnsi="宋体"/>
      </w:rPr>
    </w:pPr>
    <w:r>
      <w:rPr>
        <w:rStyle w:val="11"/>
        <w:rFonts w:hint="eastAsia" w:ascii="汉仪书宋二简"/>
      </w:rPr>
      <w:t xml:space="preserve">─ </w:t>
    </w:r>
    <w:r>
      <w:rPr>
        <w:rFonts w:ascii="宋体" w:hAnsi="宋体"/>
      </w:rPr>
      <w:fldChar w:fldCharType="begin"/>
    </w:r>
    <w:r>
      <w:rPr>
        <w:rStyle w:val="11"/>
        <w:rFonts w:ascii="宋体" w:hAnsi="宋体"/>
      </w:rPr>
      <w:instrText xml:space="preserve">PAGE  </w:instrText>
    </w:r>
    <w:r>
      <w:rPr>
        <w:rFonts w:ascii="宋体" w:hAnsi="宋体"/>
      </w:rPr>
      <w:fldChar w:fldCharType="separate"/>
    </w:r>
    <w:r>
      <w:rPr>
        <w:rStyle w:val="11"/>
        <w:rFonts w:ascii="宋体" w:hAnsi="宋体"/>
      </w:rPr>
      <w:t>11</w:t>
    </w:r>
    <w:r>
      <w:rPr>
        <w:rFonts w:ascii="宋体" w:hAnsi="宋体"/>
      </w:rPr>
      <w:fldChar w:fldCharType="end"/>
    </w:r>
    <w:r>
      <w:rPr>
        <w:rStyle w:val="11"/>
        <w:rFonts w:hint="eastAsia" w:ascii="宋体" w:hAnsi="宋体"/>
        <w:sz w:val="24"/>
      </w:rPr>
      <w:t xml:space="preserve"> </w:t>
    </w:r>
    <w:r>
      <w:rPr>
        <w:rStyle w:val="11"/>
        <w:rFonts w:hint="eastAsia" w:ascii="宋体" w:hAnsi="宋体"/>
      </w:rPr>
      <w:t>─</w:t>
    </w:r>
  </w:p>
  <w:p w14:paraId="05DCE67C">
    <w:pPr>
      <w:pStyle w:val="6"/>
      <w:ind w:firstLine="583"/>
      <w:rPr>
        <w:rFonts w:ascii="汉仪书宋二简"/>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5BF01">
    <w:pPr>
      <w:pStyle w:val="6"/>
      <w:framePr w:wrap="around" w:vAnchor="text" w:hAnchor="margin" w:xAlign="center" w:y="1"/>
      <w:ind w:firstLine="503"/>
      <w:rPr>
        <w:rStyle w:val="11"/>
        <w:rFonts w:ascii="汉仪书宋二简"/>
      </w:rPr>
    </w:pPr>
    <w:r>
      <w:fldChar w:fldCharType="begin"/>
    </w:r>
    <w:r>
      <w:rPr>
        <w:rStyle w:val="11"/>
      </w:rPr>
      <w:instrText xml:space="preserve">PAGE  </w:instrText>
    </w:r>
    <w:r>
      <w:fldChar w:fldCharType="end"/>
    </w:r>
  </w:p>
  <w:p w14:paraId="287AF750">
    <w:pPr>
      <w:pStyle w:val="6"/>
      <w:ind w:firstLine="583"/>
      <w:rPr>
        <w:rFonts w:ascii="汉仪书宋二简"/>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910B6">
    <w:pPr>
      <w:pStyle w:val="6"/>
      <w:ind w:firstLine="583"/>
      <w:rPr>
        <w:rFonts w:ascii="汉仪书宋二简"/>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86"/>
      </w:pPr>
      <w:r>
        <w:separator/>
      </w:r>
    </w:p>
  </w:footnote>
  <w:footnote w:type="continuationSeparator" w:id="1">
    <w:p>
      <w:pPr>
        <w:spacing w:line="240" w:lineRule="auto"/>
        <w:ind w:firstLine="58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CC27C">
    <w:pPr>
      <w:pStyle w:val="7"/>
      <w:ind w:firstLine="583"/>
      <w:rPr>
        <w:rFonts w:ascii="汉仪书宋二简"/>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A3F3A">
    <w:pPr>
      <w:pStyle w:val="7"/>
      <w:ind w:firstLine="583"/>
      <w:rPr>
        <w:rFonts w:ascii="汉仪书宋二简"/>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2DF61">
    <w:pPr>
      <w:pStyle w:val="7"/>
      <w:ind w:firstLine="583"/>
      <w:rPr>
        <w:rFonts w:ascii="汉仪书宋二简"/>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852C69"/>
    <w:multiLevelType w:val="singleLevel"/>
    <w:tmpl w:val="19852C6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xMDBmMGJkZGZhMTBhMzJkOTViMDRlMzE3NTUyMmEifQ=="/>
    <w:docVar w:name="KSO_WPS_MARK_KEY" w:val="91c86a11-2407-4336-99a7-689a73cbcefa"/>
  </w:docVars>
  <w:rsids>
    <w:rsidRoot w:val="00367075"/>
    <w:rsid w:val="00002058"/>
    <w:rsid w:val="000041C2"/>
    <w:rsid w:val="00006533"/>
    <w:rsid w:val="000167CC"/>
    <w:rsid w:val="00025867"/>
    <w:rsid w:val="00044448"/>
    <w:rsid w:val="00051761"/>
    <w:rsid w:val="00056821"/>
    <w:rsid w:val="000733D2"/>
    <w:rsid w:val="00076BFD"/>
    <w:rsid w:val="00087A46"/>
    <w:rsid w:val="00093C59"/>
    <w:rsid w:val="00097221"/>
    <w:rsid w:val="000A207C"/>
    <w:rsid w:val="000A4777"/>
    <w:rsid w:val="000A65C2"/>
    <w:rsid w:val="000A724E"/>
    <w:rsid w:val="000B2714"/>
    <w:rsid w:val="000D3CF4"/>
    <w:rsid w:val="000D50A3"/>
    <w:rsid w:val="000E2795"/>
    <w:rsid w:val="000E65A9"/>
    <w:rsid w:val="000E7842"/>
    <w:rsid w:val="000E7DFB"/>
    <w:rsid w:val="000F4C7D"/>
    <w:rsid w:val="00101AE1"/>
    <w:rsid w:val="00102146"/>
    <w:rsid w:val="001037E9"/>
    <w:rsid w:val="001144EF"/>
    <w:rsid w:val="00126984"/>
    <w:rsid w:val="001412B3"/>
    <w:rsid w:val="0014388C"/>
    <w:rsid w:val="00146CDE"/>
    <w:rsid w:val="00154711"/>
    <w:rsid w:val="00154859"/>
    <w:rsid w:val="0016076D"/>
    <w:rsid w:val="001616A8"/>
    <w:rsid w:val="00163712"/>
    <w:rsid w:val="00165575"/>
    <w:rsid w:val="001656AD"/>
    <w:rsid w:val="0017048C"/>
    <w:rsid w:val="001729F8"/>
    <w:rsid w:val="00172FF4"/>
    <w:rsid w:val="00174E61"/>
    <w:rsid w:val="00175A76"/>
    <w:rsid w:val="001814A6"/>
    <w:rsid w:val="00182700"/>
    <w:rsid w:val="001875C5"/>
    <w:rsid w:val="00191888"/>
    <w:rsid w:val="00193284"/>
    <w:rsid w:val="001A06AE"/>
    <w:rsid w:val="001A4403"/>
    <w:rsid w:val="001A5B98"/>
    <w:rsid w:val="001A5BC9"/>
    <w:rsid w:val="001B2DCA"/>
    <w:rsid w:val="001C04E8"/>
    <w:rsid w:val="001E0C75"/>
    <w:rsid w:val="001E39BA"/>
    <w:rsid w:val="002011EC"/>
    <w:rsid w:val="002141ED"/>
    <w:rsid w:val="002256C0"/>
    <w:rsid w:val="00230548"/>
    <w:rsid w:val="0023331B"/>
    <w:rsid w:val="00235FE3"/>
    <w:rsid w:val="00241C0C"/>
    <w:rsid w:val="002535FA"/>
    <w:rsid w:val="002558A4"/>
    <w:rsid w:val="00256DCA"/>
    <w:rsid w:val="0026341D"/>
    <w:rsid w:val="002730E9"/>
    <w:rsid w:val="00276068"/>
    <w:rsid w:val="00281CAD"/>
    <w:rsid w:val="0028409E"/>
    <w:rsid w:val="00290BEF"/>
    <w:rsid w:val="00296516"/>
    <w:rsid w:val="00296A20"/>
    <w:rsid w:val="0029740D"/>
    <w:rsid w:val="002C345A"/>
    <w:rsid w:val="002C4305"/>
    <w:rsid w:val="002C4F2B"/>
    <w:rsid w:val="002C5F88"/>
    <w:rsid w:val="002D1C02"/>
    <w:rsid w:val="002D3E59"/>
    <w:rsid w:val="002E011D"/>
    <w:rsid w:val="002E23A9"/>
    <w:rsid w:val="002E40D7"/>
    <w:rsid w:val="002F0AAD"/>
    <w:rsid w:val="002F4168"/>
    <w:rsid w:val="003103EA"/>
    <w:rsid w:val="003112A0"/>
    <w:rsid w:val="00315D78"/>
    <w:rsid w:val="00316D06"/>
    <w:rsid w:val="00327849"/>
    <w:rsid w:val="00331C7B"/>
    <w:rsid w:val="00332F62"/>
    <w:rsid w:val="0033316E"/>
    <w:rsid w:val="00333683"/>
    <w:rsid w:val="00334065"/>
    <w:rsid w:val="00337FEF"/>
    <w:rsid w:val="00343C10"/>
    <w:rsid w:val="0034591C"/>
    <w:rsid w:val="00347BDB"/>
    <w:rsid w:val="00355864"/>
    <w:rsid w:val="00355D96"/>
    <w:rsid w:val="003571AD"/>
    <w:rsid w:val="00360DFB"/>
    <w:rsid w:val="00362BC5"/>
    <w:rsid w:val="003662DC"/>
    <w:rsid w:val="00367075"/>
    <w:rsid w:val="0037365F"/>
    <w:rsid w:val="003741D5"/>
    <w:rsid w:val="003860AF"/>
    <w:rsid w:val="00390CB5"/>
    <w:rsid w:val="003A1B0E"/>
    <w:rsid w:val="003A67A5"/>
    <w:rsid w:val="003B46B4"/>
    <w:rsid w:val="003B4D95"/>
    <w:rsid w:val="003D1F8B"/>
    <w:rsid w:val="003D3B25"/>
    <w:rsid w:val="003D70CA"/>
    <w:rsid w:val="003E603D"/>
    <w:rsid w:val="003E6DDA"/>
    <w:rsid w:val="003F353A"/>
    <w:rsid w:val="004060DF"/>
    <w:rsid w:val="00413EA1"/>
    <w:rsid w:val="004175DA"/>
    <w:rsid w:val="004248D8"/>
    <w:rsid w:val="00452C68"/>
    <w:rsid w:val="00457ECD"/>
    <w:rsid w:val="00462740"/>
    <w:rsid w:val="00467468"/>
    <w:rsid w:val="00474A47"/>
    <w:rsid w:val="00481969"/>
    <w:rsid w:val="004823C3"/>
    <w:rsid w:val="00495FFB"/>
    <w:rsid w:val="004B44EF"/>
    <w:rsid w:val="004B4DED"/>
    <w:rsid w:val="004C4131"/>
    <w:rsid w:val="004D2FA5"/>
    <w:rsid w:val="004D777A"/>
    <w:rsid w:val="004E1DCD"/>
    <w:rsid w:val="004E5172"/>
    <w:rsid w:val="004F252F"/>
    <w:rsid w:val="004F4ABD"/>
    <w:rsid w:val="004F612C"/>
    <w:rsid w:val="00502AB6"/>
    <w:rsid w:val="00504557"/>
    <w:rsid w:val="00504F53"/>
    <w:rsid w:val="005564F1"/>
    <w:rsid w:val="00557CB6"/>
    <w:rsid w:val="00561666"/>
    <w:rsid w:val="005664AA"/>
    <w:rsid w:val="00571318"/>
    <w:rsid w:val="00573279"/>
    <w:rsid w:val="00577E94"/>
    <w:rsid w:val="005863B9"/>
    <w:rsid w:val="005905C5"/>
    <w:rsid w:val="00593C87"/>
    <w:rsid w:val="005967BD"/>
    <w:rsid w:val="005A481B"/>
    <w:rsid w:val="005A598C"/>
    <w:rsid w:val="005B0B25"/>
    <w:rsid w:val="005B3B03"/>
    <w:rsid w:val="005C24D6"/>
    <w:rsid w:val="005C47F3"/>
    <w:rsid w:val="005C5146"/>
    <w:rsid w:val="005E3198"/>
    <w:rsid w:val="005E3CFF"/>
    <w:rsid w:val="005F0CA1"/>
    <w:rsid w:val="005F4A8C"/>
    <w:rsid w:val="005F6BBA"/>
    <w:rsid w:val="00603379"/>
    <w:rsid w:val="00603B5A"/>
    <w:rsid w:val="00605CAB"/>
    <w:rsid w:val="00607458"/>
    <w:rsid w:val="00612A4C"/>
    <w:rsid w:val="00634D90"/>
    <w:rsid w:val="00636BA2"/>
    <w:rsid w:val="00636C85"/>
    <w:rsid w:val="006478CC"/>
    <w:rsid w:val="00652F29"/>
    <w:rsid w:val="00655BD1"/>
    <w:rsid w:val="006708B2"/>
    <w:rsid w:val="00681E08"/>
    <w:rsid w:val="00683602"/>
    <w:rsid w:val="00691161"/>
    <w:rsid w:val="00695907"/>
    <w:rsid w:val="00695B08"/>
    <w:rsid w:val="00696E80"/>
    <w:rsid w:val="006A350F"/>
    <w:rsid w:val="006B0D89"/>
    <w:rsid w:val="006B79C8"/>
    <w:rsid w:val="006D30EA"/>
    <w:rsid w:val="006D57FE"/>
    <w:rsid w:val="006D5B19"/>
    <w:rsid w:val="006F3C68"/>
    <w:rsid w:val="006F6DA6"/>
    <w:rsid w:val="0070156E"/>
    <w:rsid w:val="00702AFE"/>
    <w:rsid w:val="00702B15"/>
    <w:rsid w:val="00703E03"/>
    <w:rsid w:val="007071F0"/>
    <w:rsid w:val="00711CAA"/>
    <w:rsid w:val="007136E8"/>
    <w:rsid w:val="00713FA9"/>
    <w:rsid w:val="00720D91"/>
    <w:rsid w:val="00721511"/>
    <w:rsid w:val="007245B4"/>
    <w:rsid w:val="007344DA"/>
    <w:rsid w:val="007430E1"/>
    <w:rsid w:val="007504B6"/>
    <w:rsid w:val="0075173C"/>
    <w:rsid w:val="007635EF"/>
    <w:rsid w:val="007821A1"/>
    <w:rsid w:val="00785C66"/>
    <w:rsid w:val="007A128F"/>
    <w:rsid w:val="007A1556"/>
    <w:rsid w:val="007A3AC2"/>
    <w:rsid w:val="007A5981"/>
    <w:rsid w:val="007A6C9C"/>
    <w:rsid w:val="007C004C"/>
    <w:rsid w:val="007C74AB"/>
    <w:rsid w:val="007D4FA0"/>
    <w:rsid w:val="007E23CA"/>
    <w:rsid w:val="007E4B00"/>
    <w:rsid w:val="007E5F06"/>
    <w:rsid w:val="007F590B"/>
    <w:rsid w:val="008045E6"/>
    <w:rsid w:val="00806F0D"/>
    <w:rsid w:val="00810454"/>
    <w:rsid w:val="00823530"/>
    <w:rsid w:val="008242FA"/>
    <w:rsid w:val="0083185D"/>
    <w:rsid w:val="008328DA"/>
    <w:rsid w:val="008402AF"/>
    <w:rsid w:val="00844EF8"/>
    <w:rsid w:val="00853913"/>
    <w:rsid w:val="00861513"/>
    <w:rsid w:val="00870132"/>
    <w:rsid w:val="008732E1"/>
    <w:rsid w:val="0088196F"/>
    <w:rsid w:val="00886C91"/>
    <w:rsid w:val="0089016C"/>
    <w:rsid w:val="00893DC4"/>
    <w:rsid w:val="0089696B"/>
    <w:rsid w:val="008B610A"/>
    <w:rsid w:val="008C079D"/>
    <w:rsid w:val="008C191A"/>
    <w:rsid w:val="008C5E7C"/>
    <w:rsid w:val="008D08F2"/>
    <w:rsid w:val="008E2576"/>
    <w:rsid w:val="008E3844"/>
    <w:rsid w:val="008E44EB"/>
    <w:rsid w:val="008E7E49"/>
    <w:rsid w:val="008F3FFD"/>
    <w:rsid w:val="008F5837"/>
    <w:rsid w:val="00900604"/>
    <w:rsid w:val="0090409D"/>
    <w:rsid w:val="00913A15"/>
    <w:rsid w:val="00920097"/>
    <w:rsid w:val="00924B70"/>
    <w:rsid w:val="0093259C"/>
    <w:rsid w:val="00932AB1"/>
    <w:rsid w:val="00937094"/>
    <w:rsid w:val="009517D4"/>
    <w:rsid w:val="00956796"/>
    <w:rsid w:val="00962600"/>
    <w:rsid w:val="009719B5"/>
    <w:rsid w:val="00977418"/>
    <w:rsid w:val="00987B9E"/>
    <w:rsid w:val="00995DFC"/>
    <w:rsid w:val="009C3B57"/>
    <w:rsid w:val="009F5BD9"/>
    <w:rsid w:val="00A10807"/>
    <w:rsid w:val="00A11ECB"/>
    <w:rsid w:val="00A16D34"/>
    <w:rsid w:val="00A1732F"/>
    <w:rsid w:val="00A20DCA"/>
    <w:rsid w:val="00A218E9"/>
    <w:rsid w:val="00A23144"/>
    <w:rsid w:val="00A31002"/>
    <w:rsid w:val="00A3750B"/>
    <w:rsid w:val="00A43BB1"/>
    <w:rsid w:val="00A554C5"/>
    <w:rsid w:val="00A619D8"/>
    <w:rsid w:val="00A67F4C"/>
    <w:rsid w:val="00A70F5C"/>
    <w:rsid w:val="00A77AB0"/>
    <w:rsid w:val="00A81AB1"/>
    <w:rsid w:val="00A86B65"/>
    <w:rsid w:val="00A879B3"/>
    <w:rsid w:val="00A90791"/>
    <w:rsid w:val="00A92C10"/>
    <w:rsid w:val="00AA3175"/>
    <w:rsid w:val="00AA4D29"/>
    <w:rsid w:val="00AA4E75"/>
    <w:rsid w:val="00AC01FA"/>
    <w:rsid w:val="00AC2259"/>
    <w:rsid w:val="00AC5D43"/>
    <w:rsid w:val="00AC7222"/>
    <w:rsid w:val="00AD2A68"/>
    <w:rsid w:val="00AD384B"/>
    <w:rsid w:val="00AD48E0"/>
    <w:rsid w:val="00AD7FCC"/>
    <w:rsid w:val="00AE0FE4"/>
    <w:rsid w:val="00AE1041"/>
    <w:rsid w:val="00AE4324"/>
    <w:rsid w:val="00AE4F4A"/>
    <w:rsid w:val="00AF08C0"/>
    <w:rsid w:val="00AF447F"/>
    <w:rsid w:val="00AF46C4"/>
    <w:rsid w:val="00AF5571"/>
    <w:rsid w:val="00B00D3E"/>
    <w:rsid w:val="00B10A6E"/>
    <w:rsid w:val="00B1293E"/>
    <w:rsid w:val="00B17649"/>
    <w:rsid w:val="00B25484"/>
    <w:rsid w:val="00B329C5"/>
    <w:rsid w:val="00B47214"/>
    <w:rsid w:val="00B533A4"/>
    <w:rsid w:val="00B73C79"/>
    <w:rsid w:val="00B754D5"/>
    <w:rsid w:val="00B85D37"/>
    <w:rsid w:val="00B87E39"/>
    <w:rsid w:val="00B919DF"/>
    <w:rsid w:val="00B92E24"/>
    <w:rsid w:val="00B9386D"/>
    <w:rsid w:val="00BA04E8"/>
    <w:rsid w:val="00BA06E8"/>
    <w:rsid w:val="00BA290B"/>
    <w:rsid w:val="00BA53A2"/>
    <w:rsid w:val="00BB3400"/>
    <w:rsid w:val="00BB6D2E"/>
    <w:rsid w:val="00BC32C0"/>
    <w:rsid w:val="00BD195C"/>
    <w:rsid w:val="00BE41ED"/>
    <w:rsid w:val="00BF0628"/>
    <w:rsid w:val="00C04EF5"/>
    <w:rsid w:val="00C1633B"/>
    <w:rsid w:val="00C24F07"/>
    <w:rsid w:val="00C25AE2"/>
    <w:rsid w:val="00C2795A"/>
    <w:rsid w:val="00C315A0"/>
    <w:rsid w:val="00C37527"/>
    <w:rsid w:val="00C4389B"/>
    <w:rsid w:val="00C45B9E"/>
    <w:rsid w:val="00C47FC4"/>
    <w:rsid w:val="00C518A5"/>
    <w:rsid w:val="00C557A2"/>
    <w:rsid w:val="00C56A67"/>
    <w:rsid w:val="00C632FA"/>
    <w:rsid w:val="00C728A7"/>
    <w:rsid w:val="00C83DFB"/>
    <w:rsid w:val="00C90DFB"/>
    <w:rsid w:val="00C94B36"/>
    <w:rsid w:val="00C96289"/>
    <w:rsid w:val="00C96432"/>
    <w:rsid w:val="00CA3426"/>
    <w:rsid w:val="00CA64B7"/>
    <w:rsid w:val="00CB393F"/>
    <w:rsid w:val="00CB42BC"/>
    <w:rsid w:val="00CB6E72"/>
    <w:rsid w:val="00CB7048"/>
    <w:rsid w:val="00CB74EF"/>
    <w:rsid w:val="00CC2DC0"/>
    <w:rsid w:val="00CC7160"/>
    <w:rsid w:val="00CC7FDE"/>
    <w:rsid w:val="00CD0BBD"/>
    <w:rsid w:val="00CF69AA"/>
    <w:rsid w:val="00CF6D34"/>
    <w:rsid w:val="00D05A15"/>
    <w:rsid w:val="00D127B1"/>
    <w:rsid w:val="00D13C9B"/>
    <w:rsid w:val="00D20ACB"/>
    <w:rsid w:val="00D21B23"/>
    <w:rsid w:val="00D23EF5"/>
    <w:rsid w:val="00D4006F"/>
    <w:rsid w:val="00D4228E"/>
    <w:rsid w:val="00D54E05"/>
    <w:rsid w:val="00D63F79"/>
    <w:rsid w:val="00D655F0"/>
    <w:rsid w:val="00D71AA1"/>
    <w:rsid w:val="00D85BF8"/>
    <w:rsid w:val="00D87DF9"/>
    <w:rsid w:val="00D90885"/>
    <w:rsid w:val="00D97EED"/>
    <w:rsid w:val="00DB7377"/>
    <w:rsid w:val="00DC09C6"/>
    <w:rsid w:val="00DD680B"/>
    <w:rsid w:val="00DD7553"/>
    <w:rsid w:val="00DE2024"/>
    <w:rsid w:val="00DE2A0A"/>
    <w:rsid w:val="00DE5FBC"/>
    <w:rsid w:val="00DF39FE"/>
    <w:rsid w:val="00DF5ABE"/>
    <w:rsid w:val="00E01CBE"/>
    <w:rsid w:val="00E060CE"/>
    <w:rsid w:val="00E2284B"/>
    <w:rsid w:val="00E31821"/>
    <w:rsid w:val="00E35CA0"/>
    <w:rsid w:val="00E40C40"/>
    <w:rsid w:val="00E46CCF"/>
    <w:rsid w:val="00E545A5"/>
    <w:rsid w:val="00E731E9"/>
    <w:rsid w:val="00E75381"/>
    <w:rsid w:val="00E82620"/>
    <w:rsid w:val="00E83EBE"/>
    <w:rsid w:val="00E85841"/>
    <w:rsid w:val="00E875B6"/>
    <w:rsid w:val="00E87FFE"/>
    <w:rsid w:val="00E97611"/>
    <w:rsid w:val="00EA1CE0"/>
    <w:rsid w:val="00EA2A24"/>
    <w:rsid w:val="00EA430F"/>
    <w:rsid w:val="00EA61AE"/>
    <w:rsid w:val="00EB4841"/>
    <w:rsid w:val="00EB4871"/>
    <w:rsid w:val="00EC20F2"/>
    <w:rsid w:val="00ED2C35"/>
    <w:rsid w:val="00ED3592"/>
    <w:rsid w:val="00EE29D8"/>
    <w:rsid w:val="00EE47D5"/>
    <w:rsid w:val="00EE497D"/>
    <w:rsid w:val="00EE7649"/>
    <w:rsid w:val="00EF0057"/>
    <w:rsid w:val="00EF0F27"/>
    <w:rsid w:val="00EF7C13"/>
    <w:rsid w:val="00F06260"/>
    <w:rsid w:val="00F10A45"/>
    <w:rsid w:val="00F16387"/>
    <w:rsid w:val="00F24908"/>
    <w:rsid w:val="00F40399"/>
    <w:rsid w:val="00F41AB8"/>
    <w:rsid w:val="00F468EC"/>
    <w:rsid w:val="00F50354"/>
    <w:rsid w:val="00F51C3E"/>
    <w:rsid w:val="00F76BE3"/>
    <w:rsid w:val="00F7788D"/>
    <w:rsid w:val="00F834DA"/>
    <w:rsid w:val="00FB5C34"/>
    <w:rsid w:val="00FE7914"/>
    <w:rsid w:val="00FE7B3D"/>
    <w:rsid w:val="00FE7C24"/>
    <w:rsid w:val="00FF3A94"/>
    <w:rsid w:val="00FF5324"/>
    <w:rsid w:val="00FF6619"/>
    <w:rsid w:val="03B64756"/>
    <w:rsid w:val="04A968D2"/>
    <w:rsid w:val="04FC43DD"/>
    <w:rsid w:val="053E6F8B"/>
    <w:rsid w:val="05410997"/>
    <w:rsid w:val="06176475"/>
    <w:rsid w:val="06CF5357"/>
    <w:rsid w:val="088D1B3E"/>
    <w:rsid w:val="09371E95"/>
    <w:rsid w:val="09E72467"/>
    <w:rsid w:val="0A4843C1"/>
    <w:rsid w:val="0AB13EC9"/>
    <w:rsid w:val="0C3D2B62"/>
    <w:rsid w:val="0EF6079C"/>
    <w:rsid w:val="11282647"/>
    <w:rsid w:val="119F3AA1"/>
    <w:rsid w:val="11F67814"/>
    <w:rsid w:val="12D746E8"/>
    <w:rsid w:val="150D619F"/>
    <w:rsid w:val="158D544D"/>
    <w:rsid w:val="1703523F"/>
    <w:rsid w:val="17543FF8"/>
    <w:rsid w:val="18741678"/>
    <w:rsid w:val="1D3544E5"/>
    <w:rsid w:val="1EB163B8"/>
    <w:rsid w:val="1EF6428B"/>
    <w:rsid w:val="22C91476"/>
    <w:rsid w:val="237E1180"/>
    <w:rsid w:val="23EA43A7"/>
    <w:rsid w:val="243E6375"/>
    <w:rsid w:val="24EC5DD1"/>
    <w:rsid w:val="26992AA8"/>
    <w:rsid w:val="294C32E2"/>
    <w:rsid w:val="2A4F3A48"/>
    <w:rsid w:val="2B5E52B0"/>
    <w:rsid w:val="2EC53D2A"/>
    <w:rsid w:val="2EFE1D57"/>
    <w:rsid w:val="2F023A1F"/>
    <w:rsid w:val="2FB15C4D"/>
    <w:rsid w:val="31D200FD"/>
    <w:rsid w:val="32863127"/>
    <w:rsid w:val="32C75CF9"/>
    <w:rsid w:val="339803D9"/>
    <w:rsid w:val="348050E1"/>
    <w:rsid w:val="3580340A"/>
    <w:rsid w:val="379E19CF"/>
    <w:rsid w:val="38670651"/>
    <w:rsid w:val="39F532E3"/>
    <w:rsid w:val="3AD6133C"/>
    <w:rsid w:val="3BCE149D"/>
    <w:rsid w:val="3CA746C3"/>
    <w:rsid w:val="3CEB6B40"/>
    <w:rsid w:val="3D6A28FF"/>
    <w:rsid w:val="3DBB7611"/>
    <w:rsid w:val="3DE841C2"/>
    <w:rsid w:val="3E4A6250"/>
    <w:rsid w:val="3E611186"/>
    <w:rsid w:val="3FFD7028"/>
    <w:rsid w:val="427524C2"/>
    <w:rsid w:val="43C9638C"/>
    <w:rsid w:val="464901D4"/>
    <w:rsid w:val="46BF3873"/>
    <w:rsid w:val="46C93302"/>
    <w:rsid w:val="471D3F10"/>
    <w:rsid w:val="47356D0C"/>
    <w:rsid w:val="480078A2"/>
    <w:rsid w:val="49645851"/>
    <w:rsid w:val="4BE849BB"/>
    <w:rsid w:val="4D446DEE"/>
    <w:rsid w:val="4E5666A0"/>
    <w:rsid w:val="4F905AB0"/>
    <w:rsid w:val="4FD05AE8"/>
    <w:rsid w:val="50744D49"/>
    <w:rsid w:val="50F42E2E"/>
    <w:rsid w:val="52410B8D"/>
    <w:rsid w:val="52B4142D"/>
    <w:rsid w:val="537A21E1"/>
    <w:rsid w:val="53891BA1"/>
    <w:rsid w:val="543C5B7E"/>
    <w:rsid w:val="558F26D2"/>
    <w:rsid w:val="55B5226E"/>
    <w:rsid w:val="56E61DD1"/>
    <w:rsid w:val="57926CB7"/>
    <w:rsid w:val="5B211C52"/>
    <w:rsid w:val="5C4C6B7A"/>
    <w:rsid w:val="5CD7422B"/>
    <w:rsid w:val="5CDA4B14"/>
    <w:rsid w:val="5D11447E"/>
    <w:rsid w:val="5DDF2308"/>
    <w:rsid w:val="5E4E2934"/>
    <w:rsid w:val="5F4E2C09"/>
    <w:rsid w:val="608D342A"/>
    <w:rsid w:val="60E1512F"/>
    <w:rsid w:val="61636D7A"/>
    <w:rsid w:val="61D27B22"/>
    <w:rsid w:val="65D136BC"/>
    <w:rsid w:val="66862C89"/>
    <w:rsid w:val="669B2BD8"/>
    <w:rsid w:val="670A1B0C"/>
    <w:rsid w:val="687B1838"/>
    <w:rsid w:val="691F5A36"/>
    <w:rsid w:val="6AE617FC"/>
    <w:rsid w:val="6B032AFA"/>
    <w:rsid w:val="6BAA6BE8"/>
    <w:rsid w:val="6BC06C3D"/>
    <w:rsid w:val="6C2E0210"/>
    <w:rsid w:val="6F052092"/>
    <w:rsid w:val="6F464060"/>
    <w:rsid w:val="6F932298"/>
    <w:rsid w:val="6FCF40CE"/>
    <w:rsid w:val="7060454A"/>
    <w:rsid w:val="71374B56"/>
    <w:rsid w:val="71E65719"/>
    <w:rsid w:val="72CE442A"/>
    <w:rsid w:val="73513830"/>
    <w:rsid w:val="73FB2F08"/>
    <w:rsid w:val="742A4CB7"/>
    <w:rsid w:val="758C4E85"/>
    <w:rsid w:val="759003CC"/>
    <w:rsid w:val="75CB6720"/>
    <w:rsid w:val="761D43D5"/>
    <w:rsid w:val="777234E1"/>
    <w:rsid w:val="77E24D39"/>
    <w:rsid w:val="78055B40"/>
    <w:rsid w:val="78704BDD"/>
    <w:rsid w:val="78B925E3"/>
    <w:rsid w:val="78C95383"/>
    <w:rsid w:val="79711576"/>
    <w:rsid w:val="7B933A26"/>
    <w:rsid w:val="7C347D14"/>
    <w:rsid w:val="7CD55DC5"/>
    <w:rsid w:val="7CDA635D"/>
    <w:rsid w:val="7D7E6818"/>
    <w:rsid w:val="7E024E93"/>
    <w:rsid w:val="7E663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tabs>
        <w:tab w:val="right" w:pos="4820"/>
        <w:tab w:val="left" w:pos="5103"/>
        <w:tab w:val="right" w:pos="8505"/>
      </w:tabs>
      <w:spacing w:line="540" w:lineRule="exact"/>
      <w:ind w:firstLine="200" w:firstLineChars="200"/>
      <w:jc w:val="both"/>
    </w:pPr>
    <w:rPr>
      <w:rFonts w:ascii="Times New Roman" w:hAnsi="Times New Roman" w:eastAsia="汉仪书宋二简" w:cs="Times New Roman"/>
      <w:spacing w:val="20"/>
      <w:w w:val="110"/>
      <w:kern w:val="2"/>
      <w:sz w:val="23"/>
      <w:szCs w:val="24"/>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line="580" w:lineRule="exact"/>
    </w:pPr>
    <w:rPr>
      <w:rFonts w:ascii="仿宋_GB2312" w:hAnsi="宋体" w:eastAsia="仿宋_GB2312"/>
      <w:sz w:val="32"/>
    </w:rPr>
  </w:style>
  <w:style w:type="paragraph" w:styleId="3">
    <w:name w:val="Body Text Indent"/>
    <w:basedOn w:val="1"/>
    <w:autoRedefine/>
    <w:qFormat/>
    <w:uiPriority w:val="0"/>
    <w:pPr>
      <w:ind w:firstLine="544"/>
    </w:pPr>
  </w:style>
  <w:style w:type="paragraph" w:styleId="4">
    <w:name w:val="Body Text Indent 2"/>
    <w:basedOn w:val="1"/>
    <w:autoRedefine/>
    <w:qFormat/>
    <w:uiPriority w:val="0"/>
    <w:pPr>
      <w:ind w:firstLine="542"/>
    </w:pPr>
  </w:style>
  <w:style w:type="paragraph" w:styleId="5">
    <w:name w:val="Balloon Text"/>
    <w:basedOn w:val="1"/>
    <w:autoRedefine/>
    <w:semiHidden/>
    <w:qFormat/>
    <w:uiPriority w:val="0"/>
    <w:rPr>
      <w:sz w:val="18"/>
      <w:szCs w:val="18"/>
    </w:rPr>
  </w:style>
  <w:style w:type="paragraph" w:styleId="6">
    <w:name w:val="footer"/>
    <w:basedOn w:val="1"/>
    <w:autoRedefine/>
    <w:qFormat/>
    <w:uiPriority w:val="0"/>
    <w:pPr>
      <w:tabs>
        <w:tab w:val="center" w:pos="4153"/>
        <w:tab w:val="right" w:pos="8306"/>
        <w:tab w:val="clear" w:pos="4820"/>
        <w:tab w:val="clear" w:pos="5103"/>
        <w:tab w:val="clear" w:pos="8505"/>
      </w:tabs>
    </w:pPr>
  </w:style>
  <w:style w:type="paragraph" w:styleId="7">
    <w:name w:val="header"/>
    <w:basedOn w:val="1"/>
    <w:autoRedefine/>
    <w:qFormat/>
    <w:uiPriority w:val="0"/>
    <w:pPr>
      <w:tabs>
        <w:tab w:val="center" w:pos="4153"/>
        <w:tab w:val="right" w:pos="8306"/>
        <w:tab w:val="clear" w:pos="4820"/>
        <w:tab w:val="clear" w:pos="5103"/>
        <w:tab w:val="clear" w:pos="8505"/>
      </w:tabs>
    </w:pPr>
  </w:style>
  <w:style w:type="paragraph" w:styleId="8">
    <w:name w:val="Body Text Indent 3"/>
    <w:basedOn w:val="1"/>
    <w:autoRedefine/>
    <w:qFormat/>
    <w:uiPriority w:val="0"/>
    <w:pPr>
      <w:ind w:firstLine="586"/>
    </w:pPr>
  </w:style>
  <w:style w:type="character" w:styleId="11">
    <w:name w:val="page number"/>
    <w:basedOn w:val="10"/>
    <w:autoRedefine/>
    <w:qFormat/>
    <w:uiPriority w:val="0"/>
  </w:style>
  <w:style w:type="character" w:styleId="12">
    <w:name w:val="Hyperlink"/>
    <w:autoRedefine/>
    <w:qFormat/>
    <w:uiPriority w:val="0"/>
    <w:rPr>
      <w:color w:val="0000FF"/>
      <w:u w:val="single"/>
    </w:rPr>
  </w:style>
  <w:style w:type="paragraph" w:customStyle="1" w:styleId="13">
    <w:name w:val="a"/>
    <w:basedOn w:val="1"/>
    <w:autoRedefine/>
    <w:qFormat/>
    <w:uiPriority w:val="0"/>
    <w:pPr>
      <w:widowControl/>
      <w:tabs>
        <w:tab w:val="clear" w:pos="4820"/>
        <w:tab w:val="clear" w:pos="5103"/>
        <w:tab w:val="clear" w:pos="8505"/>
      </w:tabs>
      <w:spacing w:before="100" w:beforeAutospacing="1" w:after="100" w:afterAutospacing="1" w:line="240" w:lineRule="auto"/>
      <w:ind w:firstLine="0" w:firstLineChars="0"/>
      <w:jc w:val="left"/>
    </w:pPr>
    <w:rPr>
      <w:rFonts w:ascii="Verdana" w:hAnsi="Verdana" w:eastAsia="宋体"/>
      <w:color w:val="000000"/>
      <w:spacing w:val="0"/>
      <w:w w:val="100"/>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16</Pages>
  <Words>6483</Words>
  <Characters>6693</Characters>
  <Lines>45</Lines>
  <Paragraphs>12</Paragraphs>
  <TotalTime>2</TotalTime>
  <ScaleCrop>false</ScaleCrop>
  <LinksUpToDate>false</LinksUpToDate>
  <CharactersWithSpaces>6764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2021-02-02T06:54:00Z</dcterms:created>
  <dc:creator>张喆_2008337303</dc:creator>
  <cp:lastModifiedBy>Lee 1</cp:lastModifiedBy>
  <cp:lastPrinted>2023-05-31T01:09:00Z</cp:lastPrinted>
  <dcterms:modified xsi:type="dcterms:W3CDTF">2025-06-27T11:58:31Z</dcterms:modified>
  <dc:title>深圳市土地使用权挂牌出让竞买须知</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552CFDD8A54C4E26BA985301C4BC4EB0</vt:lpwstr>
  </property>
  <property fmtid="{D5CDD505-2E9C-101B-9397-08002B2CF9AE}" pid="4" name="KSOTemplateDocerSaveRecord">
    <vt:lpwstr>eyJoZGlkIjoiMjFkMGYzM2E4OGU5N2U1MTlmNjc4YTYzMDNmNDM4ZmIiLCJ1c2VySWQiOiIyMDI4NzM4NDgifQ==</vt:lpwstr>
  </property>
</Properties>
</file>