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utlineLvl w:val="2"/>
        <w:rPr>
          <w:rFonts w:hint="eastAsia" w:ascii="仿宋" w:hAnsi="仿宋" w:eastAsia="仿宋" w:cs="仿宋"/>
          <w:color w:val="000000" w:themeColor="text1"/>
          <w:sz w:val="28"/>
          <w:szCs w:val="22"/>
          <w:highlight w:val="none"/>
          <w:lang w:val="en-US" w:eastAsia="zh-CN" w:bidi="ar"/>
          <w14:textFill>
            <w14:solidFill>
              <w14:schemeClr w14:val="tx1"/>
            </w14:solidFill>
          </w14:textFill>
        </w:rPr>
      </w:pPr>
      <w:bookmarkStart w:id="0" w:name="_Toc5099"/>
      <w:bookmarkStart w:id="1" w:name="_Toc20124"/>
      <w:r>
        <w:rPr>
          <w:rFonts w:hint="eastAsia" w:ascii="仿宋" w:hAnsi="仿宋" w:eastAsia="仿宋" w:cs="仿宋"/>
          <w:color w:val="000000" w:themeColor="text1"/>
          <w:sz w:val="28"/>
          <w:szCs w:val="22"/>
          <w:highlight w:val="none"/>
          <w:lang w:eastAsia="zh-CN" w:bidi="ar"/>
          <w14:textFill>
            <w14:solidFill>
              <w14:schemeClr w14:val="tx1"/>
            </w14:solidFill>
          </w14:textFill>
        </w:rPr>
        <w:t>附件</w:t>
      </w:r>
      <w:r>
        <w:rPr>
          <w:rFonts w:hint="eastAsia" w:ascii="仿宋" w:hAnsi="仿宋" w:eastAsia="仿宋" w:cs="仿宋"/>
          <w:color w:val="000000" w:themeColor="text1"/>
          <w:sz w:val="28"/>
          <w:szCs w:val="22"/>
          <w:highlight w:val="none"/>
          <w:lang w:val="en-US" w:eastAsia="zh-CN" w:bidi="ar"/>
          <w14:textFill>
            <w14:solidFill>
              <w14:schemeClr w14:val="tx1"/>
            </w14:solidFill>
          </w14:textFill>
        </w:rPr>
        <w:t>1-4-2：</w:t>
      </w:r>
      <w:r>
        <w:rPr>
          <w:rFonts w:hint="eastAsia" w:ascii="仿宋" w:hAnsi="仿宋" w:eastAsia="仿宋" w:cs="仿宋"/>
          <w:color w:val="000000" w:themeColor="text1"/>
          <w:sz w:val="28"/>
          <w:highlight w:val="none"/>
          <w:lang w:bidi="ar"/>
          <w14:textFill>
            <w14:solidFill>
              <w14:schemeClr w14:val="tx1"/>
            </w14:solidFill>
          </w14:textFill>
        </w:rPr>
        <w:t>单一来源采购审批前公示表</w:t>
      </w:r>
      <w:bookmarkEnd w:id="0"/>
      <w:bookmarkEnd w:id="1"/>
    </w:p>
    <w:p>
      <w:pPr>
        <w:pStyle w:val="5"/>
        <w:keepNext w:val="0"/>
        <w:keepLines w:val="0"/>
        <w:pageBreakBefore w:val="0"/>
        <w:widowControl w:val="0"/>
        <w:kinsoku/>
        <w:overflowPunct/>
        <w:topLinePunct w:val="0"/>
        <w:autoSpaceDE/>
        <w:autoSpaceDN/>
        <w:bidi w:val="0"/>
        <w:adjustRightInd w:val="0"/>
        <w:spacing w:line="580" w:lineRule="exact"/>
        <w:ind w:firstLine="0" w:firstLineChars="0"/>
        <w:rPr>
          <w:rFonts w:hint="eastAsia" w:ascii="方正仿宋_GBK" w:hAnsi="方正仿宋_GBK" w:eastAsia="方正仿宋_GBK" w:cs="方正仿宋_GBK"/>
          <w:color w:val="000000" w:themeColor="text1"/>
          <w:sz w:val="28"/>
          <w:szCs w:val="28"/>
          <w:highlight w:val="none"/>
          <w14:textFill>
            <w14:solidFill>
              <w14:schemeClr w14:val="tx1"/>
            </w14:solidFill>
          </w14:textFill>
        </w:rPr>
      </w:pPr>
    </w:p>
    <w:p>
      <w:pPr>
        <w:spacing w:beforeLines="0" w:afterLines="0" w:line="579" w:lineRule="exact"/>
        <w:jc w:val="center"/>
        <w:rPr>
          <w:rFonts w:hint="eastAsia" w:ascii="宋体" w:hAnsi="宋体" w:eastAsia="宋体" w:cs="宋体"/>
          <w:b/>
          <w:bCs/>
          <w:color w:val="000000" w:themeColor="text1"/>
          <w:kern w:val="0"/>
          <w:sz w:val="44"/>
          <w:szCs w:val="44"/>
          <w:highlight w:val="none"/>
          <w:lang w:bidi="ar"/>
          <w14:textFill>
            <w14:solidFill>
              <w14:schemeClr w14:val="tx1"/>
            </w14:solidFill>
          </w14:textFill>
        </w:rPr>
      </w:pPr>
      <w:r>
        <w:rPr>
          <w:rFonts w:hint="eastAsia" w:ascii="宋体" w:hAnsi="宋体" w:eastAsia="宋体" w:cs="宋体"/>
          <w:b/>
          <w:bCs/>
          <w:caps w:val="0"/>
          <w:color w:val="000000" w:themeColor="text1"/>
          <w:spacing w:val="0"/>
          <w:kern w:val="0"/>
          <w:sz w:val="44"/>
          <w:szCs w:val="44"/>
          <w:highlight w:val="none"/>
          <w:shd w:val="clear"/>
          <w:lang w:bidi="ar"/>
          <w14:textFill>
            <w14:solidFill>
              <w14:schemeClr w14:val="tx1"/>
            </w14:solidFill>
          </w14:textFill>
        </w:rPr>
        <w:t>单一来源采购审批前公示</w:t>
      </w:r>
      <w:r>
        <w:rPr>
          <w:rFonts w:hint="eastAsia" w:ascii="宋体" w:hAnsi="宋体" w:eastAsia="宋体" w:cs="宋体"/>
          <w:b/>
          <w:bCs/>
          <w:color w:val="000000" w:themeColor="text1"/>
          <w:kern w:val="0"/>
          <w:sz w:val="44"/>
          <w:szCs w:val="44"/>
          <w:highlight w:val="none"/>
          <w:shd w:val="clear"/>
          <w:lang w:bidi="ar"/>
          <w14:textFill>
            <w14:solidFill>
              <w14:schemeClr w14:val="tx1"/>
            </w14:solidFill>
          </w14:textFill>
        </w:rPr>
        <w:t>表</w:t>
      </w:r>
    </w:p>
    <w:p>
      <w:pPr>
        <w:rPr>
          <w:rFonts w:ascii="Verdana" w:hAnsi="Verdana"/>
          <w:color w:val="000000" w:themeColor="text1"/>
          <w:szCs w:val="21"/>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aps w:val="0"/>
          <w:color w:val="000000" w:themeColor="text1"/>
          <w:spacing w:val="0"/>
          <w:sz w:val="32"/>
          <w:szCs w:val="32"/>
          <w:highlight w:val="none"/>
          <w:shd w:val="clear"/>
          <w14:textFill>
            <w14:solidFill>
              <w14:schemeClr w14:val="tx1"/>
            </w14:solidFill>
          </w14:textFill>
        </w:rPr>
        <w:t>一、项目信息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aps w:val="0"/>
          <w:color w:val="000000" w:themeColor="text1"/>
          <w:spacing w:val="0"/>
          <w:sz w:val="32"/>
          <w:szCs w:val="32"/>
          <w:highlight w:val="none"/>
          <w:shd w:val="clear"/>
          <w14:textFill>
            <w14:solidFill>
              <w14:schemeClr w14:val="tx1"/>
            </w14:solidFill>
          </w14:textFill>
        </w:rPr>
      </w:pPr>
      <w:r>
        <w:rPr>
          <w:rFonts w:hint="eastAsia" w:ascii="仿宋" w:hAnsi="仿宋" w:eastAsia="仿宋" w:cs="仿宋"/>
          <w:caps w:val="0"/>
          <w:color w:val="000000" w:themeColor="text1"/>
          <w:spacing w:val="0"/>
          <w:sz w:val="32"/>
          <w:szCs w:val="32"/>
          <w:highlight w:val="none"/>
          <w:shd w:val="clear"/>
          <w14:textFill>
            <w14:solidFill>
              <w14:schemeClr w14:val="tx1"/>
            </w14:solidFill>
          </w14:textFill>
        </w:rPr>
        <w:t>采购人：</w:t>
      </w:r>
      <w:r>
        <w:rPr>
          <w:rFonts w:hint="eastAsia" w:ascii="仿宋" w:hAnsi="仿宋" w:eastAsia="仿宋" w:cs="仿宋"/>
          <w:caps w:val="0"/>
          <w:color w:val="000000" w:themeColor="text1"/>
          <w:spacing w:val="0"/>
          <w:sz w:val="32"/>
          <w:szCs w:val="32"/>
          <w:highlight w:val="none"/>
          <w:shd w:val="clear"/>
          <w:lang w:val="en-US" w:eastAsia="zh-CN"/>
          <w14:textFill>
            <w14:solidFill>
              <w14:schemeClr w14:val="tx1"/>
            </w14:solidFill>
          </w14:textFill>
        </w:rPr>
        <w:t>深圳市规划和自然资源局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aps w:val="0"/>
          <w:color w:val="000000" w:themeColor="text1"/>
          <w:spacing w:val="0"/>
          <w:sz w:val="32"/>
          <w:szCs w:val="32"/>
          <w:highlight w:val="none"/>
          <w:shd w:val="clear"/>
          <w14:textFill>
            <w14:solidFill>
              <w14:schemeClr w14:val="tx1"/>
            </w14:solidFill>
          </w14:textFill>
        </w:rPr>
        <w:t>项目名称：深圳市10个区2025年度城市分批次建设项目用地报批方案符合性评估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aps w:val="0"/>
          <w:color w:val="000000" w:themeColor="text1"/>
          <w:spacing w:val="0"/>
          <w:sz w:val="32"/>
          <w:szCs w:val="32"/>
          <w:highlight w:val="none"/>
          <w:shd w:val="clear"/>
          <w14:textFill>
            <w14:solidFill>
              <w14:schemeClr w14:val="tx1"/>
            </w14:solidFill>
          </w14:textFill>
        </w:rPr>
      </w:pPr>
      <w:r>
        <w:rPr>
          <w:rFonts w:hint="eastAsia" w:ascii="仿宋" w:hAnsi="仿宋" w:eastAsia="仿宋" w:cs="仿宋"/>
          <w:caps w:val="0"/>
          <w:color w:val="000000" w:themeColor="text1"/>
          <w:spacing w:val="0"/>
          <w:sz w:val="32"/>
          <w:szCs w:val="32"/>
          <w:highlight w:val="none"/>
          <w:shd w:val="clear"/>
          <w14:textFill>
            <w14:solidFill>
              <w14:schemeClr w14:val="tx1"/>
            </w14:solidFill>
          </w14:textFill>
        </w:rPr>
        <w:t>拟采购项目的说明：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aps w:val="0"/>
          <w:color w:val="000000" w:themeColor="text1"/>
          <w:spacing w:val="0"/>
          <w:sz w:val="32"/>
          <w:szCs w:val="32"/>
          <w:highlight w:val="none"/>
          <w:shd w:val="clear"/>
          <w:lang w:val="en-US" w:eastAsia="zh-CN"/>
          <w14:textFill>
            <w14:solidFill>
              <w14:schemeClr w14:val="tx1"/>
            </w14:solidFill>
          </w14:textFill>
        </w:rPr>
      </w:pPr>
      <w:r>
        <w:rPr>
          <w:rFonts w:hint="eastAsia" w:ascii="仿宋" w:hAnsi="仿宋" w:eastAsia="仿宋" w:cs="仿宋"/>
          <w:caps w:val="0"/>
          <w:color w:val="000000" w:themeColor="text1"/>
          <w:spacing w:val="0"/>
          <w:sz w:val="32"/>
          <w:szCs w:val="32"/>
          <w:highlight w:val="none"/>
          <w:shd w:val="clear"/>
          <w:lang w:eastAsia="zh-CN"/>
          <w14:textFill>
            <w14:solidFill>
              <w14:schemeClr w14:val="tx1"/>
            </w14:solidFill>
          </w14:textFill>
        </w:rPr>
        <w:t>（</w:t>
      </w:r>
      <w:r>
        <w:rPr>
          <w:rFonts w:hint="eastAsia" w:ascii="仿宋" w:hAnsi="仿宋" w:eastAsia="仿宋" w:cs="仿宋"/>
          <w:caps w:val="0"/>
          <w:color w:val="000000" w:themeColor="text1"/>
          <w:spacing w:val="0"/>
          <w:sz w:val="32"/>
          <w:szCs w:val="32"/>
          <w:highlight w:val="none"/>
          <w:shd w:val="clear"/>
          <w:lang w:val="en-US" w:eastAsia="zh-CN"/>
          <w14:textFill>
            <w14:solidFill>
              <w14:schemeClr w14:val="tx1"/>
            </w14:solidFill>
          </w14:textFill>
        </w:rPr>
        <w:t>一</w:t>
      </w:r>
      <w:r>
        <w:rPr>
          <w:rFonts w:hint="eastAsia" w:ascii="仿宋" w:hAnsi="仿宋" w:eastAsia="仿宋" w:cs="仿宋"/>
          <w:caps w:val="0"/>
          <w:color w:val="000000" w:themeColor="text1"/>
          <w:spacing w:val="0"/>
          <w:sz w:val="32"/>
          <w:szCs w:val="32"/>
          <w:highlight w:val="none"/>
          <w:shd w:val="clear"/>
          <w:lang w:eastAsia="zh-CN"/>
          <w14:textFill>
            <w14:solidFill>
              <w14:schemeClr w14:val="tx1"/>
            </w14:solidFill>
          </w14:textFill>
        </w:rPr>
        <w:t>）</w:t>
      </w:r>
      <w:r>
        <w:rPr>
          <w:rFonts w:hint="eastAsia" w:ascii="仿宋" w:hAnsi="仿宋" w:eastAsia="仿宋" w:cs="仿宋"/>
          <w:caps w:val="0"/>
          <w:color w:val="000000" w:themeColor="text1"/>
          <w:spacing w:val="0"/>
          <w:sz w:val="32"/>
          <w:szCs w:val="32"/>
          <w:highlight w:val="none"/>
          <w:shd w:val="clear"/>
          <w:lang w:val="en-US" w:eastAsia="zh-CN"/>
          <w14:textFill>
            <w14:solidFill>
              <w14:schemeClr w14:val="tx1"/>
            </w14:solidFill>
          </w14:textFill>
        </w:rPr>
        <w:t>项目开展的必要性：近年来，国家和广东省对土地用途管制和审批流程提出了新的要求，强调以国土空间规划为引领，加强农转用审批的规范性和科学性。深圳市作为国家中心城市，其建设用地审批工作不仅关系到城市发展的质量和效益，更直接体现国家土地资源管理政策的贯彻实施情况。本项目旨在通过对我市10个区用地报批方案及组卷材料进行合规性技术审查及全流程跟踪，提升10个区建设用地报批的质量和效率，确保城市建设项目用地报批符合国家、省、市的相关政策法规。同时，通过建立和完善用地报批数据库，对已批复批次的空间数据和批复文件进行系统化管理，为我市土地资源管理和政策制定提供可靠的数据支持，也将有助于提升我市建设用地审批效率和质量，优化土地资源配置，进一步推动我市城市建设和高质量发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（二）该项目</w:t>
      </w:r>
      <w:r>
        <w:rPr>
          <w:rFonts w:hint="eastAsia" w:ascii="仿宋" w:hAnsi="仿宋" w:eastAsia="仿宋" w:cs="仿宋"/>
          <w:color w:val="000000" w:themeColor="text1"/>
          <w:sz w:val="32"/>
          <w:szCs w:val="32"/>
          <w:highlight w:val="none"/>
          <w14:textFill>
            <w14:solidFill>
              <w14:schemeClr w14:val="tx1"/>
            </w14:solidFill>
          </w14:textFill>
        </w:rPr>
        <w:t>主要工作内容</w:t>
      </w:r>
      <w:r>
        <w:rPr>
          <w:rFonts w:hint="eastAsia" w:ascii="仿宋" w:hAnsi="仿宋" w:eastAsia="仿宋" w:cs="仿宋"/>
          <w:color w:val="000000" w:themeColor="text1"/>
          <w:sz w:val="32"/>
          <w:szCs w:val="32"/>
          <w:highlight w:val="none"/>
          <w:lang w:val="en-US" w:eastAsia="zh-CN"/>
          <w14:textFill>
            <w14:solidFill>
              <w14:schemeClr w14:val="tx1"/>
            </w14:solidFill>
          </w14:textFill>
        </w:rPr>
        <w:t>包括：1、深圳市10个区2025年度城市分批次用地报批符合性评估；2、深圳市10个区2025年度城市分批次用地报批数据库更新维护。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aps w:val="0"/>
          <w:color w:val="000000" w:themeColor="text1"/>
          <w:spacing w:val="0"/>
          <w:sz w:val="32"/>
          <w:szCs w:val="32"/>
          <w:highlight w:val="none"/>
          <w:shd w:val="clear"/>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（三）该项目成果主要包括：</w:t>
      </w:r>
      <w:r>
        <w:rPr>
          <w:rFonts w:hint="eastAsia" w:ascii="仿宋" w:hAnsi="仿宋" w:eastAsia="仿宋" w:cs="仿宋"/>
          <w:color w:val="000000" w:themeColor="text1"/>
          <w:sz w:val="32"/>
          <w:szCs w:val="32"/>
          <w:highlight w:val="none"/>
          <w14:textFill>
            <w14:solidFill>
              <w14:schemeClr w14:val="tx1"/>
            </w14:solidFill>
          </w14:textFill>
        </w:rPr>
        <w:t>1、深圳市10个区2025年度城市分批次建设项目用地报批方案符合性评估工作报告（word格式，电子、纸质，数量1）</w:t>
      </w:r>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14:textFill>
            <w14:solidFill>
              <w14:schemeClr w14:val="tx1"/>
            </w14:solidFill>
          </w14:textFill>
        </w:rPr>
        <w:t>2、深圳市10个区2025年度城市分批次用地报批数据库（shp格式，2000国家大地坐标系，电子，数量1）。</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aps w:val="0"/>
          <w:color w:val="000000" w:themeColor="text1"/>
          <w:spacing w:val="0"/>
          <w:sz w:val="32"/>
          <w:szCs w:val="32"/>
          <w:highlight w:val="none"/>
          <w:shd w:val="clear"/>
          <w:lang w:val="en-US" w:eastAsia="zh-CN"/>
          <w14:textFill>
            <w14:solidFill>
              <w14:schemeClr w14:val="tx1"/>
            </w14:solidFill>
          </w14:textFill>
        </w:rPr>
      </w:pPr>
      <w:r>
        <w:rPr>
          <w:rFonts w:hint="eastAsia" w:ascii="仿宋" w:hAnsi="仿宋" w:eastAsia="仿宋" w:cs="仿宋"/>
          <w:caps w:val="0"/>
          <w:color w:val="000000" w:themeColor="text1"/>
          <w:spacing w:val="0"/>
          <w:sz w:val="32"/>
          <w:szCs w:val="32"/>
          <w:highlight w:val="none"/>
          <w:shd w:val="clear"/>
          <w:lang w:val="en-US" w:eastAsia="zh-CN"/>
          <w14:textFill>
            <w14:solidFill>
              <w14:schemeClr w14:val="tx1"/>
            </w14:solidFill>
          </w14:textFill>
        </w:rPr>
        <w:t>拟采购项目的预算金额：192.5万元。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aps w:val="0"/>
          <w:color w:val="000000" w:themeColor="text1"/>
          <w:spacing w:val="0"/>
          <w:sz w:val="32"/>
          <w:szCs w:val="32"/>
          <w:highlight w:val="none"/>
          <w:shd w:val="clear"/>
          <w:lang w:val="en-US" w:eastAsia="zh-CN"/>
          <w14:textFill>
            <w14:solidFill>
              <w14:schemeClr w14:val="tx1"/>
            </w14:solidFill>
          </w14:textFill>
        </w:rPr>
      </w:pPr>
      <w:r>
        <w:rPr>
          <w:rFonts w:hint="eastAsia" w:ascii="仿宋" w:hAnsi="仿宋" w:eastAsia="仿宋" w:cs="仿宋"/>
          <w:caps w:val="0"/>
          <w:color w:val="000000" w:themeColor="text1"/>
          <w:spacing w:val="0"/>
          <w:sz w:val="32"/>
          <w:szCs w:val="32"/>
          <w:highlight w:val="none"/>
          <w:shd w:val="clear"/>
          <w:lang w:val="en-US" w:eastAsia="zh-CN"/>
          <w14:textFill>
            <w14:solidFill>
              <w14:schemeClr w14:val="tx1"/>
            </w14:solidFill>
          </w14:textFill>
        </w:rPr>
        <w:t>采用单一来源采购方式的原因及说明：1.该项目开展所依据的土地管理法、土地管理法实施条例等法律法规政策文件、相关标准规范多且不断延续更新，对工作人员专业技术、工作经验积累要求较高，承担单位需对我市农转用审批相关业务和情况较为熟悉，能动态、及时提供相关服务工作，且与相关职能部门等有较好的合作关系，因此，必须委托有工作基础，能较好配合我局业务开展、能与其他部门良好沟通的单位承担。2.市规划国土发展研究中心多年从事我市农转用审查报批工作，</w:t>
      </w:r>
      <w:r>
        <w:rPr>
          <w:rFonts w:hint="default" w:ascii="仿宋" w:hAnsi="仿宋" w:eastAsia="仿宋" w:cs="仿宋"/>
          <w:caps w:val="0"/>
          <w:color w:val="000000" w:themeColor="text1"/>
          <w:spacing w:val="0"/>
          <w:sz w:val="32"/>
          <w:szCs w:val="32"/>
          <w:highlight w:val="none"/>
          <w:shd w:val="clear"/>
          <w:lang w:val="en-US" w:eastAsia="zh-CN"/>
          <w14:textFill>
            <w14:solidFill>
              <w14:schemeClr w14:val="tx1"/>
            </w14:solidFill>
          </w14:textFill>
        </w:rPr>
        <w:t>基于</w:t>
      </w:r>
      <w:r>
        <w:rPr>
          <w:rFonts w:hint="eastAsia" w:ascii="仿宋" w:hAnsi="仿宋" w:eastAsia="仿宋" w:cs="仿宋"/>
          <w:caps w:val="0"/>
          <w:color w:val="000000" w:themeColor="text1"/>
          <w:spacing w:val="0"/>
          <w:sz w:val="32"/>
          <w:szCs w:val="32"/>
          <w:highlight w:val="none"/>
          <w:shd w:val="clear"/>
          <w:lang w:val="en-US" w:eastAsia="zh-CN"/>
          <w14:textFill>
            <w14:solidFill>
              <w14:schemeClr w14:val="tx1"/>
            </w14:solidFill>
          </w14:textFill>
        </w:rPr>
        <w:t>往年</w:t>
      </w:r>
      <w:r>
        <w:rPr>
          <w:rFonts w:hint="default" w:ascii="仿宋" w:hAnsi="仿宋" w:eastAsia="仿宋" w:cs="仿宋"/>
          <w:caps w:val="0"/>
          <w:color w:val="000000" w:themeColor="text1"/>
          <w:spacing w:val="0"/>
          <w:sz w:val="32"/>
          <w:szCs w:val="32"/>
          <w:highlight w:val="none"/>
          <w:shd w:val="clear"/>
          <w:lang w:val="en-US" w:eastAsia="zh-CN"/>
          <w14:textFill>
            <w14:solidFill>
              <w14:schemeClr w14:val="tx1"/>
            </w14:solidFill>
          </w14:textFill>
        </w:rPr>
        <w:t>相关工作的延续性</w:t>
      </w:r>
      <w:r>
        <w:rPr>
          <w:rFonts w:hint="eastAsia" w:ascii="仿宋" w:hAnsi="仿宋" w:eastAsia="仿宋" w:cs="仿宋"/>
          <w:caps w:val="0"/>
          <w:color w:val="000000" w:themeColor="text1"/>
          <w:spacing w:val="0"/>
          <w:sz w:val="32"/>
          <w:szCs w:val="32"/>
          <w:highlight w:val="none"/>
          <w:shd w:val="clear"/>
          <w:lang w:val="en-US" w:eastAsia="zh-CN"/>
          <w14:textFill>
            <w14:solidFill>
              <w14:schemeClr w14:val="tx1"/>
            </w14:solidFill>
          </w14:textFill>
        </w:rPr>
        <w:t>，委托其开展本项目能够有效保证项目开展的连续性和相关政策的协调性。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aps w:val="0"/>
          <w:color w:val="000000" w:themeColor="text1"/>
          <w:spacing w:val="0"/>
          <w:sz w:val="32"/>
          <w:szCs w:val="32"/>
          <w:highlight w:val="none"/>
          <w:shd w:val="clear"/>
          <w:lang w:val="en-US" w:eastAsia="zh-CN"/>
          <w14:textFill>
            <w14:solidFill>
              <w14:schemeClr w14:val="tx1"/>
            </w14:solidFill>
          </w14:textFill>
        </w:rPr>
      </w:pPr>
      <w:r>
        <w:rPr>
          <w:rFonts w:hint="eastAsia" w:ascii="仿宋" w:hAnsi="仿宋" w:eastAsia="仿宋" w:cs="仿宋"/>
          <w:caps w:val="0"/>
          <w:color w:val="000000" w:themeColor="text1"/>
          <w:spacing w:val="0"/>
          <w:sz w:val="32"/>
          <w:szCs w:val="32"/>
          <w:highlight w:val="none"/>
          <w:shd w:val="clear"/>
          <w:lang w:val="en-US" w:eastAsia="zh-CN"/>
          <w14:textFill>
            <w14:solidFill>
              <w14:schemeClr w14:val="tx1"/>
            </w14:solidFill>
          </w14:textFill>
        </w:rPr>
        <w:t>根据《深圳经济特区政府采购条例》第二十八条规定，因作出有效投标的供应商不足三家而公开招标失败的，应当重新组织公开招标，或者经主管部门批准转为非公开招标方式采购，但是终止采购的除外。2024年6月13日，《深圳市10个区2025年度城市分批次建设项目用地报批方案符合性评估》项目按流程开展公开招标时作出有</w:t>
      </w:r>
      <w:bookmarkStart w:id="2" w:name="_GoBack"/>
      <w:bookmarkEnd w:id="2"/>
      <w:r>
        <w:rPr>
          <w:rFonts w:hint="eastAsia" w:ascii="仿宋" w:hAnsi="仿宋" w:eastAsia="仿宋" w:cs="仿宋"/>
          <w:caps w:val="0"/>
          <w:color w:val="000000" w:themeColor="text1"/>
          <w:spacing w:val="0"/>
          <w:sz w:val="32"/>
          <w:szCs w:val="32"/>
          <w:highlight w:val="none"/>
          <w:shd w:val="clear"/>
          <w:lang w:val="en-US" w:eastAsia="zh-CN"/>
          <w14:textFill>
            <w14:solidFill>
              <w14:schemeClr w14:val="tx1"/>
            </w14:solidFill>
          </w14:textFill>
        </w:rPr>
        <w:t>效投标的供应商不足三家，经主管部门批准，本项目转为单一来源方式采购。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aps w:val="0"/>
          <w:color w:val="000000" w:themeColor="text1"/>
          <w:spacing w:val="0"/>
          <w:sz w:val="32"/>
          <w:szCs w:val="32"/>
          <w:highlight w:val="none"/>
          <w:shd w:val="clear"/>
          <w14:textFill>
            <w14:solidFill>
              <w14:schemeClr w14:val="tx1"/>
            </w14:solidFill>
          </w14:textFill>
        </w:rPr>
        <w:t>二、拟定供应商信息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caps w:val="0"/>
          <w:color w:val="auto"/>
          <w:spacing w:val="0"/>
          <w:sz w:val="32"/>
          <w:szCs w:val="32"/>
          <w:highlight w:val="none"/>
          <w:shd w:val="clear"/>
        </w:rPr>
        <w:t>名称：</w:t>
      </w:r>
      <w:r>
        <w:rPr>
          <w:rFonts w:hint="eastAsia" w:ascii="仿宋" w:hAnsi="仿宋" w:eastAsia="仿宋" w:cs="仿宋"/>
          <w:caps w:val="0"/>
          <w:color w:val="auto"/>
          <w:spacing w:val="0"/>
          <w:sz w:val="32"/>
          <w:szCs w:val="32"/>
          <w:highlight w:val="none"/>
          <w:shd w:val="clear"/>
          <w:lang w:val="en-US" w:eastAsia="zh-CN"/>
        </w:rPr>
        <w:t>深圳市规划国土发展研究中心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aps w:val="0"/>
          <w:color w:val="auto"/>
          <w:spacing w:val="0"/>
          <w:sz w:val="32"/>
          <w:szCs w:val="32"/>
          <w:highlight w:val="none"/>
          <w:shd w:val="clear"/>
        </w:rPr>
      </w:pPr>
      <w:r>
        <w:rPr>
          <w:rFonts w:hint="eastAsia" w:ascii="仿宋" w:hAnsi="仿宋" w:eastAsia="仿宋" w:cs="仿宋"/>
          <w:caps w:val="0"/>
          <w:color w:val="auto"/>
          <w:spacing w:val="0"/>
          <w:sz w:val="32"/>
          <w:szCs w:val="32"/>
          <w:highlight w:val="none"/>
          <w:shd w:val="clear"/>
        </w:rPr>
        <w:t>地址：深圳市福田区红荔西路8009号规划大厦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aps w:val="0"/>
          <w:color w:val="000000" w:themeColor="text1"/>
          <w:spacing w:val="0"/>
          <w:sz w:val="32"/>
          <w:szCs w:val="32"/>
          <w:highlight w:val="none"/>
          <w:shd w:val="clear"/>
          <w14:textFill>
            <w14:solidFill>
              <w14:schemeClr w14:val="tx1"/>
            </w14:solidFill>
          </w14:textFill>
        </w:rPr>
        <w:t>三、公示期限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aps w:val="0"/>
          <w:color w:val="auto"/>
          <w:spacing w:val="0"/>
          <w:sz w:val="32"/>
          <w:szCs w:val="32"/>
          <w:highlight w:val="none"/>
          <w:shd w:val="clear"/>
          <w:lang w:val="en-US" w:eastAsia="zh-CN"/>
        </w:rPr>
      </w:pPr>
      <w:r>
        <w:rPr>
          <w:rFonts w:hint="eastAsia" w:ascii="仿宋" w:hAnsi="仿宋" w:eastAsia="仿宋" w:cs="仿宋"/>
          <w:caps w:val="0"/>
          <w:color w:val="auto"/>
          <w:spacing w:val="0"/>
          <w:sz w:val="32"/>
          <w:szCs w:val="32"/>
          <w:highlight w:val="none"/>
          <w:shd w:val="clear"/>
          <w:lang w:val="en-US" w:eastAsia="zh-CN"/>
        </w:rPr>
        <w:t>从2025年6月 日起至2025年6月 日止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aps w:val="0"/>
          <w:color w:val="000000" w:themeColor="text1"/>
          <w:spacing w:val="0"/>
          <w:sz w:val="32"/>
          <w:szCs w:val="32"/>
          <w:highlight w:val="none"/>
          <w:shd w:val="clear"/>
          <w14:textFill>
            <w14:solidFill>
              <w14:schemeClr w14:val="tx1"/>
            </w14:solidFill>
          </w14:textFill>
        </w:rPr>
        <w:t>四、其他补充事宜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aps w:val="0"/>
          <w:color w:val="000000" w:themeColor="text1"/>
          <w:spacing w:val="0"/>
          <w:sz w:val="32"/>
          <w:szCs w:val="32"/>
          <w:highlight w:val="none"/>
          <w:shd w:val="clear"/>
          <w14:textFill>
            <w14:solidFill>
              <w14:schemeClr w14:val="tx1"/>
            </w14:solidFill>
          </w14:textFill>
        </w:rPr>
        <w:t>项目信息由采购人提供，采购人对内容的真实性、准确性负责。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aps w:val="0"/>
          <w:color w:val="000000" w:themeColor="text1"/>
          <w:spacing w:val="0"/>
          <w:sz w:val="32"/>
          <w:szCs w:val="32"/>
          <w:highlight w:val="none"/>
          <w:shd w:val="clear"/>
          <w14:textFill>
            <w14:solidFill>
              <w14:schemeClr w14:val="tx1"/>
            </w14:solidFill>
          </w14:textFill>
        </w:rPr>
        <w:t>五、联系方式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ascii="仿宋" w:hAnsi="仿宋" w:eastAsia="仿宋" w:cs="仿宋"/>
          <w:caps w:val="0"/>
          <w:color w:val="000000" w:themeColor="text1"/>
          <w:spacing w:val="0"/>
          <w:sz w:val="32"/>
          <w:szCs w:val="32"/>
          <w:highlight w:val="none"/>
          <w:shd w:val="clear"/>
          <w14:textFill>
            <w14:solidFill>
              <w14:schemeClr w14:val="tx1"/>
            </w14:solidFill>
          </w14:textFill>
        </w:rPr>
        <w:t>1.采购人</w:t>
      </w:r>
      <w:r>
        <w:rPr>
          <w:rFonts w:hint="eastAsia" w:ascii="仿宋" w:hAnsi="仿宋" w:eastAsia="仿宋" w:cs="仿宋"/>
          <w:caps w:val="0"/>
          <w:color w:val="000000" w:themeColor="text1"/>
          <w:spacing w:val="0"/>
          <w:sz w:val="32"/>
          <w:szCs w:val="32"/>
          <w:highlight w:val="none"/>
          <w:shd w:val="clear"/>
          <w:lang w:eastAsia="zh-CN"/>
          <w14:textFill>
            <w14:solidFill>
              <w14:schemeClr w14:val="tx1"/>
            </w14:solidFill>
          </w14:textFill>
        </w:rPr>
        <w:t>：深圳市规划和自然资源局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aps w:val="0"/>
          <w:color w:val="000000" w:themeColor="text1"/>
          <w:spacing w:val="0"/>
          <w:sz w:val="32"/>
          <w:szCs w:val="32"/>
          <w:highlight w:val="none"/>
          <w:shd w:val="clear"/>
          <w:lang w:val="en-US" w:eastAsia="zh-CN"/>
          <w14:textFill>
            <w14:solidFill>
              <w14:schemeClr w14:val="tx1"/>
            </w14:solidFill>
          </w14:textFill>
        </w:rPr>
      </w:pPr>
      <w:r>
        <w:rPr>
          <w:rFonts w:hint="eastAsia" w:ascii="仿宋" w:hAnsi="仿宋" w:eastAsia="仿宋" w:cs="仿宋"/>
          <w:caps w:val="0"/>
          <w:color w:val="000000" w:themeColor="text1"/>
          <w:spacing w:val="0"/>
          <w:sz w:val="32"/>
          <w:szCs w:val="32"/>
          <w:highlight w:val="none"/>
          <w:shd w:val="clear"/>
          <w14:textFill>
            <w14:solidFill>
              <w14:schemeClr w14:val="tx1"/>
            </w14:solidFill>
          </w14:textFill>
        </w:rPr>
        <w:t>联 系 人：</w:t>
      </w:r>
      <w:r>
        <w:rPr>
          <w:rFonts w:hint="eastAsia" w:ascii="仿宋" w:hAnsi="仿宋" w:eastAsia="仿宋" w:cs="仿宋"/>
          <w:color w:val="000000" w:themeColor="text1"/>
          <w:sz w:val="32"/>
          <w:szCs w:val="32"/>
          <w:highlight w:val="none"/>
          <w14:textFill>
            <w14:solidFill>
              <w14:schemeClr w14:val="tx1"/>
            </w14:solidFill>
          </w14:textFill>
        </w:rPr>
        <w:t>谭工</w:t>
      </w:r>
      <w:r>
        <w:rPr>
          <w:rFonts w:hint="eastAsia" w:ascii="仿宋" w:hAnsi="仿宋" w:eastAsia="仿宋" w:cs="仿宋"/>
          <w:caps w:val="0"/>
          <w:color w:val="000000" w:themeColor="text1"/>
          <w:spacing w:val="0"/>
          <w:sz w:val="32"/>
          <w:szCs w:val="32"/>
          <w:highlight w:val="none"/>
          <w:shd w:val="clear"/>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aps w:val="0"/>
          <w:color w:val="000000" w:themeColor="text1"/>
          <w:spacing w:val="0"/>
          <w:sz w:val="32"/>
          <w:szCs w:val="32"/>
          <w:highlight w:val="none"/>
          <w:shd w:val="clear"/>
          <w:lang w:val="en-US" w:eastAsia="zh-CN"/>
          <w14:textFill>
            <w14:solidFill>
              <w14:schemeClr w14:val="tx1"/>
            </w14:solidFill>
          </w14:textFill>
        </w:rPr>
      </w:pPr>
      <w:r>
        <w:rPr>
          <w:rFonts w:hint="eastAsia" w:ascii="仿宋" w:hAnsi="仿宋" w:eastAsia="仿宋" w:cs="仿宋"/>
          <w:caps w:val="0"/>
          <w:color w:val="000000" w:themeColor="text1"/>
          <w:spacing w:val="0"/>
          <w:sz w:val="32"/>
          <w:szCs w:val="32"/>
          <w:highlight w:val="none"/>
          <w:shd w:val="clear"/>
          <w14:textFill>
            <w14:solidFill>
              <w14:schemeClr w14:val="tx1"/>
            </w14:solidFill>
          </w14:textFill>
        </w:rPr>
        <w:t>联系地址：</w:t>
      </w:r>
      <w:r>
        <w:rPr>
          <w:rFonts w:hint="eastAsia" w:ascii="仿宋" w:hAnsi="仿宋" w:eastAsia="仿宋" w:cs="仿宋"/>
          <w:color w:val="000000" w:themeColor="text1"/>
          <w:sz w:val="32"/>
          <w:szCs w:val="32"/>
          <w:highlight w:val="none"/>
          <w14:textFill>
            <w14:solidFill>
              <w14:schemeClr w14:val="tx1"/>
            </w14:solidFill>
          </w14:textFill>
        </w:rPr>
        <w:t>深圳市红荔西路8009号规划大厦</w:t>
      </w:r>
      <w:r>
        <w:rPr>
          <w:rFonts w:hint="eastAsia" w:ascii="仿宋" w:hAnsi="仿宋" w:eastAsia="仿宋" w:cs="仿宋"/>
          <w:caps w:val="0"/>
          <w:color w:val="000000" w:themeColor="text1"/>
          <w:spacing w:val="0"/>
          <w:sz w:val="32"/>
          <w:szCs w:val="32"/>
          <w:highlight w:val="none"/>
          <w:shd w:val="clear"/>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aps w:val="0"/>
          <w:color w:val="000000" w:themeColor="text1"/>
          <w:spacing w:val="0"/>
          <w:sz w:val="32"/>
          <w:szCs w:val="32"/>
          <w:highlight w:val="none"/>
          <w:shd w:val="clear"/>
          <w14:textFill>
            <w14:solidFill>
              <w14:schemeClr w14:val="tx1"/>
            </w14:solidFill>
          </w14:textFill>
        </w:rPr>
        <w:t>联系电话：</w:t>
      </w:r>
      <w:r>
        <w:rPr>
          <w:rFonts w:hint="eastAsia" w:ascii="仿宋" w:hAnsi="仿宋" w:eastAsia="仿宋" w:cs="仿宋"/>
          <w:color w:val="000000" w:themeColor="text1"/>
          <w:sz w:val="32"/>
          <w:szCs w:val="32"/>
          <w:highlight w:val="none"/>
          <w14:textFill>
            <w14:solidFill>
              <w14:schemeClr w14:val="tx1"/>
            </w14:solidFill>
          </w14:textFill>
        </w:rPr>
        <w:t>0755-83949591</w:t>
      </w:r>
    </w:p>
    <w:p>
      <w:pPr>
        <w:keepNext w:val="0"/>
        <w:keepLines w:val="0"/>
        <w:pageBreakBefore w:val="0"/>
        <w:widowControl w:val="0"/>
        <w:kinsoku/>
        <w:wordWrap/>
        <w:overflowPunct/>
        <w:topLinePunct w:val="0"/>
        <w:autoSpaceDE/>
        <w:autoSpaceDN/>
        <w:bidi w:val="0"/>
        <w:adjustRightInd/>
        <w:snapToGrid/>
        <w:spacing w:line="560" w:lineRule="exact"/>
        <w:textAlignment w:val="auto"/>
        <w:rPr>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仿宋_GBK">
    <w:altName w:val="微软雅黑"/>
    <w:panose1 w:val="02000000000000000000"/>
    <w:charset w:val="86"/>
    <w:family w:val="auto"/>
    <w:pitch w:val="default"/>
    <w:sig w:usb0="00000000" w:usb1="00000000" w:usb2="00000000" w:usb3="00000000" w:csb0="00040000" w:csb1="0000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E152E54"/>
    <w:rsid w:val="53DE7C1B"/>
    <w:rsid w:val="7A792F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note text"/>
    <w:basedOn w:val="1"/>
    <w:qFormat/>
    <w:uiPriority w:val="0"/>
    <w:pPr>
      <w:snapToGrid w:val="0"/>
      <w:jc w:val="left"/>
    </w:pPr>
    <w:rPr>
      <w:sz w:val="18"/>
    </w:r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2025-01-23T01:41:00Z</dcterms:created>
  <dc:creator>hongxh</dc:creator>
  <cp:lastModifiedBy>Administrator</cp:lastModifiedBy>
  <dcterms:modified xsi:type="dcterms:W3CDTF">2025-06-12T10:53:08Z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90B303DC7A964D79B5470DE2DA5051CF</vt:lpwstr>
  </property>
</Properties>
</file>