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依照《深圳经济特区政府采购条例》第二十、二十一条规定，</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/深圳市海洋发展局</w:t>
            </w:r>
            <w:r>
              <w:rPr>
                <w:rFonts w:hint="eastAsia" w:ascii="宋体" w:hAnsi="宋体" w:eastAsia="宋体" w:cs="宋体"/>
                <w:color w:val="000000" w:themeColor="text1"/>
                <w:kern w:val="0"/>
                <w:sz w:val="20"/>
                <w:szCs w:val="20"/>
                <w:highlight w:val="none"/>
                <w14:textFill>
                  <w14:solidFill>
                    <w14:schemeClr w14:val="tx1"/>
                  </w14:solidFill>
                </w14:textFill>
              </w:rPr>
              <w:t>就</w:t>
            </w:r>
            <w:r>
              <w:rPr>
                <w:rFonts w:hint="eastAsia" w:ascii="宋体" w:hAnsi="宋体" w:eastAsia="宋体" w:cs="宋体"/>
                <w:b/>
                <w:bCs/>
                <w:color w:val="000000" w:themeColor="text1"/>
                <w:sz w:val="20"/>
                <w:szCs w:val="20"/>
                <w:highlight w:val="none"/>
                <w14:textFill>
                  <w14:solidFill>
                    <w14:schemeClr w14:val="tx1"/>
                  </w14:solidFill>
                </w14:textFill>
              </w:rPr>
              <w:t>《2025年度深圳市土地的市场价格评估及应用》</w:t>
            </w:r>
            <w:r>
              <w:rPr>
                <w:rFonts w:hint="eastAsia" w:ascii="宋体" w:hAnsi="宋体" w:eastAsia="宋体" w:cs="宋体"/>
                <w:color w:val="000000" w:themeColor="text1"/>
                <w:sz w:val="20"/>
                <w:szCs w:val="20"/>
                <w:highlight w:val="none"/>
                <w14:textFill>
                  <w14:solidFill>
                    <w14:schemeClr w14:val="tx1"/>
                  </w14:solidFill>
                </w14:textFill>
              </w:rPr>
              <w:t>项目采用</w:t>
            </w:r>
            <w:r>
              <w:rPr>
                <w:rFonts w:hint="eastAsia" w:ascii="宋体" w:hAnsi="宋体" w:eastAsia="宋体" w:cs="宋体"/>
                <w:b/>
                <w:bCs/>
                <w:color w:val="000000" w:themeColor="text1"/>
                <w:sz w:val="20"/>
                <w:szCs w:val="20"/>
                <w:highlight w:val="none"/>
                <w14:textFill>
                  <w14:solidFill>
                    <w14:schemeClr w14:val="tx1"/>
                  </w14:solidFill>
                </w14:textFill>
              </w:rPr>
              <w:t>单一来源</w:t>
            </w:r>
            <w:r>
              <w:rPr>
                <w:rFonts w:hint="eastAsia" w:ascii="宋体" w:hAnsi="宋体" w:eastAsia="宋体" w:cs="宋体"/>
                <w:color w:val="000000" w:themeColor="text1"/>
                <w:sz w:val="20"/>
                <w:szCs w:val="20"/>
                <w:highlight w:val="none"/>
                <w14:textFill>
                  <w14:solidFill>
                    <w14:schemeClr w14:val="tx1"/>
                  </w14:solidFill>
                </w14:textFill>
              </w:rPr>
              <w:t>方式采购，现将有关情况向潜在政府采购供应商征求意见</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采购项目名称：2025年度深圳市土地的市场价格评估及应用</w:t>
            </w:r>
          </w:p>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项目预算金额：1200万元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采购项目描述：</w:t>
            </w:r>
            <w:r>
              <w:rPr>
                <w:rFonts w:hint="eastAsia" w:ascii="宋体" w:hAnsi="宋体" w:eastAsia="宋体" w:cs="宋体"/>
                <w:bCs/>
                <w:color w:val="000000" w:themeColor="text1"/>
                <w:sz w:val="20"/>
                <w:szCs w:val="20"/>
                <w:highlight w:val="none"/>
                <w:lang w:eastAsia="zh-CN"/>
                <w14:textFill>
                  <w14:solidFill>
                    <w14:schemeClr w14:val="tx1"/>
                  </w14:solidFill>
                </w14:textFill>
              </w:rPr>
              <w:t>（</w:t>
            </w:r>
            <w:r>
              <w:rPr>
                <w:rFonts w:hint="eastAsia" w:ascii="宋体" w:hAnsi="宋体" w:eastAsia="宋体" w:cs="宋体"/>
                <w:bCs/>
                <w:color w:val="000000" w:themeColor="text1"/>
                <w:sz w:val="20"/>
                <w:szCs w:val="20"/>
                <w:highlight w:val="none"/>
                <w14:textFill>
                  <w14:solidFill>
                    <w14:schemeClr w14:val="tx1"/>
                  </w14:solidFill>
                </w14:textFill>
              </w:rPr>
              <w:t>内容、用途、数量、简要技术需求等</w:t>
            </w:r>
            <w:r>
              <w:rPr>
                <w:rFonts w:hint="eastAsia" w:ascii="宋体" w:hAnsi="宋体" w:eastAsia="宋体" w:cs="宋体"/>
                <w:bCs/>
                <w:color w:val="000000" w:themeColor="text1"/>
                <w:sz w:val="20"/>
                <w:szCs w:val="20"/>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62" w:beforeLines="20" w:line="312"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项目内容：深圳市标定地价评估；深圳市剩余法整体估价；深圳市土地的市场价格评估；深圳市城市地价动态监测的评估，深圳市（前海、深汕合作区除外）新出让用地出让底价的评估与备案，深圳市土地的市场价格应用和其他研究。</w:t>
            </w:r>
          </w:p>
          <w:p>
            <w:pPr>
              <w:keepNext w:val="0"/>
              <w:keepLines w:val="0"/>
              <w:pageBreakBefore w:val="0"/>
              <w:widowControl w:val="0"/>
              <w:kinsoku/>
              <w:wordWrap/>
              <w:overflowPunct/>
              <w:topLinePunct w:val="0"/>
              <w:autoSpaceDE/>
              <w:autoSpaceDN/>
              <w:bidi w:val="0"/>
              <w:adjustRightInd/>
              <w:snapToGrid w:val="0"/>
              <w:spacing w:before="62" w:beforeLines="20" w:line="312"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2、项目用途：基于202</w:t>
            </w:r>
            <w:r>
              <w:rPr>
                <w:rFonts w:hint="eastAsia" w:ascii="宋体" w:hAnsi="宋体" w:eastAsia="宋体" w:cs="宋体"/>
                <w:color w:val="000000" w:themeColor="text1"/>
                <w:sz w:val="20"/>
                <w:szCs w:val="20"/>
                <w:highlight w:val="none"/>
                <w:lang w:val="en-US" w:eastAsia="zh-CN"/>
                <w14:textFill>
                  <w14:solidFill>
                    <w14:schemeClr w14:val="tx1"/>
                  </w14:solidFill>
                </w14:textFill>
              </w:rPr>
              <w:t>6</w:t>
            </w:r>
            <w:r>
              <w:rPr>
                <w:rFonts w:hint="eastAsia" w:ascii="宋体" w:hAnsi="宋体" w:eastAsia="宋体" w:cs="宋体"/>
                <w:color w:val="000000" w:themeColor="text1"/>
                <w:sz w:val="20"/>
                <w:szCs w:val="20"/>
                <w:highlight w:val="none"/>
                <w14:textFill>
                  <w14:solidFill>
                    <w14:schemeClr w14:val="tx1"/>
                  </w14:solidFill>
                </w14:textFill>
              </w:rPr>
              <w:t xml:space="preserve">年1月1日的估价时点，在评估标定地价和剩余法整体估价的基础上科学评估出合同年度深圳市住宅、商业、办公、工业、新型产业、酒店、公共管理与服务设施、公用设施等用途土地的市场价格，开展城市地价动态监测和深圳市（前海、深汕合作区除外）新出让居住用地底价的评估与备案工作，并同步进行地价测算规则的政策修订与完善、土地的市场价格测算平台数据更新等各项工作，加强对土地的市场价格的应用服务支撑。 </w:t>
            </w:r>
          </w:p>
          <w:p>
            <w:pPr>
              <w:keepNext w:val="0"/>
              <w:keepLines w:val="0"/>
              <w:pageBreakBefore w:val="0"/>
              <w:widowControl w:val="0"/>
              <w:kinsoku/>
              <w:wordWrap/>
              <w:overflowPunct/>
              <w:topLinePunct w:val="0"/>
              <w:autoSpaceDE/>
              <w:autoSpaceDN/>
              <w:bidi w:val="0"/>
              <w:adjustRightInd/>
              <w:snapToGrid w:val="0"/>
              <w:spacing w:before="62" w:beforeLines="20" w:line="312"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3、项目成果、数量：深圳市标定地价成果1套；深圳市剩余法整体估价成果1套；深圳市土地的市场价格成果1套； 深圳市城市地价动态监测的评估成果1套；深圳市（前海、深汕合作区除外）新出让居住用地底价的评估与备案成果1套；深圳市土地的市场价格应用和其他研究成果1套。</w:t>
            </w:r>
          </w:p>
          <w:p>
            <w:pPr>
              <w:keepNext w:val="0"/>
              <w:keepLines w:val="0"/>
              <w:pageBreakBefore w:val="0"/>
              <w:widowControl w:val="0"/>
              <w:kinsoku/>
              <w:wordWrap/>
              <w:overflowPunct/>
              <w:topLinePunct w:val="0"/>
              <w:autoSpaceDE/>
              <w:autoSpaceDN/>
              <w:bidi w:val="0"/>
              <w:adjustRightInd/>
              <w:snapToGrid w:val="0"/>
              <w:spacing w:before="62" w:beforeLines="20" w:line="312"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4、简要技术需求：《中华人民共和国城市房地产管理法》、《广东省地价管理规定》、《城镇土地分等定级规程》（GB/T 18507-2014）、《城镇土地估价规程》（GB/T 18508-2014）、《标定地价规程》（TD/T 1052-2017）等。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拟定供应商名单：</w:t>
            </w:r>
          </w:p>
          <w:p>
            <w:pPr>
              <w:keepNext w:val="0"/>
              <w:keepLines w:val="0"/>
              <w:pageBreakBefore w:val="0"/>
              <w:widowControl w:val="0"/>
              <w:kinsoku/>
              <w:wordWrap/>
              <w:overflowPunct/>
              <w:topLinePunct w:val="0"/>
              <w:autoSpaceDE/>
              <w:autoSpaceDN/>
              <w:bidi w:val="0"/>
              <w:adjustRightInd/>
              <w:snapToGrid w:val="0"/>
              <w:spacing w:before="62" w:beforeLines="20" w:line="312"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深圳市自然资源和不动产评估发展研究中心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申请理由及相关说明：</w:t>
            </w:r>
          </w:p>
          <w:p>
            <w:pPr>
              <w:keepNext w:val="0"/>
              <w:keepLines w:val="0"/>
              <w:pageBreakBefore w:val="0"/>
              <w:widowControl w:val="0"/>
              <w:kinsoku/>
              <w:wordWrap/>
              <w:overflowPunct/>
              <w:topLinePunct w:val="0"/>
              <w:autoSpaceDE/>
              <w:autoSpaceDN/>
              <w:bidi w:val="0"/>
              <w:adjustRightInd/>
              <w:snapToGrid w:val="0"/>
              <w:spacing w:line="312" w:lineRule="auto"/>
              <w:ind w:firstLine="402" w:firstLineChars="200"/>
              <w:textAlignment w:val="auto"/>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b/>
                <w:bCs/>
                <w:color w:val="000000" w:themeColor="text1"/>
                <w:sz w:val="20"/>
                <w:szCs w:val="20"/>
                <w:highlight w:val="none"/>
                <w:lang w:val="en"/>
                <w14:textFill>
                  <w14:solidFill>
                    <w14:schemeClr w14:val="tx1"/>
                  </w14:solidFill>
                </w14:textFill>
              </w:rPr>
              <w:t>该项目符合《深圳经济特区政府采购条例》第二十一条第（四）款情形，“其他具有复杂性、专门性、特殊性的项目，且只有唯一供应商的”。</w:t>
            </w:r>
            <w:r>
              <w:rPr>
                <w:rFonts w:hint="eastAsia" w:ascii="宋体" w:hAnsi="宋体" w:eastAsia="宋体" w:cs="宋体"/>
                <w:color w:val="000000" w:themeColor="text1"/>
                <w:sz w:val="20"/>
                <w:szCs w:val="20"/>
                <w:highlight w:val="none"/>
                <w:lang w:val="en"/>
                <w14:textFill>
                  <w14:solidFill>
                    <w14:schemeClr w14:val="tx1"/>
                  </w14:solidFill>
                </w14:textFill>
              </w:rPr>
              <w:t>目前，我局已实行《深圳市地价测算规则》，规则将土地出让、城市更新、土地整备等各类地价政策统一到新的土地市场价格体系内，且规定我市土地的市场价格由市自然资源行政主管部门组织市非盈利性评估机构评估确定。土地的市场价格建立在标定地价和剩余法整体估价的评估成果基础上，评估过程复杂、专业性强，需要大量的基础数据支撑，同时，地价既要体现政府的管理需求和导向，又要与政策紧密联系，地价形成的过程及成果，地价政策的评估敏感且具有特殊性、保密性。并且，非盈利性机构指组织的经营、运作目的不是获取利润的组织，深圳市自然资源和不动产评估发展研究中心归属我局事业单位，不承接市场业务，符合非盈利性机构定义，是非盈利性评估机构。根据我市法定机构的性质和市编办赋予的职能，深圳市自然资源和不动产评估发展研究中心是我市唯一能够开展该类业务的非盈利性评估机构，各区政府均无同类非盈利性评估机构，是能够实施该项目的唯一供应商。因此该项目适用单一来源方式采购。</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ind w:firstLine="402" w:firstLineChars="200"/>
              <w:textAlignment w:val="auto"/>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b/>
                <w:bCs/>
                <w:color w:val="000000" w:themeColor="text1"/>
                <w:sz w:val="20"/>
                <w:szCs w:val="20"/>
                <w:highlight w:val="none"/>
                <w:lang w:val="en"/>
                <w14:textFill>
                  <w14:solidFill>
                    <w14:schemeClr w14:val="tx1"/>
                  </w14:solidFill>
                </w14:textFill>
              </w:rPr>
              <w:t>该项目符合《深圳经济特区政府采购条例》第二十一条第（三）款情形，“为保证与原有政府采购项目的一致性或者服务配套的要求，需要向原供应商添购”。</w:t>
            </w:r>
            <w:r>
              <w:rPr>
                <w:rFonts w:hint="eastAsia" w:ascii="宋体" w:hAnsi="宋体" w:eastAsia="宋体" w:cs="宋体"/>
                <w:color w:val="000000" w:themeColor="text1"/>
                <w:sz w:val="20"/>
                <w:szCs w:val="20"/>
                <w:highlight w:val="none"/>
                <w:lang w:val="en"/>
                <w14:textFill>
                  <w14:solidFill>
                    <w14:schemeClr w14:val="tx1"/>
                  </w14:solidFill>
                </w14:textFill>
              </w:rPr>
              <w:t>我局一直以来都是直接委托深圳市自然资源和不动产评估发展研究中心开展全市基准地价更新评估、标定地价评估、地价动态监测、出让底价评估、补地价评估、土地置换评估等工作，充分保障了我市国土基金收入的完成量和完成进度，为全市经济社会持续健康发展提供了有力支撑。近五年来，我局每年都组织深圳市自然资源和不动产评估发展研究中心开展标定地价、剩余法整体估价等前期研究工作，在土地的市场价格评估及应用服务支撑方面进行了积极探索和积累，已在全国取得领先地位。并且，深圳市自然资源和不动产评估发展研究中心承担了《2019年度深圳市土地的市场价格评估及应用技术服务支撑》、《2020年度深圳市土地的市场价格评估及应用技术服务支撑》、《2021年度深圳市土地的市场价格评估及应用技术服务支撑》、《2022年度深圳市土地的市场价格评估及应用技术服务支撑》、《2024年度深圳市土地的市场价格评估及应用》项目，并都采用单一来源方式采购。为保证土地的市场价格评估及应用工作的“一致性”要求，建议采用原供应商。</w:t>
            </w:r>
          </w:p>
          <w:p>
            <w:pPr>
              <w:keepNext w:val="0"/>
              <w:keepLines w:val="0"/>
              <w:pageBreakBefore w:val="0"/>
              <w:widowControl w:val="0"/>
              <w:kinsoku/>
              <w:wordWrap/>
              <w:overflowPunct/>
              <w:topLinePunct w:val="0"/>
              <w:autoSpaceDE/>
              <w:autoSpaceDN/>
              <w:bidi w:val="0"/>
              <w:adjustRightInd/>
              <w:snapToGrid w:val="0"/>
              <w:spacing w:line="312" w:lineRule="auto"/>
              <w:ind w:firstLine="400" w:firstLineChars="200"/>
              <w:textAlignment w:val="auto"/>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供应商资质、业绩情况。根据深编办〔2009〕81号、深编办〔2016〕10号、深编办〔2019〕58号等文件,深圳市自然资源和不动产评估发展研究中心承担了我市地价标准制定及地价评估等方面的多项职能，包括：负责政府各类土地招标拍卖挂牌出让底价、特殊用地价格的评估，以及收回、收购、置换中涉及土地房产及相关资产价格的评估等；负责国有建设用地使用权出让合同变更涉及的地价评估；负责全市公告基准地价的建立维护及数据更新；承担土地市场运行状况的动态监测、预警预报及调查评估等工作；承担土地资产资本评估职责等。</w:t>
            </w:r>
          </w:p>
          <w:p>
            <w:pPr>
              <w:keepNext w:val="0"/>
              <w:keepLines w:val="0"/>
              <w:pageBreakBefore w:val="0"/>
              <w:widowControl w:val="0"/>
              <w:kinsoku/>
              <w:wordWrap/>
              <w:overflowPunct/>
              <w:topLinePunct w:val="0"/>
              <w:autoSpaceDE/>
              <w:autoSpaceDN/>
              <w:bidi w:val="0"/>
              <w:adjustRightInd/>
              <w:snapToGrid w:val="0"/>
              <w:spacing w:line="312" w:lineRule="auto"/>
              <w:ind w:firstLine="400" w:firstLineChars="200"/>
              <w:textAlignment w:val="auto"/>
              <w:rPr>
                <w:rFonts w:hint="eastAsia" w:ascii="宋体" w:hAnsi="宋体" w:eastAsia="宋体" w:cs="宋体"/>
                <w:color w:val="000000" w:themeColor="text1"/>
                <w:sz w:val="20"/>
                <w:szCs w:val="20"/>
                <w:highlight w:val="none"/>
                <w:lang w:val="en"/>
                <w14:textFill>
                  <w14:solidFill>
                    <w14:schemeClr w14:val="tx1"/>
                  </w14:solidFill>
                </w14:textFill>
              </w:rPr>
            </w:pPr>
            <w:r>
              <w:rPr>
                <w:rFonts w:hint="eastAsia" w:ascii="宋体" w:hAnsi="宋体" w:eastAsia="宋体" w:cs="宋体"/>
                <w:color w:val="000000" w:themeColor="text1"/>
                <w:sz w:val="20"/>
                <w:szCs w:val="20"/>
                <w:highlight w:val="none"/>
                <w:lang w:val="en"/>
                <w14:textFill>
                  <w14:solidFill>
                    <w14:schemeClr w14:val="tx1"/>
                  </w14:solidFill>
                </w14:textFill>
              </w:rPr>
              <w:t>综合考虑到深圳市自然资源和不动产评估发展研究中心历年来承担我市不动产评估和标定地价体系的建立和维护工作，专业性强，专业基础扎实，人才队伍素质高，有利于工作的顺利开展，拟按单一来源采购的方式由深圳市自然资源和不动产评估发展研究中心承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bCs/>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征求意见期限：</w:t>
            </w:r>
          </w:p>
          <w:p>
            <w:pPr>
              <w:keepNext w:val="0"/>
              <w:keepLines w:val="0"/>
              <w:pageBreakBefore w:val="0"/>
              <w:widowControl w:val="0"/>
              <w:kinsoku/>
              <w:wordWrap/>
              <w:overflowPunct/>
              <w:topLinePunct w:val="0"/>
              <w:autoSpaceDE/>
              <w:autoSpaceDN/>
              <w:bidi w:val="0"/>
              <w:adjustRightInd/>
              <w:snapToGrid w:val="0"/>
              <w:spacing w:before="62" w:beforeLines="20" w:after="62" w:afterLines="20" w:line="312"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从20</w:t>
            </w:r>
            <w:r>
              <w:rPr>
                <w:rFonts w:hint="eastAsia" w:ascii="宋体" w:hAnsi="宋体" w:eastAsia="宋体" w:cs="宋体"/>
                <w:color w:val="000000" w:themeColor="text1"/>
                <w:sz w:val="20"/>
                <w:szCs w:val="20"/>
                <w:highlight w:val="none"/>
                <w:lang w:val="en-US" w:eastAsia="zh-CN"/>
                <w14:textFill>
                  <w14:solidFill>
                    <w14:schemeClr w14:val="tx1"/>
                  </w14:solidFill>
                </w14:textFill>
              </w:rPr>
              <w:t>25</w:t>
            </w:r>
            <w:r>
              <w:rPr>
                <w:rFonts w:hint="eastAsia" w:ascii="宋体" w:hAnsi="宋体" w:eastAsia="宋体" w:cs="宋体"/>
                <w:color w:val="000000" w:themeColor="text1"/>
                <w:sz w:val="20"/>
                <w:szCs w:val="20"/>
                <w:highlight w:val="none"/>
                <w14:textFill>
                  <w14:solidFill>
                    <w14:schemeClr w14:val="tx1"/>
                  </w14:solidFill>
                </w14:textFill>
              </w:rPr>
              <w:t>年  月  日起至20</w:t>
            </w:r>
            <w:r>
              <w:rPr>
                <w:rFonts w:hint="eastAsia" w:ascii="宋体" w:hAnsi="宋体" w:eastAsia="宋体" w:cs="宋体"/>
                <w:color w:val="000000" w:themeColor="text1"/>
                <w:sz w:val="20"/>
                <w:szCs w:val="20"/>
                <w:highlight w:val="none"/>
                <w:lang w:val="en-US" w:eastAsia="zh-CN"/>
                <w14:textFill>
                  <w14:solidFill>
                    <w14:schemeClr w14:val="tx1"/>
                  </w14:solidFill>
                </w14:textFill>
              </w:rPr>
              <w:t>25</w:t>
            </w:r>
            <w:r>
              <w:rPr>
                <w:rFonts w:hint="eastAsia" w:ascii="宋体" w:hAnsi="宋体" w:eastAsia="宋体" w:cs="宋体"/>
                <w:color w:val="000000" w:themeColor="text1"/>
                <w:sz w:val="20"/>
                <w:szCs w:val="20"/>
                <w:highlight w:val="none"/>
                <w14:textFill>
                  <w14:solidFill>
                    <w14:schemeClr w14:val="tx1"/>
                  </w14:solidFill>
                </w14:textFill>
              </w:rPr>
              <w:t>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12" w:lineRule="auto"/>
              <w:ind w:firstLine="400" w:firstLineChars="200"/>
              <w:jc w:val="left"/>
              <w:textAlignment w:val="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Cs/>
                <w:color w:val="000000" w:themeColor="text1"/>
                <w:kern w:val="0"/>
                <w:sz w:val="20"/>
                <w:szCs w:val="20"/>
                <w:highlight w:val="none"/>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12" w:lineRule="auto"/>
              <w:ind w:firstLine="400" w:firstLineChars="200"/>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采购人</w:t>
            </w:r>
            <w:r>
              <w:rPr>
                <w:rFonts w:hint="eastAsia" w:ascii="宋体" w:hAnsi="宋体" w:eastAsia="宋体" w:cs="宋体"/>
                <w:color w:val="000000" w:themeColor="text1"/>
                <w:kern w:val="0"/>
                <w:sz w:val="20"/>
                <w:szCs w:val="20"/>
                <w:highlight w:val="none"/>
                <w:lang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/深圳市海洋发展局</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12" w:lineRule="auto"/>
              <w:ind w:firstLine="400" w:firstLineChars="200"/>
              <w:jc w:val="left"/>
              <w:textAlignment w:val="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联系人：蔡</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工</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12" w:lineRule="auto"/>
              <w:ind w:firstLine="400" w:firstLineChars="200"/>
              <w:jc w:val="left"/>
              <w:textAlignment w:val="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地址：深圳市红荔西路8009号规划大厦</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312" w:lineRule="auto"/>
              <w:ind w:firstLine="400" w:firstLineChars="200"/>
              <w:jc w:val="left"/>
              <w:textAlignment w:val="auto"/>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联系电话：0755</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w:t>
            </w:r>
            <w:r>
              <w:rPr>
                <w:rFonts w:hint="eastAsia" w:ascii="宋体" w:hAnsi="宋体" w:eastAsia="宋体" w:cs="宋体"/>
                <w:color w:val="000000" w:themeColor="text1"/>
                <w:kern w:val="0"/>
                <w:sz w:val="20"/>
                <w:szCs w:val="20"/>
                <w:highlight w:val="none"/>
                <w14:textFill>
                  <w14:solidFill>
                    <w14:schemeClr w14:val="tx1"/>
                  </w14:solidFill>
                </w14:textFill>
              </w:rPr>
              <w:t>83949370             传真：0755-83949370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Cs/>
                <w:color w:val="000000" w:themeColor="text1"/>
                <w:sz w:val="20"/>
                <w:szCs w:val="20"/>
                <w:highlight w:val="none"/>
                <w14:textFill>
                  <w14:solidFill>
                    <w14:schemeClr w14:val="tx1"/>
                  </w14:solidFill>
                </w14:textFill>
              </w:rPr>
              <w:t>备注：</w:t>
            </w:r>
            <w:r>
              <w:rPr>
                <w:rFonts w:hint="eastAsia" w:ascii="宋体" w:hAnsi="宋体" w:eastAsia="宋体" w:cs="宋体"/>
                <w:color w:val="000000" w:themeColor="text1"/>
                <w:sz w:val="20"/>
                <w:szCs w:val="20"/>
                <w:highlight w:val="none"/>
                <w14:textFill>
                  <w14:solidFill>
                    <w14:schemeClr w14:val="tx1"/>
                  </w14:solidFill>
                </w14:textFill>
              </w:rPr>
              <w:t>潜在政府采购供应商对公示内容有异议的，请于</w:t>
            </w:r>
            <w:r>
              <w:rPr>
                <w:rFonts w:hint="eastAsia" w:ascii="宋体" w:hAnsi="宋体" w:eastAsia="宋体" w:cs="宋体"/>
                <w:bCs/>
                <w:color w:val="000000" w:themeColor="text1"/>
                <w:sz w:val="20"/>
                <w:szCs w:val="20"/>
                <w:highlight w:val="none"/>
                <w14:textFill>
                  <w14:solidFill>
                    <w14:schemeClr w14:val="tx1"/>
                  </w14:solidFill>
                </w14:textFill>
              </w:rPr>
              <w:t>公示之日起至期满后两个工作日内</w:t>
            </w:r>
            <w:r>
              <w:rPr>
                <w:rFonts w:hint="eastAsia" w:ascii="宋体" w:hAnsi="宋体" w:eastAsia="宋体" w:cs="宋体"/>
                <w:color w:val="000000" w:themeColor="text1"/>
                <w:sz w:val="20"/>
                <w:szCs w:val="20"/>
                <w:highlight w:val="none"/>
                <w14:textFill>
                  <w14:solidFill>
                    <w14:schemeClr w14:val="tx1"/>
                  </w14:solidFill>
                </w14:textFill>
              </w:rPr>
              <w:t>以实名书面（包括联系人、地址、联系电话）形式将意见反馈至</w:t>
            </w:r>
            <w:r>
              <w:rPr>
                <w:rFonts w:hint="eastAsia" w:ascii="宋体" w:hAnsi="宋体" w:eastAsia="宋体" w:cs="宋体"/>
                <w:color w:val="000000" w:themeColor="text1"/>
                <w:kern w:val="0"/>
                <w:sz w:val="20"/>
                <w:szCs w:val="20"/>
                <w:highlight w:val="none"/>
                <w14:textFill>
                  <w14:solidFill>
                    <w14:schemeClr w14:val="tx1"/>
                  </w14:solidFill>
                </w14:textFill>
              </w:rPr>
              <w:t>深圳市规划和自然资源局</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/深圳市海洋发展局</w:t>
            </w:r>
            <w:r>
              <w:rPr>
                <w:rFonts w:hint="eastAsia" w:ascii="宋体" w:hAnsi="宋体" w:eastAsia="宋体" w:cs="宋体"/>
                <w:color w:val="000000" w:themeColor="text1"/>
                <w:kern w:val="0"/>
                <w:sz w:val="20"/>
                <w:szCs w:val="20"/>
                <w:highlight w:val="none"/>
                <w14:textFill>
                  <w14:solidFill>
                    <w14:schemeClr w14:val="tx1"/>
                  </w14:solidFill>
                </w14:textFill>
              </w:rPr>
              <w:t>。</w:t>
            </w:r>
          </w:p>
        </w:tc>
      </w:tr>
    </w:tbl>
    <w:p>
      <w:pPr>
        <w:keepNext w:val="0"/>
        <w:keepLines w:val="0"/>
        <w:pageBreakBefore w:val="0"/>
        <w:widowControl w:val="0"/>
        <w:kinsoku/>
        <w:overflowPunct/>
        <w:topLinePunct w:val="0"/>
        <w:autoSpaceDE/>
        <w:autoSpaceDN/>
        <w:bidi w:val="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上述内容需包括：</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（一）采购人名称、项目名称、采购计划、项目规模及资金来源情况；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（二）项目技术需求和标准；</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（三）申请非公开招标的采购方式、理由及证明材料；</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（四）相关行业及潜在供应商情况；</w:t>
      </w:r>
    </w:p>
    <w:p>
      <w:pPr>
        <w:keepNext w:val="0"/>
        <w:keepLines w:val="0"/>
        <w:pageBreakBefore w:val="0"/>
        <w:widowControl w:val="0"/>
        <w:kinsoku/>
        <w:overflowPunct/>
        <w:topLinePunct w:val="0"/>
        <w:autoSpaceDE/>
        <w:autoSpaceDN/>
        <w:bidi w:val="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（五）参与非公开招标的供应商的产生方式和理由；</w:t>
      </w:r>
    </w:p>
    <w:p>
      <w:pPr>
        <w:keepNext w:val="0"/>
        <w:keepLines w:val="0"/>
        <w:pageBreakBefore w:val="0"/>
        <w:widowControl w:val="0"/>
        <w:kinsoku/>
        <w:overflowPunct/>
        <w:topLinePunct w:val="0"/>
        <w:autoSpaceDE/>
        <w:autoSpaceDN/>
        <w:bidi w:val="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altName w:val="宋体"/>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50C40"/>
    <w:rsid w:val="01250C40"/>
    <w:rsid w:val="02C63993"/>
    <w:rsid w:val="14AD3132"/>
    <w:rsid w:val="1C1F4178"/>
    <w:rsid w:val="276A5EB9"/>
    <w:rsid w:val="2DA67066"/>
    <w:rsid w:val="3A021FD1"/>
    <w:rsid w:val="3E133770"/>
    <w:rsid w:val="3E3A5BA6"/>
    <w:rsid w:val="412E1C82"/>
    <w:rsid w:val="455201F4"/>
    <w:rsid w:val="47BB5942"/>
    <w:rsid w:val="4B6F0EAE"/>
    <w:rsid w:val="4C93024D"/>
    <w:rsid w:val="522B4CDD"/>
    <w:rsid w:val="5DE45E93"/>
    <w:rsid w:val="6149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customStyle="1" w:styleId="5">
    <w:name w:val="二级标题"/>
    <w:basedOn w:val="1"/>
    <w:next w:val="1"/>
    <w:qFormat/>
    <w:uiPriority w:val="0"/>
    <w:pPr>
      <w:keepNext/>
      <w:keepLines/>
      <w:snapToGrid w:val="0"/>
      <w:spacing w:before="50" w:beforeLines="50" w:after="50" w:afterLines="50" w:line="312" w:lineRule="auto"/>
      <w:ind w:firstLine="516" w:firstLineChars="172"/>
      <w:outlineLvl w:val="1"/>
    </w:pPr>
    <w:rPr>
      <w:rFonts w:hint="eastAsia" w:ascii="方正宋黑简体" w:hAnsi="方正宋黑简体" w:eastAsia="方正宋黑简体" w:cs="Times New Roman"/>
      <w:bCs/>
      <w:sz w:val="30"/>
      <w:szCs w:val="30"/>
    </w:rPr>
  </w:style>
  <w:style w:type="paragraph" w:customStyle="1" w:styleId="6">
    <w:name w:val="正文1"/>
    <w:basedOn w:val="1"/>
    <w:qFormat/>
    <w:uiPriority w:val="0"/>
    <w:pPr>
      <w:spacing w:line="300" w:lineRule="auto"/>
      <w:ind w:firstLine="420"/>
    </w:pPr>
    <w:rPr>
      <w:rFonts w:hint="eastAsia" w:ascii="华文仿宋" w:hAnsi="华文仿宋" w:eastAsia="华文仿宋" w:cs="Times New Roman"/>
      <w:color w:val="000000"/>
      <w:sz w:val="24"/>
      <w:szCs w:val="24"/>
    </w:rPr>
  </w:style>
  <w:style w:type="paragraph" w:customStyle="1" w:styleId="7">
    <w:name w:val="标定正文"/>
    <w:basedOn w:val="1"/>
    <w:qFormat/>
    <w:uiPriority w:val="0"/>
    <w:pPr>
      <w:spacing w:line="300" w:lineRule="auto"/>
      <w:ind w:firstLine="480" w:firstLineChars="200"/>
    </w:pPr>
    <w:rPr>
      <w:rFonts w:hint="eastAsia" w:ascii="华文仿宋" w:hAnsi="华文仿宋" w:eastAsia="华文仿宋" w:cs="Times New Roman"/>
      <w:color w:val="000000"/>
      <w:sz w:val="24"/>
      <w:szCs w:val="24"/>
    </w:rPr>
  </w:style>
  <w:style w:type="paragraph" w:customStyle="1" w:styleId="8">
    <w:name w:val="标定三级标题"/>
    <w:basedOn w:val="1"/>
    <w:qFormat/>
    <w:uiPriority w:val="0"/>
    <w:pPr>
      <w:keepNext/>
      <w:keepLines/>
      <w:snapToGrid w:val="0"/>
      <w:spacing w:before="50" w:beforeLines="50" w:after="50" w:afterLines="50" w:line="300" w:lineRule="auto"/>
      <w:ind w:firstLine="529" w:firstLineChars="203"/>
      <w:outlineLvl w:val="2"/>
    </w:pPr>
    <w:rPr>
      <w:rFonts w:hint="eastAsia" w:cs="Times New Roman" w:asciiTheme="minorAscii" w:hAnsiTheme="minorAscii" w:eastAsiaTheme="minorEastAsia"/>
      <w:b/>
      <w:bCs/>
      <w:sz w:val="26"/>
      <w:szCs w:val="26"/>
    </w:rPr>
  </w:style>
  <w:style w:type="paragraph" w:customStyle="1" w:styleId="9">
    <w:name w:val="标定4级"/>
    <w:basedOn w:val="1"/>
    <w:qFormat/>
    <w:uiPriority w:val="0"/>
    <w:pPr>
      <w:ind w:left="420" w:firstLine="420"/>
    </w:pPr>
    <w:rPr>
      <w:rFonts w:hint="eastAsia" w:ascii="Calibri" w:hAnsi="Calibri" w:eastAsia="宋体" w:cs="Times New Roman"/>
      <w:b/>
      <w:color w:val="auto"/>
      <w:szCs w:val="22"/>
    </w:rPr>
  </w:style>
  <w:style w:type="paragraph" w:customStyle="1" w:styleId="10">
    <w:name w:val="标定四级标题"/>
    <w:basedOn w:val="1"/>
    <w:qFormat/>
    <w:uiPriority w:val="0"/>
    <w:pPr>
      <w:keepNext/>
      <w:keepLines/>
      <w:snapToGrid w:val="0"/>
      <w:spacing w:before="50" w:beforeLines="50" w:after="50" w:afterLines="50" w:line="300" w:lineRule="auto"/>
      <w:ind w:leftChars="200" w:firstLine="428" w:firstLineChars="203"/>
      <w:outlineLvl w:val="3"/>
    </w:pPr>
    <w:rPr>
      <w:rFonts w:hint="eastAsia" w:ascii="Calibri" w:hAnsi="Calibri" w:eastAsia="宋体" w:cs="Times New Roman"/>
      <w:b/>
      <w:szCs w:val="22"/>
    </w:rPr>
  </w:style>
  <w:style w:type="paragraph" w:customStyle="1" w:styleId="11">
    <w:name w:val="标定5级"/>
    <w:basedOn w:val="1"/>
    <w:next w:val="1"/>
    <w:qFormat/>
    <w:uiPriority w:val="0"/>
    <w:pPr>
      <w:keepNext/>
      <w:keepLines/>
      <w:snapToGrid w:val="0"/>
      <w:spacing w:beforeLines="0" w:afterLines="0" w:line="300" w:lineRule="auto"/>
      <w:ind w:firstLine="420"/>
      <w:outlineLvl w:val="4"/>
    </w:pPr>
    <w:rPr>
      <w:rFonts w:hint="eastAsia" w:ascii="仿宋" w:hAnsi="仿宋" w:eastAsia="仿宋" w:cs="仿宋"/>
      <w:b/>
      <w:sz w:val="24"/>
      <w:szCs w:val="24"/>
    </w:rPr>
  </w:style>
  <w:style w:type="paragraph" w:customStyle="1" w:styleId="12">
    <w:name w:val="一级"/>
    <w:basedOn w:val="1"/>
    <w:uiPriority w:val="0"/>
    <w:pPr>
      <w:jc w:val="center"/>
      <w:outlineLvl w:val="0"/>
    </w:pPr>
    <w:rPr>
      <w:rFonts w:hint="eastAsia" w:ascii="仿宋" w:hAnsi="仿宋" w:eastAsia="宋体" w:cs="仿宋"/>
      <w:b/>
      <w:color w:val="auto"/>
      <w:sz w:val="24"/>
      <w:szCs w:val="28"/>
    </w:rPr>
  </w:style>
  <w:style w:type="paragraph" w:customStyle="1" w:styleId="13">
    <w:name w:val="二级"/>
    <w:basedOn w:val="1"/>
    <w:qFormat/>
    <w:uiPriority w:val="0"/>
    <w:pPr>
      <w:tabs>
        <w:tab w:val="left" w:pos="562"/>
        <w:tab w:val="left" w:pos="3372"/>
        <w:tab w:val="left" w:pos="3653"/>
      </w:tabs>
      <w:spacing w:line="360" w:lineRule="auto"/>
    </w:pPr>
    <w:rPr>
      <w:rFonts w:hint="eastAsia" w:ascii="Calibri" w:hAnsi="Calibri" w:eastAsia="宋体" w:cs="Times New Roman"/>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2025-05-22T07:48:00Z</dcterms:created>
  <dc:creator>szpgzx</dc:creator>
  <cp:lastModifiedBy>szpgzx</cp:lastModifiedBy>
  <cp:lastPrinted>2025-06-10T11:02:00Z</cp:lastPrinted>
  <dcterms:modified xsi:type="dcterms:W3CDTF">2025-06-11T10:09:59Z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0B5CB8F0720E4F25812D7575AE2D3ADF</vt:lpwstr>
  </property>
</Properties>
</file>