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jc w:val="center"/>
        <w:rPr>
          <w:rFonts w:hint="eastAsia" w:ascii="黑体" w:hAnsi="黑体" w:eastAsia="黑体" w:cs="黑体"/>
          <w:b/>
          <w:color w:val="000000" w:themeColor="text1"/>
          <w:sz w:val="32"/>
          <w:szCs w:val="32"/>
          <w:highlight w:val="none"/>
          <w14:textFill>
            <w14:solidFill>
              <w14:schemeClr w14:val="tx1"/>
            </w14:solidFill>
          </w14:textFill>
        </w:rPr>
      </w:pPr>
      <w:r>
        <w:rPr>
          <w:rFonts w:hint="eastAsia" w:ascii="黑体" w:hAnsi="黑体" w:eastAsia="黑体" w:cs="黑体"/>
          <w:b/>
          <w:color w:val="000000" w:themeColor="text1"/>
          <w:sz w:val="44"/>
          <w:szCs w:val="44"/>
          <w:highlight w:val="none"/>
          <w14:textFill>
            <w14:solidFill>
              <w14:schemeClr w14:val="tx1"/>
            </w14:solidFill>
          </w14:textFill>
        </w:rPr>
        <w:t>服务类项目采购需求模板（</w:t>
      </w:r>
      <w:r>
        <w:rPr>
          <w:rFonts w:hint="eastAsia" w:ascii="黑体" w:hAnsi="黑体" w:eastAsia="黑体" w:cs="黑体"/>
          <w:b/>
          <w:color w:val="000000" w:themeColor="text1"/>
          <w:sz w:val="44"/>
          <w:szCs w:val="44"/>
          <w:highlight w:val="none"/>
          <w:lang w:val="en-US" w:eastAsia="zh-CN"/>
          <w14:textFill>
            <w14:solidFill>
              <w14:schemeClr w14:val="tx1"/>
            </w14:solidFill>
          </w14:textFill>
        </w:rPr>
        <w:t>通用</w:t>
      </w:r>
      <w:r>
        <w:rPr>
          <w:rFonts w:hint="eastAsia" w:ascii="黑体" w:hAnsi="黑体" w:eastAsia="黑体" w:cs="黑体"/>
          <w:b/>
          <w:color w:val="000000" w:themeColor="text1"/>
          <w:sz w:val="44"/>
          <w:szCs w:val="44"/>
          <w:highlight w:val="none"/>
          <w14:textFill>
            <w14:solidFill>
              <w14:schemeClr w14:val="tx1"/>
            </w14:solidFill>
          </w14:textFill>
        </w:rPr>
        <w:t>）</w:t>
      </w:r>
    </w:p>
    <w:tbl>
      <w:tblPr>
        <w:tblStyle w:val="10"/>
        <w:tblW w:w="89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850"/>
        <w:gridCol w:w="2930"/>
        <w:gridCol w:w="1366"/>
        <w:gridCol w:w="2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560" w:type="dxa"/>
            <w:noWrap w:val="0"/>
            <w:vAlign w:val="center"/>
          </w:tcPr>
          <w:p>
            <w:pPr>
              <w:keepNext w:val="0"/>
              <w:keepLines w:val="0"/>
              <w:pageBreakBefore w:val="0"/>
              <w:widowControl w:val="0"/>
              <w:kinsoku/>
              <w:overflowPunct/>
              <w:topLinePunct w:val="0"/>
              <w:autoSpaceDE/>
              <w:autoSpaceDN/>
              <w:bidi w:val="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项目名称</w:t>
            </w:r>
          </w:p>
        </w:tc>
        <w:tc>
          <w:tcPr>
            <w:tcW w:w="7407" w:type="dxa"/>
            <w:gridSpan w:val="4"/>
            <w:noWrap w:val="0"/>
            <w:vAlign w:val="center"/>
          </w:tcPr>
          <w:p>
            <w:pPr>
              <w:keepNext w:val="0"/>
              <w:keepLines w:val="0"/>
              <w:pageBreakBefore w:val="0"/>
              <w:widowControl w:val="0"/>
              <w:kinsoku/>
              <w:overflowPunct/>
              <w:topLinePunct w:val="0"/>
              <w:autoSpaceDE/>
              <w:autoSpaceDN/>
              <w:bidi w:val="0"/>
              <w:jc w:val="lef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Times New Roman"/>
                <w:color w:val="000000" w:themeColor="text1"/>
                <w:sz w:val="21"/>
                <w:szCs w:val="21"/>
                <w:highlight w:val="none"/>
                <w14:textFill>
                  <w14:solidFill>
                    <w14:schemeClr w14:val="tx1"/>
                  </w14:solidFill>
                </w14:textFill>
              </w:rPr>
              <w:t>202</w:t>
            </w: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5</w:t>
            </w:r>
            <w:r>
              <w:rPr>
                <w:rFonts w:hint="eastAsia" w:ascii="仿宋" w:hAnsi="仿宋" w:eastAsia="仿宋" w:cs="Times New Roman"/>
                <w:color w:val="000000" w:themeColor="text1"/>
                <w:sz w:val="21"/>
                <w:szCs w:val="21"/>
                <w:highlight w:val="none"/>
                <w14:textFill>
                  <w14:solidFill>
                    <w14:schemeClr w14:val="tx1"/>
                  </w14:solidFill>
                </w14:textFill>
              </w:rPr>
              <w:t>年度深圳市土地的市场价格评估及应用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560" w:type="dxa"/>
            <w:noWrap w:val="0"/>
            <w:vAlign w:val="center"/>
          </w:tcPr>
          <w:p>
            <w:pPr>
              <w:keepNext w:val="0"/>
              <w:keepLines w:val="0"/>
              <w:pageBreakBefore w:val="0"/>
              <w:widowControl w:val="0"/>
              <w:kinsoku/>
              <w:overflowPunct/>
              <w:topLinePunct w:val="0"/>
              <w:autoSpaceDE/>
              <w:autoSpaceDN/>
              <w:bidi w:val="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采购人名称</w:t>
            </w:r>
          </w:p>
        </w:tc>
        <w:tc>
          <w:tcPr>
            <w:tcW w:w="3780" w:type="dxa"/>
            <w:gridSpan w:val="2"/>
            <w:noWrap w:val="0"/>
            <w:vAlign w:val="center"/>
          </w:tcPr>
          <w:p>
            <w:pPr>
              <w:keepNext w:val="0"/>
              <w:keepLines w:val="0"/>
              <w:pageBreakBefore w:val="0"/>
              <w:widowControl w:val="0"/>
              <w:kinsoku/>
              <w:overflowPunct/>
              <w:topLinePunct w:val="0"/>
              <w:autoSpaceDE/>
              <w:autoSpaceDN/>
              <w:bidi w:val="0"/>
              <w:jc w:val="lef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Times New Roman"/>
                <w:color w:val="000000" w:themeColor="text1"/>
                <w:sz w:val="21"/>
                <w:szCs w:val="21"/>
                <w:highlight w:val="none"/>
                <w14:textFill>
                  <w14:solidFill>
                    <w14:schemeClr w14:val="tx1"/>
                  </w14:solidFill>
                </w14:textFill>
              </w:rPr>
              <w:t>深圳市规划和自然资源局</w:t>
            </w:r>
          </w:p>
        </w:tc>
        <w:tc>
          <w:tcPr>
            <w:tcW w:w="1366" w:type="dxa"/>
            <w:noWrap w:val="0"/>
            <w:vAlign w:val="center"/>
          </w:tcPr>
          <w:p>
            <w:pPr>
              <w:keepNext w:val="0"/>
              <w:keepLines w:val="0"/>
              <w:pageBreakBefore w:val="0"/>
              <w:widowControl w:val="0"/>
              <w:kinsoku/>
              <w:overflowPunct/>
              <w:topLinePunct w:val="0"/>
              <w:autoSpaceDE/>
              <w:autoSpaceDN/>
              <w:bidi w:val="0"/>
              <w:jc w:val="lef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采购方式</w:t>
            </w:r>
          </w:p>
        </w:tc>
        <w:tc>
          <w:tcPr>
            <w:tcW w:w="2261" w:type="dxa"/>
            <w:noWrap w:val="0"/>
            <w:vAlign w:val="center"/>
          </w:tcPr>
          <w:p>
            <w:pPr>
              <w:keepNext w:val="0"/>
              <w:keepLines w:val="0"/>
              <w:pageBreakBefore w:val="0"/>
              <w:widowControl w:val="0"/>
              <w:kinsoku/>
              <w:overflowPunct/>
              <w:topLinePunct w:val="0"/>
              <w:autoSpaceDE/>
              <w:autoSpaceDN/>
              <w:bidi w:val="0"/>
              <w:jc w:val="lef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Times New Roman"/>
                <w:color w:val="000000" w:themeColor="text1"/>
                <w:sz w:val="21"/>
                <w:szCs w:val="21"/>
                <w:highlight w:val="none"/>
                <w14:textFill>
                  <w14:solidFill>
                    <w14:schemeClr w14:val="tx1"/>
                  </w14:solidFill>
                </w14:textFill>
              </w:rPr>
              <w:t>单一来源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560" w:type="dxa"/>
            <w:noWrap w:val="0"/>
            <w:vAlign w:val="center"/>
          </w:tcPr>
          <w:p>
            <w:pPr>
              <w:keepNext w:val="0"/>
              <w:keepLines w:val="0"/>
              <w:pageBreakBefore w:val="0"/>
              <w:widowControl w:val="0"/>
              <w:kinsoku/>
              <w:overflowPunct/>
              <w:topLinePunct w:val="0"/>
              <w:autoSpaceDE/>
              <w:autoSpaceDN/>
              <w:bidi w:val="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计划立项批文号</w:t>
            </w:r>
          </w:p>
        </w:tc>
        <w:tc>
          <w:tcPr>
            <w:tcW w:w="3780" w:type="dxa"/>
            <w:gridSpan w:val="2"/>
            <w:noWrap w:val="0"/>
            <w:vAlign w:val="center"/>
          </w:tcPr>
          <w:p>
            <w:pPr>
              <w:keepNext w:val="0"/>
              <w:keepLines w:val="0"/>
              <w:pageBreakBefore w:val="0"/>
              <w:widowControl w:val="0"/>
              <w:kinsoku/>
              <w:overflowPunct/>
              <w:topLinePunct w:val="0"/>
              <w:autoSpaceDE/>
              <w:autoSpaceDN/>
              <w:bidi w:val="0"/>
              <w:jc w:val="left"/>
              <w:rPr>
                <w:rFonts w:hint="eastAsia" w:ascii="仿宋" w:hAnsi="仿宋" w:eastAsia="仿宋" w:cs="仿宋"/>
                <w:color w:val="000000" w:themeColor="text1"/>
                <w:sz w:val="21"/>
                <w:szCs w:val="21"/>
                <w:highlight w:val="none"/>
                <w14:textFill>
                  <w14:solidFill>
                    <w14:schemeClr w14:val="tx1"/>
                  </w14:solidFill>
                </w14:textFill>
              </w:rPr>
            </w:pPr>
          </w:p>
        </w:tc>
        <w:tc>
          <w:tcPr>
            <w:tcW w:w="1366" w:type="dxa"/>
            <w:noWrap w:val="0"/>
            <w:vAlign w:val="center"/>
          </w:tcPr>
          <w:p>
            <w:pPr>
              <w:keepNext w:val="0"/>
              <w:keepLines w:val="0"/>
              <w:pageBreakBefore w:val="0"/>
              <w:widowControl w:val="0"/>
              <w:kinsoku/>
              <w:overflowPunct/>
              <w:topLinePunct w:val="0"/>
              <w:autoSpaceDE/>
              <w:autoSpaceDN/>
              <w:bidi w:val="0"/>
              <w:jc w:val="lef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资金来源</w:t>
            </w:r>
          </w:p>
        </w:tc>
        <w:tc>
          <w:tcPr>
            <w:tcW w:w="2261" w:type="dxa"/>
            <w:noWrap w:val="0"/>
            <w:vAlign w:val="center"/>
          </w:tcPr>
          <w:p>
            <w:pPr>
              <w:keepNext w:val="0"/>
              <w:keepLines w:val="0"/>
              <w:pageBreakBefore w:val="0"/>
              <w:widowControl w:val="0"/>
              <w:kinsoku/>
              <w:overflowPunct/>
              <w:topLinePunct w:val="0"/>
              <w:autoSpaceDE/>
              <w:autoSpaceDN/>
              <w:bidi w:val="0"/>
              <w:jc w:val="lef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一般公共预算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560" w:type="dxa"/>
            <w:noWrap w:val="0"/>
            <w:vAlign w:val="center"/>
          </w:tcPr>
          <w:p>
            <w:pPr>
              <w:keepNext w:val="0"/>
              <w:keepLines w:val="0"/>
              <w:pageBreakBefore w:val="0"/>
              <w:widowControl w:val="0"/>
              <w:kinsoku/>
              <w:overflowPunct/>
              <w:topLinePunct w:val="0"/>
              <w:autoSpaceDE/>
              <w:autoSpaceDN/>
              <w:bidi w:val="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财政预算限额（元）</w:t>
            </w:r>
          </w:p>
        </w:tc>
        <w:tc>
          <w:tcPr>
            <w:tcW w:w="3780" w:type="dxa"/>
            <w:gridSpan w:val="2"/>
            <w:noWrap w:val="0"/>
            <w:vAlign w:val="center"/>
          </w:tcPr>
          <w:p>
            <w:pPr>
              <w:keepNext w:val="0"/>
              <w:keepLines w:val="0"/>
              <w:pageBreakBefore w:val="0"/>
              <w:widowControl w:val="0"/>
              <w:kinsoku/>
              <w:overflowPunct/>
              <w:topLinePunct w:val="0"/>
              <w:autoSpaceDE/>
              <w:autoSpaceDN/>
              <w:bidi w:val="0"/>
              <w:jc w:val="lef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1200</w:t>
            </w:r>
            <w:r>
              <w:rPr>
                <w:rFonts w:hint="eastAsia" w:ascii="仿宋" w:hAnsi="仿宋" w:eastAsia="仿宋" w:cs="Times New Roman"/>
                <w:color w:val="000000" w:themeColor="text1"/>
                <w:sz w:val="21"/>
                <w:szCs w:val="21"/>
                <w:highlight w:val="none"/>
                <w14:textFill>
                  <w14:solidFill>
                    <w14:schemeClr w14:val="tx1"/>
                  </w14:solidFill>
                </w14:textFill>
              </w:rPr>
              <w:t>万元</w:t>
            </w:r>
          </w:p>
        </w:tc>
        <w:tc>
          <w:tcPr>
            <w:tcW w:w="1366" w:type="dxa"/>
            <w:noWrap w:val="0"/>
            <w:vAlign w:val="center"/>
          </w:tcPr>
          <w:p>
            <w:pPr>
              <w:keepNext w:val="0"/>
              <w:keepLines w:val="0"/>
              <w:pageBreakBefore w:val="0"/>
              <w:widowControl w:val="0"/>
              <w:kinsoku/>
              <w:overflowPunct/>
              <w:topLinePunct w:val="0"/>
              <w:autoSpaceDE/>
              <w:autoSpaceDN/>
              <w:bidi w:val="0"/>
              <w:jc w:val="left"/>
              <w:rPr>
                <w:rFonts w:hint="eastAsia" w:ascii="仿宋" w:hAnsi="仿宋" w:eastAsia="仿宋" w:cs="仿宋"/>
                <w:color w:val="000000" w:themeColor="text1"/>
                <w:sz w:val="21"/>
                <w:szCs w:val="21"/>
                <w:highlight w:val="none"/>
                <w14:textFill>
                  <w14:solidFill>
                    <w14:schemeClr w14:val="tx1"/>
                  </w14:solidFill>
                </w14:textFill>
              </w:rPr>
            </w:pPr>
          </w:p>
        </w:tc>
        <w:tc>
          <w:tcPr>
            <w:tcW w:w="2261" w:type="dxa"/>
            <w:noWrap w:val="0"/>
            <w:vAlign w:val="center"/>
          </w:tcPr>
          <w:p>
            <w:pPr>
              <w:keepNext w:val="0"/>
              <w:keepLines w:val="0"/>
              <w:pageBreakBefore w:val="0"/>
              <w:widowControl w:val="0"/>
              <w:kinsoku/>
              <w:overflowPunct/>
              <w:topLinePunct w:val="0"/>
              <w:autoSpaceDE/>
              <w:autoSpaceDN/>
              <w:bidi w:val="0"/>
              <w:jc w:val="left"/>
              <w:rPr>
                <w:rFonts w:hint="eastAsia" w:ascii="仿宋" w:hAnsi="仿宋" w:eastAsia="仿宋" w:cs="仿宋"/>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560" w:type="dxa"/>
            <w:noWrap w:val="0"/>
            <w:vAlign w:val="center"/>
          </w:tcPr>
          <w:p>
            <w:pPr>
              <w:keepNext w:val="0"/>
              <w:keepLines w:val="0"/>
              <w:pageBreakBefore w:val="0"/>
              <w:widowControl w:val="0"/>
              <w:kinsoku/>
              <w:overflowPunct/>
              <w:topLinePunct w:val="0"/>
              <w:autoSpaceDE/>
              <w:autoSpaceDN/>
              <w:bidi w:val="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项目背景</w:t>
            </w:r>
          </w:p>
        </w:tc>
        <w:tc>
          <w:tcPr>
            <w:tcW w:w="7407"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312" w:lineRule="auto"/>
              <w:ind w:firstLine="420" w:firstLineChars="200"/>
              <w:jc w:val="left"/>
              <w:textAlignment w:val="auto"/>
              <w:rPr>
                <w:rFonts w:hint="eastAsia" w:ascii="仿宋" w:hAnsi="仿宋" w:eastAsia="仿宋" w:cs="Times New Roman"/>
                <w:color w:val="000000" w:themeColor="text1"/>
                <w:sz w:val="21"/>
                <w:szCs w:val="21"/>
                <w:highlight w:val="none"/>
                <w14:textFill>
                  <w14:solidFill>
                    <w14:schemeClr w14:val="tx1"/>
                  </w14:solidFill>
                </w14:textFill>
              </w:rPr>
            </w:pPr>
            <w:r>
              <w:rPr>
                <w:rFonts w:hint="eastAsia" w:ascii="仿宋" w:hAnsi="仿宋" w:eastAsia="仿宋" w:cs="Times New Roman"/>
                <w:color w:val="000000" w:themeColor="text1"/>
                <w:sz w:val="21"/>
                <w:szCs w:val="21"/>
                <w:highlight w:val="none"/>
                <w14:textFill>
                  <w14:solidFill>
                    <w14:schemeClr w14:val="tx1"/>
                  </w14:solidFill>
                </w14:textFill>
              </w:rPr>
              <w:t>党的十九大报告将要素市场化配置作为经济体制改革的两个重点之一，中共中央国务院发布《关于构建更加完善的要素市场化配置体制机制的意见》，提出完善城乡基准地价、标定地价的制定与发布制度，逐步形成与市场价格挂钩动态调整机制。</w:t>
            </w:r>
          </w:p>
          <w:p>
            <w:pPr>
              <w:keepNext w:val="0"/>
              <w:keepLines w:val="0"/>
              <w:pageBreakBefore w:val="0"/>
              <w:widowControl w:val="0"/>
              <w:kinsoku/>
              <w:wordWrap/>
              <w:overflowPunct/>
              <w:topLinePunct w:val="0"/>
              <w:autoSpaceDE/>
              <w:autoSpaceDN/>
              <w:bidi w:val="0"/>
              <w:adjustRightInd w:val="0"/>
              <w:snapToGrid w:val="0"/>
              <w:spacing w:line="312" w:lineRule="auto"/>
              <w:ind w:firstLine="420" w:firstLineChars="200"/>
              <w:jc w:val="left"/>
              <w:textAlignment w:val="auto"/>
              <w:rPr>
                <w:rFonts w:hint="eastAsia" w:ascii="仿宋" w:hAnsi="仿宋" w:eastAsia="仿宋" w:cs="Times New Roman"/>
                <w:color w:val="000000" w:themeColor="text1"/>
                <w:sz w:val="21"/>
                <w:szCs w:val="21"/>
                <w:highlight w:val="none"/>
                <w14:textFill>
                  <w14:solidFill>
                    <w14:schemeClr w14:val="tx1"/>
                  </w14:solidFill>
                </w14:textFill>
              </w:rPr>
            </w:pPr>
            <w:r>
              <w:rPr>
                <w:rFonts w:hint="eastAsia" w:ascii="仿宋" w:hAnsi="仿宋" w:eastAsia="仿宋" w:cs="Times New Roman"/>
                <w:color w:val="000000" w:themeColor="text1"/>
                <w:sz w:val="21"/>
                <w:szCs w:val="21"/>
                <w:highlight w:val="none"/>
                <w14:textFill>
                  <w14:solidFill>
                    <w14:schemeClr w14:val="tx1"/>
                  </w14:solidFill>
                </w14:textFill>
              </w:rPr>
              <w:t>为贯彻落实党的十九大报告和中共中央国务院相关要求，落实审计巡视整改要求和国家地价改革试点精神，我局对深化地价管理体系改革和公示地价动态调整机制进行了探索，核心内容包括两个方面：一是基于标定地价评估出土地的市场价格，建立以标定地价为核心的公开透明的市场价格体系；二是通过修订地价测算规则，建立以产权为导向、易于操作的地价政策体系。</w:t>
            </w:r>
          </w:p>
          <w:p>
            <w:pPr>
              <w:keepNext w:val="0"/>
              <w:keepLines w:val="0"/>
              <w:pageBreakBefore w:val="0"/>
              <w:widowControl w:val="0"/>
              <w:kinsoku/>
              <w:wordWrap/>
              <w:overflowPunct/>
              <w:topLinePunct w:val="0"/>
              <w:autoSpaceDE/>
              <w:autoSpaceDN/>
              <w:bidi w:val="0"/>
              <w:adjustRightInd w:val="0"/>
              <w:snapToGrid w:val="0"/>
              <w:spacing w:line="312" w:lineRule="auto"/>
              <w:ind w:firstLine="420" w:firstLineChars="200"/>
              <w:jc w:val="left"/>
              <w:textAlignment w:val="auto"/>
              <w:rPr>
                <w:rFonts w:hint="eastAsia" w:ascii="仿宋" w:hAnsi="仿宋" w:eastAsia="仿宋" w:cs="Times New Roman"/>
                <w:color w:val="000000" w:themeColor="text1"/>
                <w:sz w:val="21"/>
                <w:szCs w:val="21"/>
                <w:highlight w:val="none"/>
                <w14:textFill>
                  <w14:solidFill>
                    <w14:schemeClr w14:val="tx1"/>
                  </w14:solidFill>
                </w14:textFill>
              </w:rPr>
            </w:pPr>
            <w:r>
              <w:rPr>
                <w:rFonts w:hint="eastAsia" w:ascii="仿宋" w:hAnsi="仿宋" w:eastAsia="仿宋" w:cs="Times New Roman"/>
                <w:color w:val="000000" w:themeColor="text1"/>
                <w:sz w:val="21"/>
                <w:szCs w:val="21"/>
                <w:highlight w:val="none"/>
                <w14:textFill>
                  <w14:solidFill>
                    <w14:schemeClr w14:val="tx1"/>
                  </w14:solidFill>
                </w14:textFill>
              </w:rPr>
              <w:t>2019年10月21日，《深圳市人民政府办公厅关于印发深圳市地价测算规则的通知》（深府办规〔2019〕9号）和《市规划和自然资源局关于发布深圳市2018年度标定地价成果的通告》（深规划自然〔2019〕562号）正式发布，标志着我市正式启用以标定地价为核心的土地的市场价格体系，土地的市场价格成为确定全市供应建设用地使用权价格、租金及临时用地使用费的价格基础，将全面应用在我市地价管理中，成为我市新出让用地、城市更新、土地整备、棚改等地价测算的唯一价格标准。</w:t>
            </w:r>
          </w:p>
          <w:p>
            <w:pPr>
              <w:keepNext w:val="0"/>
              <w:keepLines w:val="0"/>
              <w:pageBreakBefore w:val="0"/>
              <w:widowControl w:val="0"/>
              <w:kinsoku/>
              <w:wordWrap/>
              <w:overflowPunct/>
              <w:topLinePunct w:val="0"/>
              <w:autoSpaceDE/>
              <w:autoSpaceDN/>
              <w:bidi w:val="0"/>
              <w:adjustRightInd w:val="0"/>
              <w:snapToGrid w:val="0"/>
              <w:spacing w:line="312" w:lineRule="auto"/>
              <w:ind w:firstLine="420" w:firstLineChars="200"/>
              <w:jc w:val="left"/>
              <w:textAlignment w:val="auto"/>
              <w:rPr>
                <w:rFonts w:hint="eastAsia" w:ascii="仿宋" w:hAnsi="仿宋" w:eastAsia="仿宋" w:cs="Times New Roman"/>
                <w:color w:val="000000" w:themeColor="text1"/>
                <w:sz w:val="21"/>
                <w:szCs w:val="21"/>
                <w:highlight w:val="none"/>
                <w14:textFill>
                  <w14:solidFill>
                    <w14:schemeClr w14:val="tx1"/>
                  </w14:solidFill>
                </w14:textFill>
              </w:rPr>
            </w:pPr>
            <w:r>
              <w:rPr>
                <w:rFonts w:hint="eastAsia" w:ascii="仿宋" w:hAnsi="仿宋" w:eastAsia="仿宋" w:cs="Times New Roman"/>
                <w:color w:val="000000" w:themeColor="text1"/>
                <w:sz w:val="21"/>
                <w:szCs w:val="21"/>
                <w:highlight w:val="none"/>
                <w14:textFill>
                  <w14:solidFill>
                    <w14:schemeClr w14:val="tx1"/>
                  </w14:solidFill>
                </w14:textFill>
              </w:rPr>
              <w:t>为充分保障土地的市场价格及《深圳市地价测算规则》在全市地价管理工作中的全面应用，每年都需要投入持续稳定的人力、物力开展土地的市场价格评估及应用</w:t>
            </w: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工作</w:t>
            </w:r>
            <w:r>
              <w:rPr>
                <w:rFonts w:hint="eastAsia" w:ascii="仿宋" w:hAnsi="仿宋" w:eastAsia="仿宋" w:cs="Times New Roman"/>
                <w:color w:val="000000" w:themeColor="text1"/>
                <w:sz w:val="21"/>
                <w:szCs w:val="21"/>
                <w:highlight w:val="none"/>
                <w14:textFill>
                  <w14:solidFill>
                    <w14:schemeClr w14:val="tx1"/>
                  </w14:solidFill>
                </w14:textFill>
              </w:rPr>
              <w:t>。目前，相关工作已在顺利开展，为充分保障下一年度的全市土地管理工作，对《202</w:t>
            </w: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5</w:t>
            </w:r>
            <w:r>
              <w:rPr>
                <w:rFonts w:hint="eastAsia" w:ascii="仿宋" w:hAnsi="仿宋" w:eastAsia="仿宋" w:cs="Times New Roman"/>
                <w:color w:val="000000" w:themeColor="text1"/>
                <w:sz w:val="21"/>
                <w:szCs w:val="21"/>
                <w:highlight w:val="none"/>
                <w14:textFill>
                  <w14:solidFill>
                    <w14:schemeClr w14:val="tx1"/>
                  </w14:solidFill>
                </w14:textFill>
              </w:rPr>
              <w:t>年度深圳市土地的市场价格评估及应用》进行立项，具有很强的必要性和迫切性。</w:t>
            </w:r>
          </w:p>
          <w:p>
            <w:pPr>
              <w:keepNext w:val="0"/>
              <w:keepLines w:val="0"/>
              <w:pageBreakBefore w:val="0"/>
              <w:widowControl w:val="0"/>
              <w:kinsoku/>
              <w:wordWrap/>
              <w:overflowPunct/>
              <w:topLinePunct w:val="0"/>
              <w:autoSpaceDE/>
              <w:autoSpaceDN/>
              <w:bidi w:val="0"/>
              <w:adjustRightInd w:val="0"/>
              <w:snapToGrid w:val="0"/>
              <w:spacing w:line="312" w:lineRule="auto"/>
              <w:ind w:firstLine="420" w:firstLineChars="200"/>
              <w:jc w:val="left"/>
              <w:textAlignment w:val="auto"/>
              <w:rPr>
                <w:rFonts w:hint="eastAsia" w:ascii="仿宋" w:hAnsi="仿宋" w:eastAsia="仿宋" w:cs="Times New Roman"/>
                <w:color w:val="000000" w:themeColor="text1"/>
                <w:sz w:val="21"/>
                <w:szCs w:val="21"/>
                <w:highlight w:val="none"/>
                <w14:textFill>
                  <w14:solidFill>
                    <w14:schemeClr w14:val="tx1"/>
                  </w14:solidFill>
                </w14:textFill>
              </w:rPr>
            </w:pPr>
            <w:r>
              <w:rPr>
                <w:rFonts w:hint="eastAsia" w:ascii="仿宋" w:hAnsi="仿宋" w:eastAsia="仿宋" w:cs="Times New Roman"/>
                <w:color w:val="000000" w:themeColor="text1"/>
                <w:sz w:val="21"/>
                <w:szCs w:val="21"/>
                <w:highlight w:val="none"/>
                <w14:textFill>
                  <w14:solidFill>
                    <w14:schemeClr w14:val="tx1"/>
                  </w14:solidFill>
                </w14:textFill>
              </w:rPr>
              <w:t>（1）该项目是落实中共中央国务院《关于构建更加完善的要素市场化配置体制机制的意见》的必要项目。2020年4月，中共中央国务院发布《关于构建更加完善的要素市场化配置体制机制的意见》，就深化要素市场化配置改革，促进要素自主有序流动，提高要素配置效率等提出“顶层设计”，提出完善城乡基准地价、标定地价的制定与发布制度，逐步形成与市场价格挂钩动态调整机制。2022年，深圳被选为开展实践探索的代表性城市，土地的市场价格评估及应用工作是探索完善政府公示地价制定、更新、发布、调整制度，构建公示地价动态调整机制必不可少的项目。</w:t>
            </w:r>
          </w:p>
          <w:p>
            <w:pPr>
              <w:keepNext w:val="0"/>
              <w:keepLines w:val="0"/>
              <w:pageBreakBefore w:val="0"/>
              <w:widowControl w:val="0"/>
              <w:kinsoku/>
              <w:wordWrap/>
              <w:overflowPunct/>
              <w:topLinePunct w:val="0"/>
              <w:autoSpaceDE/>
              <w:autoSpaceDN/>
              <w:bidi w:val="0"/>
              <w:adjustRightInd w:val="0"/>
              <w:snapToGrid w:val="0"/>
              <w:spacing w:line="312" w:lineRule="auto"/>
              <w:ind w:firstLine="420" w:firstLineChars="200"/>
              <w:jc w:val="left"/>
              <w:textAlignment w:val="auto"/>
              <w:rPr>
                <w:rFonts w:hint="eastAsia" w:ascii="仿宋" w:hAnsi="仿宋" w:eastAsia="仿宋" w:cs="Times New Roman"/>
                <w:color w:val="000000" w:themeColor="text1"/>
                <w:sz w:val="21"/>
                <w:szCs w:val="21"/>
                <w:highlight w:val="none"/>
                <w14:textFill>
                  <w14:solidFill>
                    <w14:schemeClr w14:val="tx1"/>
                  </w14:solidFill>
                </w14:textFill>
              </w:rPr>
            </w:pPr>
            <w:r>
              <w:rPr>
                <w:rFonts w:hint="eastAsia" w:ascii="仿宋" w:hAnsi="仿宋" w:eastAsia="仿宋" w:cs="Times New Roman"/>
                <w:color w:val="000000" w:themeColor="text1"/>
                <w:sz w:val="21"/>
                <w:szCs w:val="21"/>
                <w:highlight w:val="none"/>
                <w14:textFill>
                  <w14:solidFill>
                    <w14:schemeClr w14:val="tx1"/>
                  </w14:solidFill>
                </w14:textFill>
              </w:rPr>
              <w:t>（2）该项目是我局根据省、市政府文件每年度必须开展的常规性工作。根据《自然资源部办公厅关于做好2022年度自然资源评价评估工作通知》（自然资办发〔2022〕13号）和《广东省自然资源厅转发自然资源部办公厅关于做好2022年度自然资源评价评估有关工作的通知》（粤自然资利用〔2022〕1274号）关于完善城乡公示地价体系建设的要求，开展《202</w:t>
            </w: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5</w:t>
            </w:r>
            <w:r>
              <w:rPr>
                <w:rFonts w:hint="eastAsia" w:ascii="仿宋" w:hAnsi="仿宋" w:eastAsia="仿宋" w:cs="Times New Roman"/>
                <w:color w:val="000000" w:themeColor="text1"/>
                <w:sz w:val="21"/>
                <w:szCs w:val="21"/>
                <w:highlight w:val="none"/>
                <w14:textFill>
                  <w14:solidFill>
                    <w14:schemeClr w14:val="tx1"/>
                  </w14:solidFill>
                </w14:textFill>
              </w:rPr>
              <w:t>年度深圳市土地的市场价格评估及应用》非常必要。同时，根据市政府发布的《深圳市地价测算规则》第1.3条，我市土地的市场价格由市自然资源主管部门组织市非盈利性评估机构评估确定，采用标定地价系数修正法和剩余法（整体估价）进行评估，权重分别取70%和30%。根据《深圳市地价测算规则》第4.2条，标定地价成果由市自然资源主管部门组织按年度更新，并定期发布。《标定地价规程》（TD/T 1052-2017）对标定地价按年度更新也做了相关要求。因此，我市土地的市场价格是以标定地价为核心且随着标定地价成果的年度更新而更新，土地的市场价格评估及应用工作成为我局每年度必须要开展的重要工作。</w:t>
            </w:r>
          </w:p>
          <w:p>
            <w:pPr>
              <w:keepNext w:val="0"/>
              <w:keepLines w:val="0"/>
              <w:pageBreakBefore w:val="0"/>
              <w:widowControl w:val="0"/>
              <w:kinsoku/>
              <w:wordWrap/>
              <w:overflowPunct/>
              <w:topLinePunct w:val="0"/>
              <w:autoSpaceDE/>
              <w:autoSpaceDN/>
              <w:bidi w:val="0"/>
              <w:adjustRightInd w:val="0"/>
              <w:snapToGrid w:val="0"/>
              <w:spacing w:line="312" w:lineRule="auto"/>
              <w:ind w:firstLine="420" w:firstLineChars="200"/>
              <w:jc w:val="left"/>
              <w:textAlignment w:val="auto"/>
              <w:rPr>
                <w:rFonts w:hint="eastAsia" w:ascii="仿宋" w:hAnsi="仿宋" w:eastAsia="仿宋" w:cs="Times New Roman"/>
                <w:color w:val="000000" w:themeColor="text1"/>
                <w:sz w:val="21"/>
                <w:szCs w:val="21"/>
                <w:highlight w:val="none"/>
                <w14:textFill>
                  <w14:solidFill>
                    <w14:schemeClr w14:val="tx1"/>
                  </w14:solidFill>
                </w14:textFill>
              </w:rPr>
            </w:pPr>
            <w:r>
              <w:rPr>
                <w:rFonts w:hint="eastAsia" w:ascii="仿宋" w:hAnsi="仿宋" w:eastAsia="仿宋" w:cs="Times New Roman"/>
                <w:color w:val="000000" w:themeColor="text1"/>
                <w:sz w:val="21"/>
                <w:szCs w:val="21"/>
                <w:highlight w:val="none"/>
                <w14:textFill>
                  <w14:solidFill>
                    <w14:schemeClr w14:val="tx1"/>
                  </w14:solidFill>
                </w14:textFill>
              </w:rPr>
              <w:t>（3）该项目是落实全市土地供应、保证公平公开、稳定国土基金收入的重要技术支撑。地价是土地资源市场化配置的重要手段，是土地市场无形之手的“指挥棒”和“信号灯”，是影响土地供应和国土基金收入的核心要素。我市土地的市场价格及《深圳市地价测算规则》适用于全市供应建设用地使用权价格、租金及临时用地使用费的确定，覆盖新出让用地、城市更新、土地整备、棚改等各类地价测算情形，可以实现地价测算的自动化、智能化和便民化，可以大幅压缩地价测算时限、极大提升土地管理效率，对落实全市土地供应、保证公平公开、稳定国土基金收入起到极其关键的作用。而在这地价测算效率提升的背后，正是需要每年度将地价评估工作前置，需要在全市土地的市场价格评估及应用方面给予充分保障。</w:t>
            </w:r>
          </w:p>
          <w:p>
            <w:pPr>
              <w:keepNext w:val="0"/>
              <w:keepLines w:val="0"/>
              <w:pageBreakBefore w:val="0"/>
              <w:widowControl w:val="0"/>
              <w:kinsoku/>
              <w:wordWrap/>
              <w:overflowPunct/>
              <w:topLinePunct w:val="0"/>
              <w:autoSpaceDE/>
              <w:autoSpaceDN/>
              <w:bidi w:val="0"/>
              <w:adjustRightInd w:val="0"/>
              <w:snapToGrid w:val="0"/>
              <w:spacing w:line="312" w:lineRule="auto"/>
              <w:ind w:firstLine="420" w:firstLineChars="200"/>
              <w:jc w:val="left"/>
              <w:textAlignment w:val="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Times New Roman"/>
                <w:color w:val="000000" w:themeColor="text1"/>
                <w:sz w:val="21"/>
                <w:szCs w:val="21"/>
                <w:highlight w:val="none"/>
                <w14:textFill>
                  <w14:solidFill>
                    <w14:schemeClr w14:val="tx1"/>
                  </w14:solidFill>
                </w14:textFill>
              </w:rPr>
              <w:t>（4）该项目是防止国有资产流失，社会主义先行示范区高效建设的重要保障。该项目将为全市地价测算提供公开透明唯一的土地市场价格标准，直接服务我市统一地价体系、完善地价管理工作，202</w:t>
            </w: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4</w:t>
            </w:r>
            <w:r>
              <w:rPr>
                <w:rFonts w:hint="eastAsia" w:ascii="仿宋" w:hAnsi="仿宋" w:eastAsia="仿宋" w:cs="Times New Roman"/>
                <w:color w:val="000000" w:themeColor="text1"/>
                <w:sz w:val="21"/>
                <w:szCs w:val="21"/>
                <w:highlight w:val="none"/>
                <w14:textFill>
                  <w14:solidFill>
                    <w14:schemeClr w14:val="tx1"/>
                  </w14:solidFill>
                </w14:textFill>
              </w:rPr>
              <w:t>年1月至202</w:t>
            </w: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4</w:t>
            </w:r>
            <w:r>
              <w:rPr>
                <w:rFonts w:hint="eastAsia" w:ascii="仿宋" w:hAnsi="仿宋" w:eastAsia="仿宋" w:cs="Times New Roman"/>
                <w:color w:val="000000" w:themeColor="text1"/>
                <w:sz w:val="21"/>
                <w:szCs w:val="21"/>
                <w:highlight w:val="none"/>
                <w14:textFill>
                  <w14:solidFill>
                    <w14:schemeClr w14:val="tx1"/>
                  </w14:solidFill>
                </w14:textFill>
              </w:rPr>
              <w:t>年12月测算新供应用地和存量用地涉及的总地价</w:t>
            </w: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近600</w:t>
            </w:r>
            <w:r>
              <w:rPr>
                <w:rFonts w:hint="eastAsia" w:ascii="仿宋" w:hAnsi="仿宋" w:eastAsia="仿宋" w:cs="Times New Roman"/>
                <w:color w:val="000000" w:themeColor="text1"/>
                <w:sz w:val="21"/>
                <w:szCs w:val="21"/>
                <w:highlight w:val="none"/>
                <w14:textFill>
                  <w14:solidFill>
                    <w14:schemeClr w14:val="tx1"/>
                  </w14:solidFill>
                </w14:textFill>
              </w:rPr>
              <w:t>亿元，防止了国有资产的流失，对全市经济建设有重要贡献。同时，土地的市场价格每年更新、加强对重点发展区和重点片区内标准宗地价格的重点分析和客观评估，也保障了深圳市重点发展区和重点片区的建设，引导土地集约高效利用，推进社会主义先行示范区的高效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60" w:type="dxa"/>
            <w:noWrap w:val="0"/>
            <w:vAlign w:val="center"/>
          </w:tcPr>
          <w:p>
            <w:pPr>
              <w:keepNext w:val="0"/>
              <w:keepLines w:val="0"/>
              <w:pageBreakBefore w:val="0"/>
              <w:widowControl w:val="0"/>
              <w:kinsoku/>
              <w:overflowPunct/>
              <w:topLinePunct w:val="0"/>
              <w:autoSpaceDE/>
              <w:autoSpaceDN/>
              <w:bidi w:val="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项目前期设计、规划论证单位</w:t>
            </w:r>
          </w:p>
        </w:tc>
        <w:tc>
          <w:tcPr>
            <w:tcW w:w="7407" w:type="dxa"/>
            <w:gridSpan w:val="4"/>
            <w:noWrap w:val="0"/>
            <w:vAlign w:val="center"/>
          </w:tcPr>
          <w:p>
            <w:pPr>
              <w:keepNext w:val="0"/>
              <w:keepLines w:val="0"/>
              <w:pageBreakBefore w:val="0"/>
              <w:widowControl w:val="0"/>
              <w:kinsoku/>
              <w:overflowPunct/>
              <w:topLinePunct w:val="0"/>
              <w:autoSpaceDE/>
              <w:autoSpaceDN/>
              <w:bidi w:val="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560" w:type="dxa"/>
            <w:noWrap w:val="0"/>
            <w:vAlign w:val="center"/>
          </w:tcPr>
          <w:p>
            <w:pPr>
              <w:keepNext w:val="0"/>
              <w:keepLines w:val="0"/>
              <w:pageBreakBefore w:val="0"/>
              <w:widowControl w:val="0"/>
              <w:kinsoku/>
              <w:overflowPunct/>
              <w:topLinePunct w:val="0"/>
              <w:autoSpaceDE/>
              <w:autoSpaceDN/>
              <w:bidi w:val="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投标人资质要求</w:t>
            </w:r>
          </w:p>
        </w:tc>
        <w:tc>
          <w:tcPr>
            <w:tcW w:w="7407" w:type="dxa"/>
            <w:gridSpan w:val="4"/>
            <w:noWrap w:val="0"/>
            <w:vAlign w:val="top"/>
          </w:tcPr>
          <w:p>
            <w:pPr>
              <w:keepNext w:val="0"/>
              <w:keepLines w:val="0"/>
              <w:pageBreakBefore w:val="0"/>
              <w:widowControl w:val="0"/>
              <w:kinsoku/>
              <w:overflowPunct/>
              <w:topLinePunct w:val="0"/>
              <w:autoSpaceDE/>
              <w:autoSpaceDN/>
              <w:bidi w:val="0"/>
              <w:jc w:val="left"/>
              <w:rPr>
                <w:rFonts w:hint="eastAsia" w:ascii="仿宋" w:hAnsi="仿宋" w:eastAsia="仿宋" w:cs="仿宋"/>
                <w:b/>
                <w:color w:val="000000" w:themeColor="text1"/>
                <w:kern w:val="0"/>
                <w:szCs w:val="21"/>
                <w:highlight w:val="none"/>
                <w14:textFill>
                  <w14:solidFill>
                    <w14:schemeClr w14:val="tx1"/>
                  </w14:solidFill>
                </w14:textFill>
              </w:rPr>
            </w:pPr>
            <w:r>
              <w:rPr>
                <w:rFonts w:hint="eastAsia" w:ascii="仿宋" w:hAnsi="仿宋" w:eastAsia="仿宋" w:cs="仿宋"/>
                <w:b/>
                <w:color w:val="000000" w:themeColor="text1"/>
                <w:kern w:val="0"/>
                <w:szCs w:val="21"/>
                <w:highlight w:val="none"/>
                <w14:textFill>
                  <w14:solidFill>
                    <w14:schemeClr w14:val="tx1"/>
                  </w14:solidFill>
                </w14:textFill>
              </w:rPr>
              <w:t>注意：采购人根据项目所需提供明确、具体的资质要求，资质要求的内容必须与项目等级相匹配且符合相关法律规定。（设置的投标人资格要求必须提交有法律法规依据的证明文件，且不具备倾向性）</w:t>
            </w:r>
          </w:p>
          <w:p>
            <w:pPr>
              <w:keepNext w:val="0"/>
              <w:keepLines w:val="0"/>
              <w:pageBreakBefore w:val="0"/>
              <w:widowControl w:val="0"/>
              <w:kinsoku/>
              <w:wordWrap/>
              <w:overflowPunct/>
              <w:topLinePunct w:val="0"/>
              <w:autoSpaceDE/>
              <w:autoSpaceDN/>
              <w:bidi w:val="0"/>
              <w:adjustRightInd/>
              <w:snapToGrid w:val="0"/>
              <w:spacing w:line="312" w:lineRule="auto"/>
              <w:jc w:val="left"/>
              <w:textAlignment w:val="auto"/>
              <w:rPr>
                <w:rFonts w:hint="eastAsia" w:ascii="仿宋" w:hAnsi="仿宋" w:eastAsia="仿宋" w:cs="宋体"/>
                <w:color w:val="000000" w:themeColor="text1"/>
                <w:kern w:val="0"/>
                <w:sz w:val="21"/>
                <w:szCs w:val="21"/>
                <w:highlight w:val="none"/>
                <w14:textFill>
                  <w14:solidFill>
                    <w14:schemeClr w14:val="tx1"/>
                  </w14:solidFill>
                </w14:textFill>
              </w:rPr>
            </w:pPr>
            <w:r>
              <w:rPr>
                <w:rFonts w:hint="eastAsia" w:ascii="仿宋" w:hAnsi="仿宋" w:eastAsia="仿宋" w:cs="宋体"/>
                <w:color w:val="000000" w:themeColor="text1"/>
                <w:kern w:val="0"/>
                <w:sz w:val="21"/>
                <w:szCs w:val="21"/>
                <w:highlight w:val="none"/>
                <w14:textFill>
                  <w14:solidFill>
                    <w14:schemeClr w14:val="tx1"/>
                  </w14:solidFill>
                </w14:textFill>
              </w:rPr>
              <w:t>1.必须是采购人推荐的供应商（提供营业执照或事业单位法人证书等注册登记证明资料扫描件，原件备查）；</w:t>
            </w:r>
          </w:p>
          <w:p>
            <w:pPr>
              <w:keepNext w:val="0"/>
              <w:keepLines w:val="0"/>
              <w:pageBreakBefore w:val="0"/>
              <w:widowControl w:val="0"/>
              <w:kinsoku/>
              <w:wordWrap/>
              <w:overflowPunct/>
              <w:topLinePunct w:val="0"/>
              <w:autoSpaceDE/>
              <w:autoSpaceDN/>
              <w:bidi w:val="0"/>
              <w:adjustRightInd/>
              <w:snapToGrid w:val="0"/>
              <w:spacing w:line="312" w:lineRule="auto"/>
              <w:jc w:val="left"/>
              <w:textAlignment w:val="auto"/>
              <w:rPr>
                <w:rFonts w:hint="eastAsia" w:ascii="仿宋" w:hAnsi="仿宋" w:eastAsia="仿宋" w:cs="宋体"/>
                <w:color w:val="000000" w:themeColor="text1"/>
                <w:kern w:val="0"/>
                <w:sz w:val="21"/>
                <w:szCs w:val="21"/>
                <w:highlight w:val="none"/>
                <w14:textFill>
                  <w14:solidFill>
                    <w14:schemeClr w14:val="tx1"/>
                  </w14:solidFill>
                </w14:textFill>
              </w:rPr>
            </w:pPr>
            <w:r>
              <w:rPr>
                <w:rFonts w:hint="eastAsia" w:ascii="仿宋" w:hAnsi="仿宋" w:eastAsia="仿宋" w:cs="宋体"/>
                <w:color w:val="000000" w:themeColor="text1"/>
                <w:kern w:val="0"/>
                <w:sz w:val="21"/>
                <w:szCs w:val="21"/>
                <w:highlight w:val="none"/>
                <w14:textFill>
                  <w14:solidFill>
                    <w14:schemeClr w14:val="tx1"/>
                  </w14:solidFill>
                </w14:textFill>
              </w:rPr>
              <w:t>2.本项目不接受联合体参与谈判；</w:t>
            </w:r>
          </w:p>
          <w:p>
            <w:pPr>
              <w:keepNext w:val="0"/>
              <w:keepLines w:val="0"/>
              <w:pageBreakBefore w:val="0"/>
              <w:widowControl w:val="0"/>
              <w:kinsoku/>
              <w:wordWrap/>
              <w:overflowPunct/>
              <w:topLinePunct w:val="0"/>
              <w:autoSpaceDE/>
              <w:autoSpaceDN/>
              <w:bidi w:val="0"/>
              <w:adjustRightInd/>
              <w:snapToGrid w:val="0"/>
              <w:spacing w:line="312" w:lineRule="auto"/>
              <w:jc w:val="left"/>
              <w:textAlignment w:val="auto"/>
              <w:rPr>
                <w:rFonts w:hint="eastAsia" w:ascii="仿宋" w:hAnsi="仿宋" w:eastAsia="仿宋" w:cs="宋体"/>
                <w:color w:val="000000" w:themeColor="text1"/>
                <w:kern w:val="0"/>
                <w:sz w:val="21"/>
                <w:szCs w:val="21"/>
                <w:highlight w:val="none"/>
                <w14:textFill>
                  <w14:solidFill>
                    <w14:schemeClr w14:val="tx1"/>
                  </w14:solidFill>
                </w14:textFill>
              </w:rPr>
            </w:pPr>
            <w:r>
              <w:rPr>
                <w:rFonts w:hint="eastAsia" w:ascii="仿宋" w:hAnsi="仿宋" w:eastAsia="仿宋" w:cs="宋体"/>
                <w:color w:val="000000" w:themeColor="text1"/>
                <w:kern w:val="0"/>
                <w:sz w:val="21"/>
                <w:szCs w:val="21"/>
                <w:highlight w:val="none"/>
                <w14:textFill>
                  <w14:solidFill>
                    <w14:schemeClr w14:val="tx1"/>
                  </w14:solidFill>
                </w14:textFill>
              </w:rPr>
              <w:t>3.参与本项目谈判前三年内，在经营活动中没有重大违法记录（由供应商在《政府采购应答及履约承诺函》中作出声明）；</w:t>
            </w:r>
          </w:p>
          <w:p>
            <w:pPr>
              <w:keepNext w:val="0"/>
              <w:keepLines w:val="0"/>
              <w:pageBreakBefore w:val="0"/>
              <w:widowControl w:val="0"/>
              <w:kinsoku/>
              <w:wordWrap/>
              <w:overflowPunct/>
              <w:topLinePunct w:val="0"/>
              <w:autoSpaceDE/>
              <w:autoSpaceDN/>
              <w:bidi w:val="0"/>
              <w:adjustRightInd/>
              <w:snapToGrid w:val="0"/>
              <w:spacing w:line="312" w:lineRule="auto"/>
              <w:jc w:val="left"/>
              <w:textAlignment w:val="auto"/>
              <w:rPr>
                <w:rFonts w:hint="eastAsia" w:ascii="仿宋" w:hAnsi="仿宋" w:eastAsia="仿宋" w:cs="宋体"/>
                <w:color w:val="000000" w:themeColor="text1"/>
                <w:kern w:val="0"/>
                <w:sz w:val="21"/>
                <w:szCs w:val="21"/>
                <w:highlight w:val="none"/>
                <w14:textFill>
                  <w14:solidFill>
                    <w14:schemeClr w14:val="tx1"/>
                  </w14:solidFill>
                </w14:textFill>
              </w:rPr>
            </w:pPr>
            <w:r>
              <w:rPr>
                <w:rFonts w:hint="eastAsia" w:ascii="仿宋" w:hAnsi="仿宋" w:eastAsia="仿宋" w:cs="宋体"/>
                <w:color w:val="000000" w:themeColor="text1"/>
                <w:kern w:val="0"/>
                <w:sz w:val="21"/>
                <w:szCs w:val="21"/>
                <w:highlight w:val="none"/>
                <w14:textFill>
                  <w14:solidFill>
                    <w14:schemeClr w14:val="tx1"/>
                  </w14:solidFill>
                </w14:textFill>
              </w:rPr>
              <w:t>4.参与本项目政府采购活动时不存在被有关部门禁止参与政府采购活动且在有效期内的情况（由供应商在《政府采购应答及履约承诺函》中作出声明）；</w:t>
            </w:r>
          </w:p>
          <w:p>
            <w:pPr>
              <w:keepNext w:val="0"/>
              <w:keepLines w:val="0"/>
              <w:pageBreakBefore w:val="0"/>
              <w:widowControl w:val="0"/>
              <w:kinsoku/>
              <w:wordWrap/>
              <w:overflowPunct/>
              <w:topLinePunct w:val="0"/>
              <w:autoSpaceDE/>
              <w:autoSpaceDN/>
              <w:bidi w:val="0"/>
              <w:adjustRightInd/>
              <w:snapToGrid w:val="0"/>
              <w:spacing w:line="312" w:lineRule="auto"/>
              <w:jc w:val="left"/>
              <w:textAlignment w:val="auto"/>
              <w:rPr>
                <w:rFonts w:hint="eastAsia" w:ascii="仿宋" w:hAnsi="仿宋" w:eastAsia="仿宋" w:cs="宋体"/>
                <w:color w:val="000000" w:themeColor="text1"/>
                <w:kern w:val="0"/>
                <w:sz w:val="21"/>
                <w:szCs w:val="21"/>
                <w:highlight w:val="none"/>
                <w14:textFill>
                  <w14:solidFill>
                    <w14:schemeClr w14:val="tx1"/>
                  </w14:solidFill>
                </w14:textFill>
              </w:rPr>
            </w:pPr>
            <w:r>
              <w:rPr>
                <w:rFonts w:hint="eastAsia" w:ascii="仿宋" w:hAnsi="仿宋" w:eastAsia="仿宋" w:cs="宋体"/>
                <w:color w:val="000000" w:themeColor="text1"/>
                <w:kern w:val="0"/>
                <w:sz w:val="21"/>
                <w:szCs w:val="21"/>
                <w:highlight w:val="none"/>
                <w14:textFill>
                  <w14:solidFill>
                    <w14:schemeClr w14:val="tx1"/>
                  </w14:solidFill>
                </w14:textFill>
              </w:rPr>
              <w:t>5.具备《中华人民共和国政府采购法》第二十二条第一款的条件（由供应商在《政府采购应答及履约承诺函》中作出声明）；</w:t>
            </w:r>
          </w:p>
          <w:p>
            <w:pPr>
              <w:keepNext w:val="0"/>
              <w:keepLines w:val="0"/>
              <w:pageBreakBefore w:val="0"/>
              <w:widowControl w:val="0"/>
              <w:kinsoku/>
              <w:wordWrap/>
              <w:overflowPunct/>
              <w:topLinePunct w:val="0"/>
              <w:autoSpaceDE/>
              <w:autoSpaceDN/>
              <w:bidi w:val="0"/>
              <w:adjustRightInd/>
              <w:snapToGrid w:val="0"/>
              <w:spacing w:line="312" w:lineRule="auto"/>
              <w:jc w:val="left"/>
              <w:textAlignment w:val="auto"/>
              <w:rPr>
                <w:rFonts w:hint="eastAsia" w:ascii="仿宋" w:hAnsi="仿宋" w:eastAsia="仿宋" w:cs="宋体"/>
                <w:color w:val="000000" w:themeColor="text1"/>
                <w:kern w:val="0"/>
                <w:sz w:val="21"/>
                <w:szCs w:val="21"/>
                <w:highlight w:val="none"/>
                <w14:textFill>
                  <w14:solidFill>
                    <w14:schemeClr w14:val="tx1"/>
                  </w14:solidFill>
                </w14:textFill>
              </w:rPr>
            </w:pPr>
            <w:r>
              <w:rPr>
                <w:rFonts w:hint="eastAsia" w:ascii="仿宋" w:hAnsi="仿宋" w:eastAsia="仿宋" w:cs="宋体"/>
                <w:color w:val="000000" w:themeColor="text1"/>
                <w:kern w:val="0"/>
                <w:sz w:val="21"/>
                <w:szCs w:val="21"/>
                <w:highlight w:val="none"/>
                <w14:textFill>
                  <w14:solidFill>
                    <w14:schemeClr w14:val="tx1"/>
                  </w14:solidFill>
                </w14:textFill>
              </w:rPr>
              <w:t>6.未被列入失信被执行人、重大税收违法案件当事人名单、政府采购严重违法失信行为记录名单（由供应商在《政府采购应答及履约承诺函》中作出声明）。</w:t>
            </w:r>
          </w:p>
          <w:p>
            <w:pPr>
              <w:keepNext w:val="0"/>
              <w:keepLines w:val="0"/>
              <w:pageBreakBefore w:val="0"/>
              <w:widowControl w:val="0"/>
              <w:kinsoku/>
              <w:wordWrap/>
              <w:overflowPunct/>
              <w:topLinePunct w:val="0"/>
              <w:autoSpaceDE/>
              <w:autoSpaceDN/>
              <w:bidi w:val="0"/>
              <w:adjustRightInd/>
              <w:snapToGrid w:val="0"/>
              <w:spacing w:line="312" w:lineRule="auto"/>
              <w:jc w:val="left"/>
              <w:textAlignment w:val="auto"/>
              <w:rPr>
                <w:rFonts w:hint="eastAsia" w:ascii="仿宋" w:hAnsi="仿宋" w:eastAsia="仿宋" w:cs="仿宋"/>
                <w:b/>
                <w:color w:val="000000" w:themeColor="text1"/>
                <w:kern w:val="0"/>
                <w:szCs w:val="21"/>
                <w:highlight w:val="none"/>
                <w14:textFill>
                  <w14:solidFill>
                    <w14:schemeClr w14:val="tx1"/>
                  </w14:solidFill>
                </w14:textFill>
              </w:rPr>
            </w:pPr>
            <w:r>
              <w:rPr>
                <w:rFonts w:hint="eastAsia" w:ascii="仿宋" w:hAnsi="仿宋" w:eastAsia="仿宋" w:cs="宋体"/>
                <w:color w:val="000000" w:themeColor="text1"/>
                <w:kern w:val="0"/>
                <w:sz w:val="21"/>
                <w:szCs w:val="21"/>
                <w:highlight w:val="none"/>
                <w14:textFill>
                  <w14:solidFill>
                    <w14:schemeClr w14:val="tx1"/>
                  </w14:solidFill>
                </w14:textFill>
              </w:rPr>
              <w:t>注：“信用中国”、“中国政府采购网”、“深圳信用网”以及“深圳市政府采购监管网”为供应商信用信息的查询渠道，相关信息以谈判当日的查询结果为准。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560" w:type="dxa"/>
            <w:noWrap w:val="0"/>
            <w:vAlign w:val="center"/>
          </w:tcPr>
          <w:p>
            <w:pPr>
              <w:keepNext w:val="0"/>
              <w:keepLines w:val="0"/>
              <w:pageBreakBefore w:val="0"/>
              <w:widowControl w:val="0"/>
              <w:kinsoku/>
              <w:overflowPunct/>
              <w:topLinePunct w:val="0"/>
              <w:autoSpaceDE/>
              <w:autoSpaceDN/>
              <w:bidi w:val="0"/>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需求内容</w:t>
            </w:r>
          </w:p>
        </w:tc>
        <w:tc>
          <w:tcPr>
            <w:tcW w:w="7407" w:type="dxa"/>
            <w:gridSpan w:val="4"/>
            <w:noWrap w:val="0"/>
            <w:vAlign w:val="top"/>
          </w:tcPr>
          <w:p>
            <w:pPr>
              <w:keepNext w:val="0"/>
              <w:keepLines w:val="0"/>
              <w:pageBreakBefore w:val="0"/>
              <w:widowControl w:val="0"/>
              <w:kinsoku/>
              <w:wordWrap/>
              <w:overflowPunct/>
              <w:topLinePunct w:val="0"/>
              <w:autoSpaceDE/>
              <w:autoSpaceDN/>
              <w:bidi w:val="0"/>
              <w:adjustRightInd/>
              <w:snapToGrid w:val="0"/>
              <w:spacing w:line="312" w:lineRule="auto"/>
              <w:jc w:val="left"/>
              <w:textAlignment w:val="auto"/>
              <w:rPr>
                <w:rFonts w:ascii="仿宋" w:hAnsi="仿宋" w:eastAsia="仿宋" w:cs="Times New Roman"/>
                <w:b/>
                <w:color w:val="000000" w:themeColor="text1"/>
                <w:sz w:val="21"/>
                <w:szCs w:val="21"/>
                <w:highlight w:val="none"/>
                <w14:textFill>
                  <w14:solidFill>
                    <w14:schemeClr w14:val="tx1"/>
                  </w14:solidFill>
                </w14:textFill>
              </w:rPr>
            </w:pPr>
            <w:r>
              <w:rPr>
                <w:rFonts w:hint="eastAsia" w:ascii="仿宋" w:hAnsi="仿宋" w:eastAsia="仿宋" w:cs="Times New Roman"/>
                <w:b/>
                <w:color w:val="000000" w:themeColor="text1"/>
                <w:sz w:val="21"/>
                <w:szCs w:val="21"/>
                <w:highlight w:val="none"/>
                <w14:textFill>
                  <w14:solidFill>
                    <w14:schemeClr w14:val="tx1"/>
                  </w14:solidFill>
                </w14:textFill>
              </w:rPr>
              <w:t>*</w:t>
            </w:r>
            <w:r>
              <w:rPr>
                <w:rFonts w:hint="eastAsia" w:ascii="仿宋" w:hAnsi="仿宋" w:eastAsia="仿宋" w:cs="Times New Roman"/>
                <w:b/>
                <w:bCs/>
                <w:color w:val="000000" w:themeColor="text1"/>
                <w:sz w:val="21"/>
                <w:szCs w:val="21"/>
                <w:highlight w:val="none"/>
                <w14:textFill>
                  <w14:solidFill>
                    <w14:schemeClr w14:val="tx1"/>
                  </w14:solidFill>
                </w14:textFill>
              </w:rPr>
              <w:t>1、</w:t>
            </w:r>
            <w:r>
              <w:rPr>
                <w:rFonts w:hint="eastAsia" w:ascii="仿宋" w:hAnsi="仿宋" w:eastAsia="仿宋" w:cs="Times New Roman"/>
                <w:b/>
                <w:color w:val="000000" w:themeColor="text1"/>
                <w:sz w:val="21"/>
                <w:szCs w:val="21"/>
                <w:highlight w:val="none"/>
                <w14:textFill>
                  <w14:solidFill>
                    <w14:schemeClr w14:val="tx1"/>
                  </w14:solidFill>
                </w14:textFill>
              </w:rPr>
              <w:t>报价要求（明确分项报价要求）</w:t>
            </w:r>
          </w:p>
          <w:p>
            <w:pPr>
              <w:keepNext w:val="0"/>
              <w:keepLines w:val="0"/>
              <w:pageBreakBefore w:val="0"/>
              <w:widowControl w:val="0"/>
              <w:kinsoku/>
              <w:wordWrap/>
              <w:overflowPunct/>
              <w:topLinePunct w:val="0"/>
              <w:autoSpaceDE/>
              <w:autoSpaceDN/>
              <w:bidi w:val="0"/>
              <w:adjustRightInd/>
              <w:snapToGrid w:val="0"/>
              <w:spacing w:line="312" w:lineRule="auto"/>
              <w:jc w:val="left"/>
              <w:textAlignment w:val="auto"/>
              <w:rPr>
                <w:rFonts w:ascii="仿宋" w:hAnsi="仿宋" w:eastAsia="仿宋" w:cs="Times New Roman"/>
                <w:color w:val="000000" w:themeColor="text1"/>
                <w:sz w:val="21"/>
                <w:szCs w:val="21"/>
                <w:highlight w:val="none"/>
                <w14:textFill>
                  <w14:solidFill>
                    <w14:schemeClr w14:val="tx1"/>
                  </w14:solidFill>
                </w14:textFill>
              </w:rPr>
            </w:pPr>
            <w:r>
              <w:rPr>
                <w:rFonts w:hint="eastAsia" w:ascii="仿宋" w:hAnsi="仿宋" w:eastAsia="仿宋" w:cs="Times New Roman"/>
                <w:color w:val="000000" w:themeColor="text1"/>
                <w:sz w:val="21"/>
                <w:szCs w:val="21"/>
                <w:highlight w:val="none"/>
                <w14:textFill>
                  <w14:solidFill>
                    <w14:schemeClr w14:val="tx1"/>
                  </w14:solidFill>
                </w14:textFill>
              </w:rPr>
              <w:t>报价应根据相关文件提供合理的计费标准和计费过程。</w:t>
            </w:r>
          </w:p>
          <w:p>
            <w:pPr>
              <w:keepNext w:val="0"/>
              <w:keepLines w:val="0"/>
              <w:pageBreakBefore w:val="0"/>
              <w:widowControl w:val="0"/>
              <w:kinsoku/>
              <w:wordWrap/>
              <w:overflowPunct/>
              <w:topLinePunct w:val="0"/>
              <w:autoSpaceDE/>
              <w:autoSpaceDN/>
              <w:bidi w:val="0"/>
              <w:adjustRightInd/>
              <w:snapToGrid w:val="0"/>
              <w:spacing w:line="312" w:lineRule="auto"/>
              <w:jc w:val="left"/>
              <w:textAlignment w:val="auto"/>
              <w:rPr>
                <w:rFonts w:ascii="仿宋" w:hAnsi="仿宋" w:eastAsia="仿宋" w:cs="Times New Roman"/>
                <w:color w:val="000000" w:themeColor="text1"/>
                <w:sz w:val="21"/>
                <w:szCs w:val="21"/>
                <w:highlight w:val="none"/>
                <w14:textFill>
                  <w14:solidFill>
                    <w14:schemeClr w14:val="tx1"/>
                  </w14:solidFill>
                </w14:textFill>
              </w:rPr>
            </w:pPr>
            <w:r>
              <w:rPr>
                <w:rFonts w:hint="eastAsia" w:ascii="仿宋" w:hAnsi="仿宋" w:eastAsia="仿宋" w:cs="Times New Roman"/>
                <w:b/>
                <w:color w:val="000000" w:themeColor="text1"/>
                <w:sz w:val="21"/>
                <w:szCs w:val="21"/>
                <w:highlight w:val="none"/>
                <w14:textFill>
                  <w14:solidFill>
                    <w14:schemeClr w14:val="tx1"/>
                  </w14:solidFill>
                </w14:textFill>
              </w:rPr>
              <w:t>*2、付款方式</w:t>
            </w:r>
          </w:p>
          <w:p>
            <w:pPr>
              <w:pStyle w:val="3"/>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ascii="仿宋" w:hAnsi="仿宋" w:eastAsia="仿宋" w:cs="Times New Roman"/>
                <w:bCs w:val="0"/>
                <w:color w:val="000000" w:themeColor="text1"/>
                <w:kern w:val="2"/>
                <w:sz w:val="21"/>
                <w:szCs w:val="21"/>
                <w:highlight w:val="none"/>
                <w14:textFill>
                  <w14:solidFill>
                    <w14:schemeClr w14:val="tx1"/>
                  </w14:solidFill>
                </w14:textFill>
              </w:rPr>
            </w:pPr>
            <w:r>
              <w:rPr>
                <w:rFonts w:hint="eastAsia" w:ascii="仿宋" w:hAnsi="仿宋" w:eastAsia="仿宋" w:cs="Times New Roman"/>
                <w:bCs w:val="0"/>
                <w:color w:val="000000" w:themeColor="text1"/>
                <w:kern w:val="2"/>
                <w:sz w:val="21"/>
                <w:szCs w:val="21"/>
                <w:highlight w:val="none"/>
                <w14:textFill>
                  <w14:solidFill>
                    <w14:schemeClr w14:val="tx1"/>
                  </w14:solidFill>
                </w14:textFill>
              </w:rPr>
              <w:t>本合同总价款分</w:t>
            </w:r>
            <w:r>
              <w:rPr>
                <w:rFonts w:hint="eastAsia" w:ascii="仿宋" w:hAnsi="仿宋" w:eastAsia="仿宋" w:cs="Times New Roman"/>
                <w:bCs w:val="0"/>
                <w:color w:val="000000" w:themeColor="text1"/>
                <w:kern w:val="2"/>
                <w:sz w:val="21"/>
                <w:szCs w:val="21"/>
                <w:highlight w:val="none"/>
                <w:lang w:val="en-US" w:eastAsia="zh-CN"/>
                <w14:textFill>
                  <w14:solidFill>
                    <w14:schemeClr w14:val="tx1"/>
                  </w14:solidFill>
                </w14:textFill>
              </w:rPr>
              <w:t>4</w:t>
            </w:r>
            <w:r>
              <w:rPr>
                <w:rFonts w:hint="eastAsia" w:ascii="仿宋" w:hAnsi="仿宋" w:eastAsia="仿宋" w:cs="Times New Roman"/>
                <w:bCs w:val="0"/>
                <w:color w:val="000000" w:themeColor="text1"/>
                <w:kern w:val="2"/>
                <w:sz w:val="21"/>
                <w:szCs w:val="21"/>
                <w:highlight w:val="none"/>
                <w14:textFill>
                  <w14:solidFill>
                    <w14:schemeClr w14:val="tx1"/>
                  </w14:solidFill>
                </w14:textFill>
              </w:rPr>
              <w:t>期付款：</w:t>
            </w:r>
          </w:p>
          <w:p>
            <w:pPr>
              <w:pStyle w:val="3"/>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Times New Roman"/>
                <w:bCs w:val="0"/>
                <w:color w:val="000000" w:themeColor="text1"/>
                <w:kern w:val="2"/>
                <w:sz w:val="21"/>
                <w:szCs w:val="21"/>
                <w:highlight w:val="none"/>
                <w14:textFill>
                  <w14:solidFill>
                    <w14:schemeClr w14:val="tx1"/>
                  </w14:solidFill>
                </w14:textFill>
              </w:rPr>
            </w:pPr>
            <w:r>
              <w:rPr>
                <w:rFonts w:hint="eastAsia" w:ascii="仿宋" w:hAnsi="仿宋" w:eastAsia="仿宋" w:cs="Times New Roman"/>
                <w:bCs w:val="0"/>
                <w:color w:val="000000" w:themeColor="text1"/>
                <w:kern w:val="2"/>
                <w:sz w:val="21"/>
                <w:szCs w:val="21"/>
                <w:highlight w:val="none"/>
                <w14:textFill>
                  <w14:solidFill>
                    <w14:schemeClr w14:val="tx1"/>
                  </w14:solidFill>
                </w14:textFill>
              </w:rPr>
              <w:t>首期：自双方签订合同之日起</w:t>
            </w:r>
            <w:r>
              <w:rPr>
                <w:rFonts w:hint="eastAsia" w:ascii="仿宋" w:hAnsi="仿宋" w:eastAsia="仿宋" w:cs="Times New Roman"/>
                <w:bCs w:val="0"/>
                <w:color w:val="000000" w:themeColor="text1"/>
                <w:kern w:val="2"/>
                <w:sz w:val="21"/>
                <w:szCs w:val="21"/>
                <w:highlight w:val="none"/>
                <w:lang w:val="en-US" w:eastAsia="zh-CN"/>
                <w14:textFill>
                  <w14:solidFill>
                    <w14:schemeClr w14:val="tx1"/>
                  </w14:solidFill>
                </w14:textFill>
              </w:rPr>
              <w:t>30</w:t>
            </w:r>
            <w:r>
              <w:rPr>
                <w:rFonts w:hint="eastAsia" w:ascii="仿宋" w:hAnsi="仿宋" w:eastAsia="仿宋" w:cs="Times New Roman"/>
                <w:bCs w:val="0"/>
                <w:color w:val="000000" w:themeColor="text1"/>
                <w:kern w:val="2"/>
                <w:sz w:val="21"/>
                <w:szCs w:val="21"/>
                <w:highlight w:val="none"/>
                <w14:textFill>
                  <w14:solidFill>
                    <w14:schemeClr w14:val="tx1"/>
                  </w14:solidFill>
                </w14:textFill>
              </w:rPr>
              <w:t>个工作日内，根据</w:t>
            </w:r>
            <w:r>
              <w:rPr>
                <w:rFonts w:hint="eastAsia" w:ascii="仿宋" w:hAnsi="仿宋" w:eastAsia="仿宋" w:cs="Times New Roman"/>
                <w:bCs w:val="0"/>
                <w:color w:val="000000" w:themeColor="text1"/>
                <w:kern w:val="2"/>
                <w:sz w:val="21"/>
                <w:szCs w:val="21"/>
                <w:highlight w:val="none"/>
                <w:lang w:eastAsia="zh-CN"/>
                <w14:textFill>
                  <w14:solidFill>
                    <w14:schemeClr w14:val="tx1"/>
                  </w14:solidFill>
                </w14:textFill>
              </w:rPr>
              <w:t>投标人</w:t>
            </w:r>
            <w:r>
              <w:rPr>
                <w:rFonts w:hint="eastAsia" w:ascii="仿宋" w:hAnsi="仿宋" w:eastAsia="仿宋" w:cs="Times New Roman"/>
                <w:bCs w:val="0"/>
                <w:color w:val="000000" w:themeColor="text1"/>
                <w:kern w:val="2"/>
                <w:sz w:val="21"/>
                <w:szCs w:val="21"/>
                <w:highlight w:val="none"/>
                <w14:textFill>
                  <w14:solidFill>
                    <w14:schemeClr w14:val="tx1"/>
                  </w14:solidFill>
                </w14:textFill>
              </w:rPr>
              <w:t>提出的付款申请，</w:t>
            </w:r>
            <w:r>
              <w:rPr>
                <w:rFonts w:hint="eastAsia" w:ascii="仿宋" w:hAnsi="仿宋" w:eastAsia="仿宋" w:cs="Times New Roman"/>
                <w:bCs w:val="0"/>
                <w:color w:val="000000" w:themeColor="text1"/>
                <w:kern w:val="2"/>
                <w:sz w:val="21"/>
                <w:szCs w:val="21"/>
                <w:highlight w:val="none"/>
                <w:lang w:eastAsia="zh-CN"/>
                <w14:textFill>
                  <w14:solidFill>
                    <w14:schemeClr w14:val="tx1"/>
                  </w14:solidFill>
                </w14:textFill>
              </w:rPr>
              <w:t>采购人</w:t>
            </w:r>
            <w:r>
              <w:rPr>
                <w:rFonts w:hint="eastAsia" w:ascii="仿宋" w:hAnsi="仿宋" w:eastAsia="仿宋" w:cs="Times New Roman"/>
                <w:bCs w:val="0"/>
                <w:color w:val="000000" w:themeColor="text1"/>
                <w:kern w:val="2"/>
                <w:sz w:val="21"/>
                <w:szCs w:val="21"/>
                <w:highlight w:val="none"/>
                <w14:textFill>
                  <w14:solidFill>
                    <w14:schemeClr w14:val="tx1"/>
                  </w14:solidFill>
                </w14:textFill>
              </w:rPr>
              <w:t>支付</w:t>
            </w:r>
            <w:r>
              <w:rPr>
                <w:rFonts w:hint="eastAsia" w:ascii="仿宋" w:hAnsi="仿宋" w:eastAsia="仿宋" w:cs="Times New Roman"/>
                <w:bCs w:val="0"/>
                <w:color w:val="000000" w:themeColor="text1"/>
                <w:kern w:val="2"/>
                <w:sz w:val="21"/>
                <w:szCs w:val="21"/>
                <w:highlight w:val="none"/>
                <w:lang w:val="en-US" w:eastAsia="zh-CN"/>
                <w14:textFill>
                  <w14:solidFill>
                    <w14:schemeClr w14:val="tx1"/>
                  </w14:solidFill>
                </w14:textFill>
              </w:rPr>
              <w:t>中</w:t>
            </w:r>
            <w:r>
              <w:rPr>
                <w:rFonts w:hint="eastAsia" w:ascii="仿宋" w:hAnsi="仿宋" w:eastAsia="仿宋" w:cs="Times New Roman"/>
                <w:bCs w:val="0"/>
                <w:color w:val="000000" w:themeColor="text1"/>
                <w:kern w:val="2"/>
                <w:sz w:val="21"/>
                <w:szCs w:val="21"/>
                <w:highlight w:val="none"/>
                <w:lang w:eastAsia="zh-CN"/>
                <w14:textFill>
                  <w14:solidFill>
                    <w14:schemeClr w14:val="tx1"/>
                  </w14:solidFill>
                </w14:textFill>
              </w:rPr>
              <w:t>标人</w:t>
            </w:r>
            <w:r>
              <w:rPr>
                <w:rFonts w:hint="eastAsia" w:ascii="仿宋" w:hAnsi="仿宋" w:eastAsia="仿宋" w:cs="Times New Roman"/>
                <w:bCs w:val="0"/>
                <w:color w:val="000000" w:themeColor="text1"/>
                <w:kern w:val="2"/>
                <w:sz w:val="21"/>
                <w:szCs w:val="21"/>
                <w:highlight w:val="none"/>
                <w:lang w:val="en-US" w:eastAsia="zh-CN"/>
                <w14:textFill>
                  <w14:solidFill>
                    <w14:schemeClr w14:val="tx1"/>
                  </w14:solidFill>
                </w14:textFill>
              </w:rPr>
              <w:t>约</w:t>
            </w:r>
            <w:r>
              <w:rPr>
                <w:rFonts w:hint="eastAsia" w:ascii="仿宋" w:hAnsi="仿宋" w:eastAsia="仿宋" w:cs="Times New Roman"/>
                <w:bCs w:val="0"/>
                <w:color w:val="000000" w:themeColor="text1"/>
                <w:kern w:val="2"/>
                <w:sz w:val="21"/>
                <w:szCs w:val="21"/>
                <w:highlight w:val="none"/>
                <w14:textFill>
                  <w14:solidFill>
                    <w14:schemeClr w14:val="tx1"/>
                  </w14:solidFill>
                </w14:textFill>
              </w:rPr>
              <w:t>占合同总价款的</w:t>
            </w:r>
            <w:r>
              <w:rPr>
                <w:rFonts w:hint="eastAsia" w:ascii="仿宋" w:hAnsi="仿宋" w:eastAsia="仿宋" w:cs="Times New Roman"/>
                <w:bCs w:val="0"/>
                <w:color w:val="000000" w:themeColor="text1"/>
                <w:kern w:val="2"/>
                <w:sz w:val="21"/>
                <w:szCs w:val="21"/>
                <w:highlight w:val="none"/>
                <w:u w:val="single"/>
                <w:lang w:val="en-US" w:eastAsia="zh-CN"/>
                <w14:textFill>
                  <w14:solidFill>
                    <w14:schemeClr w14:val="tx1"/>
                  </w14:solidFill>
                </w14:textFill>
              </w:rPr>
              <w:t xml:space="preserve">  10   </w:t>
            </w:r>
            <w:r>
              <w:rPr>
                <w:rFonts w:ascii="仿宋" w:hAnsi="仿宋" w:eastAsia="仿宋" w:cs="Times New Roman"/>
                <w:bCs w:val="0"/>
                <w:color w:val="000000" w:themeColor="text1"/>
                <w:kern w:val="2"/>
                <w:sz w:val="21"/>
                <w:szCs w:val="21"/>
                <w:highlight w:val="none"/>
                <w14:textFill>
                  <w14:solidFill>
                    <w14:schemeClr w14:val="tx1"/>
                  </w14:solidFill>
                </w14:textFill>
              </w:rPr>
              <w:t>%</w:t>
            </w:r>
            <w:r>
              <w:rPr>
                <w:rFonts w:hint="eastAsia" w:ascii="仿宋" w:hAnsi="仿宋" w:eastAsia="仿宋" w:cs="Times New Roman"/>
                <w:bCs w:val="0"/>
                <w:color w:val="000000" w:themeColor="text1"/>
                <w:kern w:val="2"/>
                <w:sz w:val="21"/>
                <w:szCs w:val="21"/>
                <w:highlight w:val="none"/>
                <w14:textFill>
                  <w14:solidFill>
                    <w14:schemeClr w14:val="tx1"/>
                  </w14:solidFill>
                </w14:textFill>
              </w:rPr>
              <w:t>。</w:t>
            </w:r>
          </w:p>
          <w:p>
            <w:pPr>
              <w:pStyle w:val="3"/>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Times New Roman"/>
                <w:bCs w:val="0"/>
                <w:color w:val="000000" w:themeColor="text1"/>
                <w:kern w:val="2"/>
                <w:sz w:val="21"/>
                <w:szCs w:val="21"/>
                <w:highlight w:val="none"/>
                <w14:textFill>
                  <w14:solidFill>
                    <w14:schemeClr w14:val="tx1"/>
                  </w14:solidFill>
                </w14:textFill>
              </w:rPr>
            </w:pPr>
            <w:r>
              <w:rPr>
                <w:rFonts w:hint="eastAsia" w:ascii="仿宋" w:hAnsi="仿宋" w:eastAsia="仿宋" w:cs="Times New Roman"/>
                <w:bCs w:val="0"/>
                <w:color w:val="000000" w:themeColor="text1"/>
                <w:kern w:val="2"/>
                <w:sz w:val="21"/>
                <w:szCs w:val="21"/>
                <w:highlight w:val="none"/>
                <w14:textFill>
                  <w14:solidFill>
                    <w14:schemeClr w14:val="tx1"/>
                  </w14:solidFill>
                </w14:textFill>
              </w:rPr>
              <w:t>第 2 期：</w:t>
            </w:r>
            <w:r>
              <w:rPr>
                <w:rFonts w:hint="eastAsia" w:ascii="仿宋" w:hAnsi="仿宋" w:eastAsia="仿宋" w:cs="Times New Roman"/>
                <w:bCs w:val="0"/>
                <w:color w:val="000000" w:themeColor="text1"/>
                <w:kern w:val="2"/>
                <w:sz w:val="21"/>
                <w:szCs w:val="21"/>
                <w:highlight w:val="none"/>
                <w:lang w:eastAsia="zh-CN"/>
                <w14:textFill>
                  <w14:solidFill>
                    <w14:schemeClr w14:val="tx1"/>
                  </w14:solidFill>
                </w14:textFill>
              </w:rPr>
              <w:t>投标人提交深圳市标定地价及深圳市剩余法整体估价初步成果</w:t>
            </w:r>
            <w:r>
              <w:rPr>
                <w:rFonts w:hint="eastAsia" w:ascii="仿宋" w:hAnsi="仿宋" w:eastAsia="仿宋" w:cs="Times New Roman"/>
                <w:bCs w:val="0"/>
                <w:color w:val="000000" w:themeColor="text1"/>
                <w:kern w:val="2"/>
                <w:sz w:val="21"/>
                <w:szCs w:val="21"/>
                <w:highlight w:val="none"/>
                <w:lang w:val="en-US" w:eastAsia="zh-CN"/>
                <w14:textFill>
                  <w14:solidFill>
                    <w14:schemeClr w14:val="tx1"/>
                  </w14:solidFill>
                </w14:textFill>
              </w:rPr>
              <w:t>后30</w:t>
            </w:r>
            <w:r>
              <w:rPr>
                <w:rFonts w:hint="eastAsia" w:ascii="仿宋" w:hAnsi="仿宋" w:eastAsia="仿宋" w:cs="Times New Roman"/>
                <w:bCs w:val="0"/>
                <w:color w:val="000000" w:themeColor="text1"/>
                <w:kern w:val="2"/>
                <w:sz w:val="21"/>
                <w:szCs w:val="21"/>
                <w:highlight w:val="none"/>
                <w14:textFill>
                  <w14:solidFill>
                    <w14:schemeClr w14:val="tx1"/>
                  </w14:solidFill>
                </w14:textFill>
              </w:rPr>
              <w:t>个工作日内，根据</w:t>
            </w:r>
            <w:r>
              <w:rPr>
                <w:rFonts w:hint="eastAsia" w:ascii="仿宋" w:hAnsi="仿宋" w:eastAsia="仿宋" w:cs="Times New Roman"/>
                <w:bCs w:val="0"/>
                <w:color w:val="000000" w:themeColor="text1"/>
                <w:kern w:val="2"/>
                <w:sz w:val="21"/>
                <w:szCs w:val="21"/>
                <w:highlight w:val="none"/>
                <w:lang w:eastAsia="zh-CN"/>
                <w14:textFill>
                  <w14:solidFill>
                    <w14:schemeClr w14:val="tx1"/>
                  </w14:solidFill>
                </w14:textFill>
              </w:rPr>
              <w:t>投标人</w:t>
            </w:r>
            <w:r>
              <w:rPr>
                <w:rFonts w:hint="eastAsia" w:ascii="仿宋" w:hAnsi="仿宋" w:eastAsia="仿宋" w:cs="Times New Roman"/>
                <w:bCs w:val="0"/>
                <w:color w:val="000000" w:themeColor="text1"/>
                <w:kern w:val="2"/>
                <w:sz w:val="21"/>
                <w:szCs w:val="21"/>
                <w:highlight w:val="none"/>
                <w14:textFill>
                  <w14:solidFill>
                    <w14:schemeClr w14:val="tx1"/>
                  </w14:solidFill>
                </w14:textFill>
              </w:rPr>
              <w:t>提出的付款申请，</w:t>
            </w:r>
            <w:r>
              <w:rPr>
                <w:rFonts w:hint="eastAsia" w:ascii="仿宋" w:hAnsi="仿宋" w:eastAsia="仿宋" w:cs="Times New Roman"/>
                <w:bCs w:val="0"/>
                <w:color w:val="000000" w:themeColor="text1"/>
                <w:kern w:val="2"/>
                <w:sz w:val="21"/>
                <w:szCs w:val="21"/>
                <w:highlight w:val="none"/>
                <w:lang w:eastAsia="zh-CN"/>
                <w14:textFill>
                  <w14:solidFill>
                    <w14:schemeClr w14:val="tx1"/>
                  </w14:solidFill>
                </w14:textFill>
              </w:rPr>
              <w:t>采购人</w:t>
            </w:r>
            <w:r>
              <w:rPr>
                <w:rFonts w:hint="eastAsia" w:ascii="仿宋" w:hAnsi="仿宋" w:eastAsia="仿宋" w:cs="Times New Roman"/>
                <w:bCs w:val="0"/>
                <w:color w:val="000000" w:themeColor="text1"/>
                <w:kern w:val="2"/>
                <w:sz w:val="21"/>
                <w:szCs w:val="21"/>
                <w:highlight w:val="none"/>
                <w14:textFill>
                  <w14:solidFill>
                    <w14:schemeClr w14:val="tx1"/>
                  </w14:solidFill>
                </w14:textFill>
              </w:rPr>
              <w:t>支付</w:t>
            </w:r>
            <w:r>
              <w:rPr>
                <w:rFonts w:hint="eastAsia" w:ascii="仿宋" w:hAnsi="仿宋" w:eastAsia="仿宋" w:cs="Times New Roman"/>
                <w:bCs w:val="0"/>
                <w:color w:val="000000" w:themeColor="text1"/>
                <w:kern w:val="2"/>
                <w:sz w:val="21"/>
                <w:szCs w:val="21"/>
                <w:highlight w:val="none"/>
                <w:lang w:val="en-US" w:eastAsia="zh-CN"/>
                <w14:textFill>
                  <w14:solidFill>
                    <w14:schemeClr w14:val="tx1"/>
                  </w14:solidFill>
                </w14:textFill>
              </w:rPr>
              <w:t>中</w:t>
            </w:r>
            <w:r>
              <w:rPr>
                <w:rFonts w:hint="eastAsia" w:ascii="仿宋" w:hAnsi="仿宋" w:eastAsia="仿宋" w:cs="Times New Roman"/>
                <w:bCs w:val="0"/>
                <w:color w:val="000000" w:themeColor="text1"/>
                <w:kern w:val="2"/>
                <w:sz w:val="21"/>
                <w:szCs w:val="21"/>
                <w:highlight w:val="none"/>
                <w:lang w:eastAsia="zh-CN"/>
                <w14:textFill>
                  <w14:solidFill>
                    <w14:schemeClr w14:val="tx1"/>
                  </w14:solidFill>
                </w14:textFill>
              </w:rPr>
              <w:t>标人</w:t>
            </w:r>
            <w:r>
              <w:rPr>
                <w:rFonts w:hint="eastAsia" w:ascii="仿宋" w:hAnsi="仿宋" w:eastAsia="仿宋" w:cs="Times New Roman"/>
                <w:bCs w:val="0"/>
                <w:color w:val="000000" w:themeColor="text1"/>
                <w:kern w:val="2"/>
                <w:sz w:val="21"/>
                <w:szCs w:val="21"/>
                <w:highlight w:val="none"/>
                <w:lang w:val="en-US" w:eastAsia="zh-CN"/>
                <w14:textFill>
                  <w14:solidFill>
                    <w14:schemeClr w14:val="tx1"/>
                  </w14:solidFill>
                </w14:textFill>
              </w:rPr>
              <w:t>约</w:t>
            </w:r>
            <w:r>
              <w:rPr>
                <w:rFonts w:hint="eastAsia" w:ascii="仿宋" w:hAnsi="仿宋" w:eastAsia="仿宋" w:cs="Times New Roman"/>
                <w:bCs w:val="0"/>
                <w:color w:val="000000" w:themeColor="text1"/>
                <w:kern w:val="2"/>
                <w:sz w:val="21"/>
                <w:szCs w:val="21"/>
                <w:highlight w:val="none"/>
                <w14:textFill>
                  <w14:solidFill>
                    <w14:schemeClr w14:val="tx1"/>
                  </w14:solidFill>
                </w14:textFill>
              </w:rPr>
              <w:t>合同总价款的</w:t>
            </w:r>
            <w:r>
              <w:rPr>
                <w:rFonts w:hint="eastAsia" w:ascii="仿宋" w:hAnsi="仿宋" w:eastAsia="仿宋" w:cs="Times New Roman"/>
                <w:bCs w:val="0"/>
                <w:color w:val="000000" w:themeColor="text1"/>
                <w:kern w:val="2"/>
                <w:sz w:val="21"/>
                <w:szCs w:val="21"/>
                <w:highlight w:val="none"/>
                <w:u w:val="single"/>
                <w:lang w:val="en-US" w:eastAsia="zh-CN"/>
                <w14:textFill>
                  <w14:solidFill>
                    <w14:schemeClr w14:val="tx1"/>
                  </w14:solidFill>
                </w14:textFill>
              </w:rPr>
              <w:t xml:space="preserve">    40   </w:t>
            </w:r>
            <w:r>
              <w:rPr>
                <w:rFonts w:hint="eastAsia" w:ascii="仿宋" w:hAnsi="仿宋" w:eastAsia="仿宋" w:cs="Times New Roman"/>
                <w:bCs w:val="0"/>
                <w:color w:val="000000" w:themeColor="text1"/>
                <w:kern w:val="2"/>
                <w:sz w:val="21"/>
                <w:szCs w:val="21"/>
                <w:highlight w:val="none"/>
                <w14:textFill>
                  <w14:solidFill>
                    <w14:schemeClr w14:val="tx1"/>
                  </w14:solidFill>
                </w14:textFill>
              </w:rPr>
              <w:t>%。</w:t>
            </w:r>
          </w:p>
          <w:p>
            <w:pPr>
              <w:pStyle w:val="3"/>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Times New Roman"/>
                <w:bCs w:val="0"/>
                <w:color w:val="000000" w:themeColor="text1"/>
                <w:kern w:val="2"/>
                <w:sz w:val="21"/>
                <w:szCs w:val="21"/>
                <w:highlight w:val="none"/>
                <w14:textFill>
                  <w14:solidFill>
                    <w14:schemeClr w14:val="tx1"/>
                  </w14:solidFill>
                </w14:textFill>
              </w:rPr>
            </w:pPr>
            <w:r>
              <w:rPr>
                <w:rFonts w:hint="eastAsia" w:ascii="仿宋" w:hAnsi="仿宋" w:eastAsia="仿宋" w:cs="Times New Roman"/>
                <w:bCs w:val="0"/>
                <w:color w:val="000000" w:themeColor="text1"/>
                <w:kern w:val="2"/>
                <w:sz w:val="21"/>
                <w:szCs w:val="21"/>
                <w:highlight w:val="none"/>
                <w14:textFill>
                  <w14:solidFill>
                    <w14:schemeClr w14:val="tx1"/>
                  </w14:solidFill>
                </w14:textFill>
              </w:rPr>
              <w:t xml:space="preserve">第 </w:t>
            </w:r>
            <w:r>
              <w:rPr>
                <w:rFonts w:hint="eastAsia" w:ascii="仿宋" w:hAnsi="仿宋" w:eastAsia="仿宋" w:cs="Times New Roman"/>
                <w:bCs w:val="0"/>
                <w:color w:val="000000" w:themeColor="text1"/>
                <w:kern w:val="2"/>
                <w:sz w:val="21"/>
                <w:szCs w:val="21"/>
                <w:highlight w:val="none"/>
                <w:lang w:val="en-US" w:eastAsia="zh-CN"/>
                <w14:textFill>
                  <w14:solidFill>
                    <w14:schemeClr w14:val="tx1"/>
                  </w14:solidFill>
                </w14:textFill>
              </w:rPr>
              <w:t xml:space="preserve">3 </w:t>
            </w:r>
            <w:r>
              <w:rPr>
                <w:rFonts w:hint="eastAsia" w:ascii="仿宋" w:hAnsi="仿宋" w:eastAsia="仿宋" w:cs="Times New Roman"/>
                <w:bCs w:val="0"/>
                <w:color w:val="000000" w:themeColor="text1"/>
                <w:kern w:val="2"/>
                <w:sz w:val="21"/>
                <w:szCs w:val="21"/>
                <w:highlight w:val="none"/>
                <w14:textFill>
                  <w14:solidFill>
                    <w14:schemeClr w14:val="tx1"/>
                  </w14:solidFill>
                </w14:textFill>
              </w:rPr>
              <w:t>期：</w:t>
            </w:r>
            <w:r>
              <w:rPr>
                <w:rFonts w:hint="eastAsia" w:ascii="仿宋" w:hAnsi="仿宋" w:eastAsia="仿宋" w:cs="Times New Roman"/>
                <w:bCs w:val="0"/>
                <w:color w:val="000000" w:themeColor="text1"/>
                <w:kern w:val="2"/>
                <w:sz w:val="21"/>
                <w:szCs w:val="21"/>
                <w:highlight w:val="none"/>
                <w:lang w:eastAsia="zh-CN"/>
                <w14:textFill>
                  <w14:solidFill>
                    <w14:schemeClr w14:val="tx1"/>
                  </w14:solidFill>
                </w14:textFill>
              </w:rPr>
              <w:t>投标人提交的深圳市标定地价及深圳市剩余法整体估价初步成果通过专家验收后30个工作日内，采购人</w:t>
            </w:r>
            <w:r>
              <w:rPr>
                <w:rFonts w:hint="eastAsia" w:ascii="仿宋" w:hAnsi="仿宋" w:eastAsia="仿宋" w:cs="Times New Roman"/>
                <w:bCs w:val="0"/>
                <w:color w:val="000000" w:themeColor="text1"/>
                <w:kern w:val="2"/>
                <w:sz w:val="21"/>
                <w:szCs w:val="21"/>
                <w:highlight w:val="none"/>
                <w14:textFill>
                  <w14:solidFill>
                    <w14:schemeClr w14:val="tx1"/>
                  </w14:solidFill>
                </w14:textFill>
              </w:rPr>
              <w:t>支付</w:t>
            </w:r>
            <w:r>
              <w:rPr>
                <w:rFonts w:hint="eastAsia" w:ascii="仿宋" w:hAnsi="仿宋" w:eastAsia="仿宋" w:cs="Times New Roman"/>
                <w:bCs w:val="0"/>
                <w:color w:val="000000" w:themeColor="text1"/>
                <w:kern w:val="2"/>
                <w:sz w:val="21"/>
                <w:szCs w:val="21"/>
                <w:highlight w:val="none"/>
                <w:lang w:val="en-US" w:eastAsia="zh-CN"/>
                <w14:textFill>
                  <w14:solidFill>
                    <w14:schemeClr w14:val="tx1"/>
                  </w14:solidFill>
                </w14:textFill>
              </w:rPr>
              <w:t>中</w:t>
            </w:r>
            <w:r>
              <w:rPr>
                <w:rFonts w:hint="eastAsia" w:ascii="仿宋" w:hAnsi="仿宋" w:eastAsia="仿宋" w:cs="Times New Roman"/>
                <w:bCs w:val="0"/>
                <w:color w:val="000000" w:themeColor="text1"/>
                <w:kern w:val="2"/>
                <w:sz w:val="21"/>
                <w:szCs w:val="21"/>
                <w:highlight w:val="none"/>
                <w:lang w:eastAsia="zh-CN"/>
                <w14:textFill>
                  <w14:solidFill>
                    <w14:schemeClr w14:val="tx1"/>
                  </w14:solidFill>
                </w14:textFill>
              </w:rPr>
              <w:t>标人</w:t>
            </w:r>
            <w:r>
              <w:rPr>
                <w:rFonts w:hint="eastAsia" w:ascii="仿宋" w:hAnsi="仿宋" w:eastAsia="仿宋" w:cs="Times New Roman"/>
                <w:bCs w:val="0"/>
                <w:color w:val="000000" w:themeColor="text1"/>
                <w:kern w:val="2"/>
                <w:sz w:val="21"/>
                <w:szCs w:val="21"/>
                <w:highlight w:val="none"/>
                <w:lang w:val="en-US" w:eastAsia="zh-CN"/>
                <w14:textFill>
                  <w14:solidFill>
                    <w14:schemeClr w14:val="tx1"/>
                  </w14:solidFill>
                </w14:textFill>
              </w:rPr>
              <w:t>约</w:t>
            </w:r>
            <w:r>
              <w:rPr>
                <w:rFonts w:hint="eastAsia" w:ascii="仿宋" w:hAnsi="仿宋" w:eastAsia="仿宋" w:cs="Times New Roman"/>
                <w:bCs w:val="0"/>
                <w:color w:val="000000" w:themeColor="text1"/>
                <w:kern w:val="2"/>
                <w:sz w:val="21"/>
                <w:szCs w:val="21"/>
                <w:highlight w:val="none"/>
                <w14:textFill>
                  <w14:solidFill>
                    <w14:schemeClr w14:val="tx1"/>
                  </w14:solidFill>
                </w14:textFill>
              </w:rPr>
              <w:t>合同总价款的</w:t>
            </w:r>
            <w:r>
              <w:rPr>
                <w:rFonts w:hint="eastAsia" w:ascii="仿宋" w:hAnsi="仿宋" w:eastAsia="仿宋" w:cs="Times New Roman"/>
                <w:bCs w:val="0"/>
                <w:color w:val="000000" w:themeColor="text1"/>
                <w:kern w:val="2"/>
                <w:sz w:val="21"/>
                <w:szCs w:val="21"/>
                <w:highlight w:val="none"/>
                <w:u w:val="single"/>
                <w:lang w:val="en-US" w:eastAsia="zh-CN"/>
                <w14:textFill>
                  <w14:solidFill>
                    <w14:schemeClr w14:val="tx1"/>
                  </w14:solidFill>
                </w14:textFill>
              </w:rPr>
              <w:t xml:space="preserve">  30   </w:t>
            </w:r>
            <w:r>
              <w:rPr>
                <w:rFonts w:hint="eastAsia" w:ascii="仿宋" w:hAnsi="仿宋" w:eastAsia="仿宋" w:cs="Times New Roman"/>
                <w:bCs w:val="0"/>
                <w:color w:val="000000" w:themeColor="text1"/>
                <w:kern w:val="2"/>
                <w:sz w:val="21"/>
                <w:szCs w:val="21"/>
                <w:highlight w:val="none"/>
                <w14:textFill>
                  <w14:solidFill>
                    <w14:schemeClr w14:val="tx1"/>
                  </w14:solidFill>
                </w14:textFill>
              </w:rPr>
              <w:t>%。</w:t>
            </w:r>
          </w:p>
          <w:p>
            <w:pPr>
              <w:pStyle w:val="3"/>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Times New Roman"/>
                <w:bCs w:val="0"/>
                <w:color w:val="000000" w:themeColor="text1"/>
                <w:kern w:val="2"/>
                <w:sz w:val="21"/>
                <w:szCs w:val="21"/>
                <w:highlight w:val="none"/>
                <w14:textFill>
                  <w14:solidFill>
                    <w14:schemeClr w14:val="tx1"/>
                  </w14:solidFill>
                </w14:textFill>
              </w:rPr>
            </w:pPr>
            <w:r>
              <w:rPr>
                <w:rFonts w:hint="eastAsia" w:ascii="仿宋" w:hAnsi="仿宋" w:eastAsia="仿宋" w:cs="Times New Roman"/>
                <w:bCs w:val="0"/>
                <w:color w:val="000000" w:themeColor="text1"/>
                <w:kern w:val="2"/>
                <w:sz w:val="21"/>
                <w:szCs w:val="21"/>
                <w:highlight w:val="none"/>
                <w14:textFill>
                  <w14:solidFill>
                    <w14:schemeClr w14:val="tx1"/>
                  </w14:solidFill>
                </w14:textFill>
              </w:rPr>
              <w:t xml:space="preserve">第 </w:t>
            </w:r>
            <w:r>
              <w:rPr>
                <w:rFonts w:hint="eastAsia" w:ascii="仿宋" w:hAnsi="仿宋" w:eastAsia="仿宋" w:cs="Times New Roman"/>
                <w:bCs w:val="0"/>
                <w:color w:val="000000" w:themeColor="text1"/>
                <w:kern w:val="2"/>
                <w:sz w:val="21"/>
                <w:szCs w:val="21"/>
                <w:highlight w:val="none"/>
                <w:lang w:val="en-US" w:eastAsia="zh-CN"/>
                <w14:textFill>
                  <w14:solidFill>
                    <w14:schemeClr w14:val="tx1"/>
                  </w14:solidFill>
                </w14:textFill>
              </w:rPr>
              <w:t>4</w:t>
            </w:r>
            <w:r>
              <w:rPr>
                <w:rFonts w:hint="eastAsia" w:ascii="仿宋" w:hAnsi="仿宋" w:eastAsia="仿宋" w:cs="Times New Roman"/>
                <w:bCs w:val="0"/>
                <w:color w:val="000000" w:themeColor="text1"/>
                <w:kern w:val="2"/>
                <w:sz w:val="21"/>
                <w:szCs w:val="21"/>
                <w:highlight w:val="none"/>
                <w14:textFill>
                  <w14:solidFill>
                    <w14:schemeClr w14:val="tx1"/>
                  </w14:solidFill>
                </w14:textFill>
              </w:rPr>
              <w:t xml:space="preserve"> 期：投标人提交</w:t>
            </w:r>
            <w:r>
              <w:rPr>
                <w:rFonts w:hint="eastAsia" w:ascii="仿宋" w:hAnsi="仿宋" w:eastAsia="仿宋" w:cs="Times New Roman"/>
                <w:bCs w:val="0"/>
                <w:color w:val="000000" w:themeColor="text1"/>
                <w:kern w:val="2"/>
                <w:sz w:val="21"/>
                <w:szCs w:val="21"/>
                <w:highlight w:val="none"/>
                <w:lang w:eastAsia="zh-CN"/>
                <w14:textFill>
                  <w14:solidFill>
                    <w14:schemeClr w14:val="tx1"/>
                  </w14:solidFill>
                </w14:textFill>
              </w:rPr>
              <w:t>项目</w:t>
            </w:r>
            <w:r>
              <w:rPr>
                <w:rFonts w:hint="eastAsia" w:ascii="仿宋" w:hAnsi="仿宋" w:eastAsia="仿宋" w:cs="Times New Roman"/>
                <w:bCs w:val="0"/>
                <w:color w:val="000000" w:themeColor="text1"/>
                <w:kern w:val="2"/>
                <w:sz w:val="21"/>
                <w:szCs w:val="21"/>
                <w:highlight w:val="none"/>
                <w14:textFill>
                  <w14:solidFill>
                    <w14:schemeClr w14:val="tx1"/>
                  </w14:solidFill>
                </w14:textFill>
              </w:rPr>
              <w:t>最终成果，并通过</w:t>
            </w:r>
            <w:r>
              <w:rPr>
                <w:rFonts w:hint="eastAsia" w:ascii="仿宋" w:hAnsi="仿宋" w:eastAsia="仿宋" w:cs="Times New Roman"/>
                <w:bCs w:val="0"/>
                <w:color w:val="000000" w:themeColor="text1"/>
                <w:kern w:val="2"/>
                <w:sz w:val="21"/>
                <w:szCs w:val="21"/>
                <w:highlight w:val="none"/>
                <w:lang w:val="en-US" w:eastAsia="zh-CN"/>
                <w14:textFill>
                  <w14:solidFill>
                    <w14:schemeClr w14:val="tx1"/>
                  </w14:solidFill>
                </w14:textFill>
              </w:rPr>
              <w:t>采购人</w:t>
            </w:r>
            <w:r>
              <w:rPr>
                <w:rFonts w:hint="eastAsia" w:ascii="仿宋" w:hAnsi="仿宋" w:eastAsia="仿宋" w:cs="Times New Roman"/>
                <w:bCs w:val="0"/>
                <w:color w:val="000000" w:themeColor="text1"/>
                <w:kern w:val="2"/>
                <w:sz w:val="21"/>
                <w:szCs w:val="21"/>
                <w:highlight w:val="none"/>
                <w14:textFill>
                  <w14:solidFill>
                    <w14:schemeClr w14:val="tx1"/>
                  </w14:solidFill>
                </w14:textFill>
              </w:rPr>
              <w:t>成果验收后 30 个工作日内，</w:t>
            </w:r>
            <w:r>
              <w:rPr>
                <w:rFonts w:hint="eastAsia" w:ascii="仿宋" w:hAnsi="仿宋" w:eastAsia="仿宋" w:cs="Times New Roman"/>
                <w:bCs w:val="0"/>
                <w:color w:val="000000" w:themeColor="text1"/>
                <w:kern w:val="2"/>
                <w:sz w:val="21"/>
                <w:szCs w:val="21"/>
                <w:highlight w:val="none"/>
                <w:lang w:eastAsia="zh-CN"/>
                <w14:textFill>
                  <w14:solidFill>
                    <w14:schemeClr w14:val="tx1"/>
                  </w14:solidFill>
                </w14:textFill>
              </w:rPr>
              <w:t>采购人</w:t>
            </w:r>
            <w:r>
              <w:rPr>
                <w:rFonts w:hint="eastAsia" w:ascii="仿宋" w:hAnsi="仿宋" w:eastAsia="仿宋" w:cs="Times New Roman"/>
                <w:bCs w:val="0"/>
                <w:color w:val="000000" w:themeColor="text1"/>
                <w:kern w:val="2"/>
                <w:sz w:val="21"/>
                <w:szCs w:val="21"/>
                <w:highlight w:val="none"/>
                <w14:textFill>
                  <w14:solidFill>
                    <w14:schemeClr w14:val="tx1"/>
                  </w14:solidFill>
                </w14:textFill>
              </w:rPr>
              <w:t>支付</w:t>
            </w:r>
            <w:r>
              <w:rPr>
                <w:rFonts w:hint="eastAsia" w:ascii="仿宋" w:hAnsi="仿宋" w:eastAsia="仿宋" w:cs="Times New Roman"/>
                <w:bCs w:val="0"/>
                <w:color w:val="000000" w:themeColor="text1"/>
                <w:kern w:val="2"/>
                <w:sz w:val="21"/>
                <w:szCs w:val="21"/>
                <w:highlight w:val="none"/>
                <w:lang w:val="en-US" w:eastAsia="zh-CN"/>
                <w14:textFill>
                  <w14:solidFill>
                    <w14:schemeClr w14:val="tx1"/>
                  </w14:solidFill>
                </w14:textFill>
              </w:rPr>
              <w:t>中</w:t>
            </w:r>
            <w:r>
              <w:rPr>
                <w:rFonts w:hint="eastAsia" w:ascii="仿宋" w:hAnsi="仿宋" w:eastAsia="仿宋" w:cs="Times New Roman"/>
                <w:bCs w:val="0"/>
                <w:color w:val="000000" w:themeColor="text1"/>
                <w:kern w:val="2"/>
                <w:sz w:val="21"/>
                <w:szCs w:val="21"/>
                <w:highlight w:val="none"/>
                <w:lang w:eastAsia="zh-CN"/>
                <w14:textFill>
                  <w14:solidFill>
                    <w14:schemeClr w14:val="tx1"/>
                  </w14:solidFill>
                </w14:textFill>
              </w:rPr>
              <w:t>标人</w:t>
            </w:r>
            <w:r>
              <w:rPr>
                <w:rFonts w:hint="eastAsia" w:ascii="仿宋" w:hAnsi="仿宋" w:eastAsia="仿宋" w:cs="Times New Roman"/>
                <w:bCs w:val="0"/>
                <w:color w:val="000000" w:themeColor="text1"/>
                <w:kern w:val="2"/>
                <w:sz w:val="21"/>
                <w:szCs w:val="21"/>
                <w:highlight w:val="none"/>
                <w:lang w:val="en-US" w:eastAsia="zh-CN"/>
                <w14:textFill>
                  <w14:solidFill>
                    <w14:schemeClr w14:val="tx1"/>
                  </w14:solidFill>
                </w14:textFill>
              </w:rPr>
              <w:t>约</w:t>
            </w:r>
            <w:r>
              <w:rPr>
                <w:rFonts w:hint="eastAsia" w:ascii="仿宋" w:hAnsi="仿宋" w:eastAsia="仿宋" w:cs="Times New Roman"/>
                <w:bCs w:val="0"/>
                <w:color w:val="000000" w:themeColor="text1"/>
                <w:kern w:val="2"/>
                <w:sz w:val="21"/>
                <w:szCs w:val="21"/>
                <w:highlight w:val="none"/>
                <w14:textFill>
                  <w14:solidFill>
                    <w14:schemeClr w14:val="tx1"/>
                  </w14:solidFill>
                </w14:textFill>
              </w:rPr>
              <w:t>合同总价款的</w:t>
            </w:r>
            <w:r>
              <w:rPr>
                <w:rFonts w:hint="eastAsia" w:ascii="仿宋" w:hAnsi="仿宋" w:eastAsia="仿宋" w:cs="Times New Roman"/>
                <w:bCs w:val="0"/>
                <w:color w:val="000000" w:themeColor="text1"/>
                <w:kern w:val="2"/>
                <w:sz w:val="21"/>
                <w:szCs w:val="21"/>
                <w:highlight w:val="none"/>
                <w:u w:val="single"/>
                <w:lang w:val="en-US" w:eastAsia="zh-CN"/>
                <w14:textFill>
                  <w14:solidFill>
                    <w14:schemeClr w14:val="tx1"/>
                  </w14:solidFill>
                </w14:textFill>
              </w:rPr>
              <w:t xml:space="preserve">  20   </w:t>
            </w:r>
            <w:r>
              <w:rPr>
                <w:rFonts w:hint="eastAsia" w:ascii="仿宋" w:hAnsi="仿宋" w:eastAsia="仿宋" w:cs="Times New Roman"/>
                <w:bCs w:val="0"/>
                <w:color w:val="000000" w:themeColor="text1"/>
                <w:kern w:val="2"/>
                <w:sz w:val="21"/>
                <w:szCs w:val="21"/>
                <w:highlight w:val="none"/>
                <w14:textFill>
                  <w14:solidFill>
                    <w14:schemeClr w14:val="tx1"/>
                  </w14:solidFill>
                </w14:textFill>
              </w:rPr>
              <w:t>%。</w:t>
            </w:r>
          </w:p>
          <w:p>
            <w:pPr>
              <w:pStyle w:val="3"/>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ascii="仿宋" w:hAnsi="仿宋" w:eastAsia="仿宋" w:cs="Times New Roman"/>
                <w:bCs w:val="0"/>
                <w:color w:val="000000" w:themeColor="text1"/>
                <w:kern w:val="2"/>
                <w:sz w:val="21"/>
                <w:szCs w:val="21"/>
                <w:highlight w:val="none"/>
                <w14:textFill>
                  <w14:solidFill>
                    <w14:schemeClr w14:val="tx1"/>
                  </w14:solidFill>
                </w14:textFill>
              </w:rPr>
            </w:pPr>
            <w:r>
              <w:rPr>
                <w:rFonts w:hint="eastAsia" w:ascii="仿宋" w:hAnsi="仿宋" w:eastAsia="仿宋" w:cs="Times New Roman"/>
                <w:bCs w:val="0"/>
                <w:color w:val="000000" w:themeColor="text1"/>
                <w:kern w:val="2"/>
                <w:sz w:val="21"/>
                <w:szCs w:val="21"/>
                <w:highlight w:val="none"/>
                <w:lang w:val="en-US" w:eastAsia="zh-CN"/>
                <w14:textFill>
                  <w14:solidFill>
                    <w14:schemeClr w14:val="tx1"/>
                  </w14:solidFill>
                </w14:textFill>
              </w:rPr>
              <w:t>最终</w:t>
            </w:r>
            <w:r>
              <w:rPr>
                <w:rFonts w:hint="eastAsia" w:ascii="仿宋" w:hAnsi="仿宋" w:eastAsia="仿宋" w:cs="Times New Roman"/>
                <w:bCs w:val="0"/>
                <w:color w:val="000000" w:themeColor="text1"/>
                <w:kern w:val="2"/>
                <w:sz w:val="21"/>
                <w:szCs w:val="21"/>
                <w:highlight w:val="none"/>
                <w14:textFill>
                  <w14:solidFill>
                    <w14:schemeClr w14:val="tx1"/>
                  </w14:solidFill>
                </w14:textFill>
              </w:rPr>
              <w:t>具体以</w:t>
            </w:r>
            <w:r>
              <w:rPr>
                <w:rFonts w:hint="eastAsia" w:ascii="仿宋" w:hAnsi="仿宋" w:eastAsia="仿宋" w:cs="Times New Roman"/>
                <w:bCs w:val="0"/>
                <w:color w:val="000000" w:themeColor="text1"/>
                <w:kern w:val="2"/>
                <w:sz w:val="21"/>
                <w:szCs w:val="21"/>
                <w:highlight w:val="none"/>
                <w:lang w:val="en-US" w:eastAsia="zh-CN"/>
                <w14:textFill>
                  <w14:solidFill>
                    <w14:schemeClr w14:val="tx1"/>
                  </w14:solidFill>
                </w14:textFill>
              </w:rPr>
              <w:t>中标</w:t>
            </w:r>
            <w:r>
              <w:rPr>
                <w:rFonts w:hint="eastAsia" w:ascii="仿宋" w:hAnsi="仿宋" w:eastAsia="仿宋" w:cs="Times New Roman"/>
                <w:bCs w:val="0"/>
                <w:color w:val="000000" w:themeColor="text1"/>
                <w:kern w:val="2"/>
                <w:sz w:val="21"/>
                <w:szCs w:val="21"/>
                <w:highlight w:val="none"/>
                <w14:textFill>
                  <w14:solidFill>
                    <w14:schemeClr w14:val="tx1"/>
                  </w14:solidFill>
                </w14:textFill>
              </w:rPr>
              <w:t>合同约定为准。</w:t>
            </w:r>
          </w:p>
          <w:p>
            <w:pPr>
              <w:keepNext w:val="0"/>
              <w:keepLines w:val="0"/>
              <w:pageBreakBefore w:val="0"/>
              <w:widowControl w:val="0"/>
              <w:kinsoku/>
              <w:wordWrap/>
              <w:overflowPunct/>
              <w:topLinePunct w:val="0"/>
              <w:autoSpaceDE/>
              <w:autoSpaceDN/>
              <w:bidi w:val="0"/>
              <w:adjustRightInd/>
              <w:snapToGrid w:val="0"/>
              <w:spacing w:line="312" w:lineRule="auto"/>
              <w:jc w:val="left"/>
              <w:textAlignment w:val="auto"/>
              <w:rPr>
                <w:rFonts w:ascii="仿宋" w:hAnsi="仿宋" w:eastAsia="仿宋" w:cs="Times New Roman"/>
                <w:b/>
                <w:color w:val="000000" w:themeColor="text1"/>
                <w:sz w:val="21"/>
                <w:szCs w:val="21"/>
                <w:highlight w:val="none"/>
                <w14:textFill>
                  <w14:solidFill>
                    <w14:schemeClr w14:val="tx1"/>
                  </w14:solidFill>
                </w14:textFill>
              </w:rPr>
            </w:pPr>
            <w:r>
              <w:rPr>
                <w:rFonts w:hint="eastAsia" w:ascii="仿宋" w:hAnsi="仿宋" w:eastAsia="仿宋" w:cs="Times New Roman"/>
                <w:b/>
                <w:color w:val="000000" w:themeColor="text1"/>
                <w:sz w:val="21"/>
                <w:szCs w:val="21"/>
                <w:highlight w:val="none"/>
                <w14:textFill>
                  <w14:solidFill>
                    <w14:schemeClr w14:val="tx1"/>
                  </w14:solidFill>
                </w14:textFill>
              </w:rPr>
              <w:t>*3、履约保证金</w:t>
            </w:r>
          </w:p>
          <w:p>
            <w:pPr>
              <w:keepNext w:val="0"/>
              <w:keepLines w:val="0"/>
              <w:pageBreakBefore w:val="0"/>
              <w:widowControl w:val="0"/>
              <w:kinsoku/>
              <w:wordWrap/>
              <w:overflowPunct/>
              <w:topLinePunct w:val="0"/>
              <w:autoSpaceDE/>
              <w:autoSpaceDN/>
              <w:bidi w:val="0"/>
              <w:adjustRightInd/>
              <w:snapToGrid w:val="0"/>
              <w:spacing w:line="312" w:lineRule="auto"/>
              <w:jc w:val="left"/>
              <w:textAlignment w:val="auto"/>
              <w:rPr>
                <w:rFonts w:ascii="仿宋" w:hAnsi="仿宋" w:eastAsia="仿宋" w:cs="Times New Roman"/>
                <w:color w:val="000000" w:themeColor="text1"/>
                <w:sz w:val="21"/>
                <w:szCs w:val="21"/>
                <w:highlight w:val="none"/>
                <w14:textFill>
                  <w14:solidFill>
                    <w14:schemeClr w14:val="tx1"/>
                  </w14:solidFill>
                </w14:textFill>
              </w:rPr>
            </w:pPr>
            <w:r>
              <w:rPr>
                <w:rFonts w:hint="eastAsia" w:ascii="仿宋" w:hAnsi="仿宋" w:eastAsia="仿宋" w:cs="Times New Roman"/>
                <w:color w:val="000000" w:themeColor="text1"/>
                <w:sz w:val="21"/>
                <w:szCs w:val="21"/>
                <w:highlight w:val="none"/>
                <w14:textFill>
                  <w14:solidFill>
                    <w14:schemeClr w14:val="tx1"/>
                  </w14:solidFill>
                </w14:textFill>
              </w:rPr>
              <w:t>无</w:t>
            </w:r>
          </w:p>
          <w:p>
            <w:pPr>
              <w:keepNext w:val="0"/>
              <w:keepLines w:val="0"/>
              <w:pageBreakBefore w:val="0"/>
              <w:widowControl w:val="0"/>
              <w:kinsoku/>
              <w:wordWrap/>
              <w:overflowPunct/>
              <w:topLinePunct w:val="0"/>
              <w:autoSpaceDE/>
              <w:autoSpaceDN/>
              <w:bidi w:val="0"/>
              <w:adjustRightInd/>
              <w:snapToGrid w:val="0"/>
              <w:spacing w:line="312" w:lineRule="auto"/>
              <w:jc w:val="left"/>
              <w:textAlignment w:val="auto"/>
              <w:rPr>
                <w:rFonts w:ascii="仿宋" w:hAnsi="仿宋" w:eastAsia="仿宋" w:cs="Times New Roman"/>
                <w:b/>
                <w:color w:val="000000" w:themeColor="text1"/>
                <w:sz w:val="21"/>
                <w:szCs w:val="21"/>
                <w:highlight w:val="none"/>
                <w14:textFill>
                  <w14:solidFill>
                    <w14:schemeClr w14:val="tx1"/>
                  </w14:solidFill>
                </w14:textFill>
              </w:rPr>
            </w:pPr>
            <w:r>
              <w:rPr>
                <w:rFonts w:hint="eastAsia" w:ascii="仿宋" w:hAnsi="仿宋" w:eastAsia="仿宋" w:cs="Times New Roman"/>
                <w:b/>
                <w:color w:val="000000" w:themeColor="text1"/>
                <w:sz w:val="21"/>
                <w:szCs w:val="21"/>
                <w:highlight w:val="none"/>
                <w14:textFill>
                  <w14:solidFill>
                    <w14:schemeClr w14:val="tx1"/>
                  </w14:solidFill>
                </w14:textFill>
              </w:rPr>
              <w:t>*4、违约责任</w:t>
            </w:r>
          </w:p>
          <w:p>
            <w:pPr>
              <w:keepNext w:val="0"/>
              <w:keepLines w:val="0"/>
              <w:pageBreakBefore w:val="0"/>
              <w:widowControl w:val="0"/>
              <w:kinsoku/>
              <w:wordWrap/>
              <w:overflowPunct/>
              <w:topLinePunct w:val="0"/>
              <w:autoSpaceDE/>
              <w:autoSpaceDN/>
              <w:bidi w:val="0"/>
              <w:adjustRightInd/>
              <w:snapToGrid w:val="0"/>
              <w:spacing w:line="312" w:lineRule="auto"/>
              <w:jc w:val="left"/>
              <w:textAlignment w:val="auto"/>
              <w:rPr>
                <w:rFonts w:ascii="仿宋" w:hAnsi="仿宋" w:eastAsia="仿宋" w:cs="Times New Roman"/>
                <w:color w:val="000000" w:themeColor="text1"/>
                <w:sz w:val="21"/>
                <w:szCs w:val="21"/>
                <w:highlight w:val="none"/>
                <w14:textFill>
                  <w14:solidFill>
                    <w14:schemeClr w14:val="tx1"/>
                  </w14:solidFill>
                </w14:textFill>
              </w:rPr>
            </w:pPr>
            <w:r>
              <w:rPr>
                <w:rFonts w:hint="eastAsia" w:ascii="仿宋" w:hAnsi="仿宋" w:eastAsia="仿宋" w:cs="Times New Roman"/>
                <w:color w:val="000000" w:themeColor="text1"/>
                <w:sz w:val="21"/>
                <w:szCs w:val="21"/>
                <w:highlight w:val="none"/>
                <w14:textFill>
                  <w14:solidFill>
                    <w14:schemeClr w14:val="tx1"/>
                  </w14:solidFill>
                </w14:textFill>
              </w:rPr>
              <w:t>（1）由于</w:t>
            </w:r>
            <w:r>
              <w:rPr>
                <w:rFonts w:hint="eastAsia" w:ascii="仿宋" w:hAnsi="仿宋" w:eastAsia="仿宋" w:cs="Times New Roman"/>
                <w:color w:val="000000" w:themeColor="text1"/>
                <w:sz w:val="21"/>
                <w:szCs w:val="21"/>
                <w:highlight w:val="none"/>
                <w:lang w:eastAsia="zh-CN"/>
                <w14:textFill>
                  <w14:solidFill>
                    <w14:schemeClr w14:val="tx1"/>
                  </w14:solidFill>
                </w14:textFill>
              </w:rPr>
              <w:t>投标人</w:t>
            </w:r>
            <w:r>
              <w:rPr>
                <w:rFonts w:hint="eastAsia" w:ascii="仿宋" w:hAnsi="仿宋" w:eastAsia="仿宋" w:cs="Times New Roman"/>
                <w:color w:val="000000" w:themeColor="text1"/>
                <w:sz w:val="21"/>
                <w:szCs w:val="21"/>
                <w:highlight w:val="none"/>
                <w14:textFill>
                  <w14:solidFill>
                    <w14:schemeClr w14:val="tx1"/>
                  </w14:solidFill>
                </w14:textFill>
              </w:rPr>
              <w:t>工作的错误或遗漏造成本项目成果质量损失的，</w:t>
            </w:r>
            <w:r>
              <w:rPr>
                <w:rFonts w:hint="eastAsia" w:ascii="仿宋" w:hAnsi="仿宋" w:eastAsia="仿宋" w:cs="Times New Roman"/>
                <w:color w:val="000000" w:themeColor="text1"/>
                <w:sz w:val="21"/>
                <w:szCs w:val="21"/>
                <w:highlight w:val="none"/>
                <w:lang w:eastAsia="zh-CN"/>
                <w14:textFill>
                  <w14:solidFill>
                    <w14:schemeClr w14:val="tx1"/>
                  </w14:solidFill>
                </w14:textFill>
              </w:rPr>
              <w:t>投标人</w:t>
            </w:r>
            <w:r>
              <w:rPr>
                <w:rFonts w:hint="eastAsia" w:ascii="仿宋" w:hAnsi="仿宋" w:eastAsia="仿宋" w:cs="Times New Roman"/>
                <w:color w:val="000000" w:themeColor="text1"/>
                <w:sz w:val="21"/>
                <w:szCs w:val="21"/>
                <w:highlight w:val="none"/>
                <w14:textFill>
                  <w14:solidFill>
                    <w14:schemeClr w14:val="tx1"/>
                  </w14:solidFill>
                </w14:textFill>
              </w:rPr>
              <w:t>除负责及时采取有效补救措施外，应免收受损失部分的合同价款，并支付合同总价款3%的违约金。</w:t>
            </w:r>
          </w:p>
          <w:p>
            <w:pPr>
              <w:keepNext w:val="0"/>
              <w:keepLines w:val="0"/>
              <w:pageBreakBefore w:val="0"/>
              <w:widowControl w:val="0"/>
              <w:kinsoku/>
              <w:wordWrap/>
              <w:overflowPunct/>
              <w:topLinePunct w:val="0"/>
              <w:autoSpaceDE/>
              <w:autoSpaceDN/>
              <w:bidi w:val="0"/>
              <w:adjustRightInd/>
              <w:snapToGrid w:val="0"/>
              <w:spacing w:line="312" w:lineRule="auto"/>
              <w:jc w:val="left"/>
              <w:textAlignment w:val="auto"/>
              <w:rPr>
                <w:rFonts w:ascii="仿宋" w:hAnsi="仿宋" w:eastAsia="仿宋" w:cs="Times New Roman"/>
                <w:color w:val="000000" w:themeColor="text1"/>
                <w:sz w:val="21"/>
                <w:szCs w:val="21"/>
                <w:highlight w:val="none"/>
                <w14:textFill>
                  <w14:solidFill>
                    <w14:schemeClr w14:val="tx1"/>
                  </w14:solidFill>
                </w14:textFill>
              </w:rPr>
            </w:pPr>
            <w:r>
              <w:rPr>
                <w:rFonts w:hint="eastAsia" w:ascii="仿宋" w:hAnsi="仿宋" w:eastAsia="仿宋" w:cs="Times New Roman"/>
                <w:color w:val="000000" w:themeColor="text1"/>
                <w:sz w:val="21"/>
                <w:szCs w:val="21"/>
                <w:highlight w:val="none"/>
                <w14:textFill>
                  <w14:solidFill>
                    <w14:schemeClr w14:val="tx1"/>
                  </w14:solidFill>
                </w14:textFill>
              </w:rPr>
              <w:t>（2）</w:t>
            </w:r>
            <w:r>
              <w:rPr>
                <w:rFonts w:hint="eastAsia" w:ascii="仿宋" w:hAnsi="仿宋" w:eastAsia="仿宋" w:cs="Times New Roman"/>
                <w:color w:val="000000" w:themeColor="text1"/>
                <w:sz w:val="21"/>
                <w:szCs w:val="21"/>
                <w:highlight w:val="none"/>
                <w:lang w:eastAsia="zh-CN"/>
                <w14:textFill>
                  <w14:solidFill>
                    <w14:schemeClr w14:val="tx1"/>
                  </w14:solidFill>
                </w14:textFill>
              </w:rPr>
              <w:t>投标人</w:t>
            </w:r>
            <w:r>
              <w:rPr>
                <w:rFonts w:hint="eastAsia" w:ascii="仿宋" w:hAnsi="仿宋" w:eastAsia="仿宋" w:cs="Times New Roman"/>
                <w:color w:val="000000" w:themeColor="text1"/>
                <w:sz w:val="21"/>
                <w:szCs w:val="21"/>
                <w:highlight w:val="none"/>
                <w14:textFill>
                  <w14:solidFill>
                    <w14:schemeClr w14:val="tx1"/>
                  </w14:solidFill>
                </w14:textFill>
              </w:rPr>
              <w:t>未按本合同约定，擅自修改已经提交验收的成果文件的，应承担因此产生的一切后果，并赔偿</w:t>
            </w:r>
            <w:r>
              <w:rPr>
                <w:rFonts w:hint="eastAsia" w:ascii="仿宋" w:hAnsi="仿宋" w:eastAsia="仿宋" w:cs="Times New Roman"/>
                <w:color w:val="000000" w:themeColor="text1"/>
                <w:sz w:val="21"/>
                <w:szCs w:val="21"/>
                <w:highlight w:val="none"/>
                <w:lang w:eastAsia="zh-CN"/>
                <w14:textFill>
                  <w14:solidFill>
                    <w14:schemeClr w14:val="tx1"/>
                  </w14:solidFill>
                </w14:textFill>
              </w:rPr>
              <w:t>采购人</w:t>
            </w:r>
            <w:r>
              <w:rPr>
                <w:rFonts w:hint="eastAsia" w:ascii="仿宋" w:hAnsi="仿宋" w:eastAsia="仿宋" w:cs="Times New Roman"/>
                <w:color w:val="000000" w:themeColor="text1"/>
                <w:sz w:val="21"/>
                <w:szCs w:val="21"/>
                <w:highlight w:val="none"/>
                <w14:textFill>
                  <w14:solidFill>
                    <w14:schemeClr w14:val="tx1"/>
                  </w14:solidFill>
                </w14:textFill>
              </w:rPr>
              <w:t>合同总价款3%的违约金。</w:t>
            </w:r>
          </w:p>
          <w:p>
            <w:pPr>
              <w:keepNext w:val="0"/>
              <w:keepLines w:val="0"/>
              <w:pageBreakBefore w:val="0"/>
              <w:widowControl w:val="0"/>
              <w:kinsoku/>
              <w:wordWrap/>
              <w:overflowPunct/>
              <w:topLinePunct w:val="0"/>
              <w:autoSpaceDE/>
              <w:autoSpaceDN/>
              <w:bidi w:val="0"/>
              <w:adjustRightInd/>
              <w:snapToGrid w:val="0"/>
              <w:spacing w:line="312" w:lineRule="auto"/>
              <w:jc w:val="left"/>
              <w:textAlignment w:val="auto"/>
              <w:rPr>
                <w:rFonts w:ascii="仿宋" w:hAnsi="仿宋" w:eastAsia="仿宋" w:cs="Times New Roman"/>
                <w:color w:val="000000" w:themeColor="text1"/>
                <w:sz w:val="21"/>
                <w:szCs w:val="21"/>
                <w:highlight w:val="none"/>
                <w14:textFill>
                  <w14:solidFill>
                    <w14:schemeClr w14:val="tx1"/>
                  </w14:solidFill>
                </w14:textFill>
              </w:rPr>
            </w:pPr>
            <w:r>
              <w:rPr>
                <w:rFonts w:hint="eastAsia" w:ascii="仿宋" w:hAnsi="仿宋" w:eastAsia="仿宋" w:cs="Times New Roman"/>
                <w:color w:val="000000" w:themeColor="text1"/>
                <w:sz w:val="21"/>
                <w:szCs w:val="21"/>
                <w:highlight w:val="none"/>
                <w14:textFill>
                  <w14:solidFill>
                    <w14:schemeClr w14:val="tx1"/>
                  </w14:solidFill>
                </w14:textFill>
              </w:rPr>
              <w:t>（3）本合同履行期间，</w:t>
            </w:r>
            <w:r>
              <w:rPr>
                <w:rFonts w:hint="eastAsia" w:ascii="仿宋" w:hAnsi="仿宋" w:eastAsia="仿宋" w:cs="Times New Roman"/>
                <w:color w:val="000000" w:themeColor="text1"/>
                <w:sz w:val="21"/>
                <w:szCs w:val="21"/>
                <w:highlight w:val="none"/>
                <w:lang w:eastAsia="zh-CN"/>
                <w14:textFill>
                  <w14:solidFill>
                    <w14:schemeClr w14:val="tx1"/>
                  </w14:solidFill>
                </w14:textFill>
              </w:rPr>
              <w:t>投标人</w:t>
            </w:r>
            <w:r>
              <w:rPr>
                <w:rFonts w:hint="eastAsia" w:ascii="仿宋" w:hAnsi="仿宋" w:eastAsia="仿宋" w:cs="Times New Roman"/>
                <w:color w:val="000000" w:themeColor="text1"/>
                <w:sz w:val="21"/>
                <w:szCs w:val="21"/>
                <w:highlight w:val="none"/>
                <w14:textFill>
                  <w14:solidFill>
                    <w14:schemeClr w14:val="tx1"/>
                  </w14:solidFill>
                </w14:textFill>
              </w:rPr>
              <w:t>未能按合同约定的日期(含协商延缓的日期)提交成果的，</w:t>
            </w:r>
            <w:r>
              <w:rPr>
                <w:rFonts w:hint="eastAsia" w:ascii="仿宋" w:hAnsi="仿宋" w:eastAsia="仿宋" w:cs="Times New Roman"/>
                <w:color w:val="000000" w:themeColor="text1"/>
                <w:sz w:val="21"/>
                <w:szCs w:val="21"/>
                <w:highlight w:val="none"/>
                <w:lang w:eastAsia="zh-CN"/>
                <w14:textFill>
                  <w14:solidFill>
                    <w14:schemeClr w14:val="tx1"/>
                  </w14:solidFill>
                </w14:textFill>
              </w:rPr>
              <w:t>采购人</w:t>
            </w:r>
            <w:r>
              <w:rPr>
                <w:rFonts w:hint="eastAsia" w:ascii="仿宋" w:hAnsi="仿宋" w:eastAsia="仿宋" w:cs="Times New Roman"/>
                <w:color w:val="000000" w:themeColor="text1"/>
                <w:sz w:val="21"/>
                <w:szCs w:val="21"/>
                <w:highlight w:val="none"/>
                <w14:textFill>
                  <w14:solidFill>
                    <w14:schemeClr w14:val="tx1"/>
                  </w14:solidFill>
                </w14:textFill>
              </w:rPr>
              <w:t>有权要求</w:t>
            </w:r>
            <w:r>
              <w:rPr>
                <w:rFonts w:hint="eastAsia" w:ascii="仿宋" w:hAnsi="仿宋" w:eastAsia="仿宋" w:cs="Times New Roman"/>
                <w:color w:val="000000" w:themeColor="text1"/>
                <w:sz w:val="21"/>
                <w:szCs w:val="21"/>
                <w:highlight w:val="none"/>
                <w:lang w:eastAsia="zh-CN"/>
                <w14:textFill>
                  <w14:solidFill>
                    <w14:schemeClr w14:val="tx1"/>
                  </w14:solidFill>
                </w14:textFill>
              </w:rPr>
              <w:t>投标人</w:t>
            </w:r>
            <w:r>
              <w:rPr>
                <w:rFonts w:hint="eastAsia" w:ascii="仿宋" w:hAnsi="仿宋" w:eastAsia="仿宋" w:cs="Times New Roman"/>
                <w:color w:val="000000" w:themeColor="text1"/>
                <w:sz w:val="21"/>
                <w:szCs w:val="21"/>
                <w:highlight w:val="none"/>
                <w14:textFill>
                  <w14:solidFill>
                    <w14:schemeClr w14:val="tx1"/>
                  </w14:solidFill>
                </w14:textFill>
              </w:rPr>
              <w:t>支付该阶段合同价款每日1‰的逾期违约金，逾期违约金总额不超过合同总价款的 10%。</w:t>
            </w:r>
          </w:p>
          <w:p>
            <w:pPr>
              <w:keepNext w:val="0"/>
              <w:keepLines w:val="0"/>
              <w:pageBreakBefore w:val="0"/>
              <w:widowControl w:val="0"/>
              <w:kinsoku/>
              <w:wordWrap/>
              <w:overflowPunct/>
              <w:topLinePunct w:val="0"/>
              <w:autoSpaceDE/>
              <w:autoSpaceDN/>
              <w:bidi w:val="0"/>
              <w:adjustRightInd/>
              <w:snapToGrid w:val="0"/>
              <w:spacing w:line="312" w:lineRule="auto"/>
              <w:jc w:val="left"/>
              <w:textAlignment w:val="auto"/>
              <w:rPr>
                <w:rFonts w:ascii="仿宋" w:hAnsi="仿宋" w:eastAsia="仿宋" w:cs="Times New Roman"/>
                <w:color w:val="000000" w:themeColor="text1"/>
                <w:sz w:val="21"/>
                <w:szCs w:val="21"/>
                <w:highlight w:val="none"/>
                <w14:textFill>
                  <w14:solidFill>
                    <w14:schemeClr w14:val="tx1"/>
                  </w14:solidFill>
                </w14:textFill>
              </w:rPr>
            </w:pPr>
            <w:r>
              <w:rPr>
                <w:rFonts w:hint="eastAsia" w:ascii="仿宋" w:hAnsi="仿宋" w:eastAsia="仿宋" w:cs="Times New Roman"/>
                <w:color w:val="000000" w:themeColor="text1"/>
                <w:sz w:val="21"/>
                <w:szCs w:val="21"/>
                <w:highlight w:val="none"/>
                <w14:textFill>
                  <w14:solidFill>
                    <w14:schemeClr w14:val="tx1"/>
                  </w14:solidFill>
                </w14:textFill>
              </w:rPr>
              <w:t>（4）未经</w:t>
            </w:r>
            <w:r>
              <w:rPr>
                <w:rFonts w:hint="eastAsia" w:ascii="仿宋" w:hAnsi="仿宋" w:eastAsia="仿宋" w:cs="Times New Roman"/>
                <w:color w:val="000000" w:themeColor="text1"/>
                <w:sz w:val="21"/>
                <w:szCs w:val="21"/>
                <w:highlight w:val="none"/>
                <w:lang w:eastAsia="zh-CN"/>
                <w14:textFill>
                  <w14:solidFill>
                    <w14:schemeClr w14:val="tx1"/>
                  </w14:solidFill>
                </w14:textFill>
              </w:rPr>
              <w:t>采购人</w:t>
            </w:r>
            <w:r>
              <w:rPr>
                <w:rFonts w:hint="eastAsia" w:ascii="仿宋" w:hAnsi="仿宋" w:eastAsia="仿宋" w:cs="Times New Roman"/>
                <w:color w:val="000000" w:themeColor="text1"/>
                <w:sz w:val="21"/>
                <w:szCs w:val="21"/>
                <w:highlight w:val="none"/>
                <w14:textFill>
                  <w14:solidFill>
                    <w14:schemeClr w14:val="tx1"/>
                  </w14:solidFill>
                </w14:textFill>
              </w:rPr>
              <w:t>同意，</w:t>
            </w:r>
            <w:r>
              <w:rPr>
                <w:rFonts w:hint="eastAsia" w:ascii="仿宋" w:hAnsi="仿宋" w:eastAsia="仿宋" w:cs="Times New Roman"/>
                <w:color w:val="000000" w:themeColor="text1"/>
                <w:sz w:val="21"/>
                <w:szCs w:val="21"/>
                <w:highlight w:val="none"/>
                <w:lang w:eastAsia="zh-CN"/>
                <w14:textFill>
                  <w14:solidFill>
                    <w14:schemeClr w14:val="tx1"/>
                  </w14:solidFill>
                </w14:textFill>
              </w:rPr>
              <w:t>投标人</w:t>
            </w:r>
            <w:r>
              <w:rPr>
                <w:rFonts w:hint="eastAsia" w:ascii="仿宋" w:hAnsi="仿宋" w:eastAsia="仿宋" w:cs="Times New Roman"/>
                <w:color w:val="000000" w:themeColor="text1"/>
                <w:sz w:val="21"/>
                <w:szCs w:val="21"/>
                <w:highlight w:val="none"/>
                <w14:textFill>
                  <w14:solidFill>
                    <w14:schemeClr w14:val="tx1"/>
                  </w14:solidFill>
                </w14:textFill>
              </w:rPr>
              <w:t>擅自变更约定的项目组主要成员，</w:t>
            </w:r>
            <w:r>
              <w:rPr>
                <w:rFonts w:hint="eastAsia" w:ascii="仿宋" w:hAnsi="仿宋" w:eastAsia="仿宋" w:cs="Times New Roman"/>
                <w:color w:val="000000" w:themeColor="text1"/>
                <w:sz w:val="21"/>
                <w:szCs w:val="21"/>
                <w:highlight w:val="none"/>
                <w:lang w:eastAsia="zh-CN"/>
                <w14:textFill>
                  <w14:solidFill>
                    <w14:schemeClr w14:val="tx1"/>
                  </w14:solidFill>
                </w14:textFill>
              </w:rPr>
              <w:t>采购人</w:t>
            </w:r>
            <w:r>
              <w:rPr>
                <w:rFonts w:hint="eastAsia" w:ascii="仿宋" w:hAnsi="仿宋" w:eastAsia="仿宋" w:cs="Times New Roman"/>
                <w:color w:val="000000" w:themeColor="text1"/>
                <w:sz w:val="21"/>
                <w:szCs w:val="21"/>
                <w:highlight w:val="none"/>
                <w14:textFill>
                  <w14:solidFill>
                    <w14:schemeClr w14:val="tx1"/>
                  </w14:solidFill>
                </w14:textFill>
              </w:rPr>
              <w:t>有权责成</w:t>
            </w:r>
            <w:r>
              <w:rPr>
                <w:rFonts w:hint="eastAsia" w:ascii="仿宋" w:hAnsi="仿宋" w:eastAsia="仿宋" w:cs="Times New Roman"/>
                <w:color w:val="000000" w:themeColor="text1"/>
                <w:sz w:val="21"/>
                <w:szCs w:val="21"/>
                <w:highlight w:val="none"/>
                <w:lang w:eastAsia="zh-CN"/>
                <w14:textFill>
                  <w14:solidFill>
                    <w14:schemeClr w14:val="tx1"/>
                  </w14:solidFill>
                </w14:textFill>
              </w:rPr>
              <w:t>投标人</w:t>
            </w:r>
            <w:r>
              <w:rPr>
                <w:rFonts w:hint="eastAsia" w:ascii="仿宋" w:hAnsi="仿宋" w:eastAsia="仿宋" w:cs="Times New Roman"/>
                <w:color w:val="000000" w:themeColor="text1"/>
                <w:sz w:val="21"/>
                <w:szCs w:val="21"/>
                <w:highlight w:val="none"/>
                <w14:textFill>
                  <w14:solidFill>
                    <w14:schemeClr w14:val="tx1"/>
                  </w14:solidFill>
                </w14:textFill>
              </w:rPr>
              <w:t>采取补救措施或调整项目组主要成员构成。</w:t>
            </w:r>
          </w:p>
          <w:p>
            <w:pPr>
              <w:keepNext w:val="0"/>
              <w:keepLines w:val="0"/>
              <w:pageBreakBefore w:val="0"/>
              <w:widowControl w:val="0"/>
              <w:kinsoku/>
              <w:wordWrap/>
              <w:overflowPunct/>
              <w:topLinePunct w:val="0"/>
              <w:autoSpaceDE/>
              <w:autoSpaceDN/>
              <w:bidi w:val="0"/>
              <w:adjustRightInd/>
              <w:snapToGrid w:val="0"/>
              <w:spacing w:line="312" w:lineRule="auto"/>
              <w:jc w:val="left"/>
              <w:textAlignment w:val="auto"/>
              <w:rPr>
                <w:rFonts w:ascii="仿宋" w:hAnsi="仿宋" w:eastAsia="仿宋" w:cs="Times New Roman"/>
                <w:color w:val="000000" w:themeColor="text1"/>
                <w:sz w:val="21"/>
                <w:szCs w:val="21"/>
                <w:highlight w:val="none"/>
                <w14:textFill>
                  <w14:solidFill>
                    <w14:schemeClr w14:val="tx1"/>
                  </w14:solidFill>
                </w14:textFill>
              </w:rPr>
            </w:pPr>
            <w:r>
              <w:rPr>
                <w:rFonts w:hint="eastAsia" w:ascii="仿宋" w:hAnsi="仿宋" w:eastAsia="仿宋" w:cs="Times New Roman"/>
                <w:color w:val="000000" w:themeColor="text1"/>
                <w:sz w:val="21"/>
                <w:szCs w:val="21"/>
                <w:highlight w:val="none"/>
                <w14:textFill>
                  <w14:solidFill>
                    <w14:schemeClr w14:val="tx1"/>
                  </w14:solidFill>
                </w14:textFill>
              </w:rPr>
              <w:t>（5）本项目最终成果验收后2年以内，</w:t>
            </w:r>
            <w:r>
              <w:rPr>
                <w:rFonts w:hint="eastAsia" w:ascii="仿宋" w:hAnsi="仿宋" w:eastAsia="仿宋" w:cs="Times New Roman"/>
                <w:color w:val="000000" w:themeColor="text1"/>
                <w:sz w:val="21"/>
                <w:szCs w:val="21"/>
                <w:highlight w:val="none"/>
                <w:lang w:eastAsia="zh-CN"/>
                <w14:textFill>
                  <w14:solidFill>
                    <w14:schemeClr w14:val="tx1"/>
                  </w14:solidFill>
                </w14:textFill>
              </w:rPr>
              <w:t>投标人</w:t>
            </w:r>
            <w:r>
              <w:rPr>
                <w:rFonts w:hint="eastAsia" w:ascii="仿宋" w:hAnsi="仿宋" w:eastAsia="仿宋" w:cs="Times New Roman"/>
                <w:color w:val="000000" w:themeColor="text1"/>
                <w:sz w:val="21"/>
                <w:szCs w:val="21"/>
                <w:highlight w:val="none"/>
                <w14:textFill>
                  <w14:solidFill>
                    <w14:schemeClr w14:val="tx1"/>
                  </w14:solidFill>
                </w14:textFill>
              </w:rPr>
              <w:t>未按</w:t>
            </w:r>
            <w:r>
              <w:rPr>
                <w:rFonts w:hint="eastAsia" w:ascii="仿宋" w:hAnsi="仿宋" w:eastAsia="仿宋" w:cs="Times New Roman"/>
                <w:color w:val="000000" w:themeColor="text1"/>
                <w:sz w:val="21"/>
                <w:szCs w:val="21"/>
                <w:highlight w:val="none"/>
                <w:lang w:eastAsia="zh-CN"/>
                <w14:textFill>
                  <w14:solidFill>
                    <w14:schemeClr w14:val="tx1"/>
                  </w14:solidFill>
                </w14:textFill>
              </w:rPr>
              <w:t>采购人</w:t>
            </w:r>
            <w:r>
              <w:rPr>
                <w:rFonts w:hint="eastAsia" w:ascii="仿宋" w:hAnsi="仿宋" w:eastAsia="仿宋" w:cs="Times New Roman"/>
                <w:color w:val="000000" w:themeColor="text1"/>
                <w:sz w:val="21"/>
                <w:szCs w:val="21"/>
                <w:highlight w:val="none"/>
                <w14:textFill>
                  <w14:solidFill>
                    <w14:schemeClr w14:val="tx1"/>
                  </w14:solidFill>
                </w14:textFill>
              </w:rPr>
              <w:t>要求就本项目提供必要解释和接受咨询的，</w:t>
            </w:r>
            <w:r>
              <w:rPr>
                <w:rFonts w:hint="eastAsia" w:ascii="仿宋" w:hAnsi="仿宋" w:eastAsia="仿宋" w:cs="Times New Roman"/>
                <w:color w:val="000000" w:themeColor="text1"/>
                <w:sz w:val="21"/>
                <w:szCs w:val="21"/>
                <w:highlight w:val="none"/>
                <w:lang w:eastAsia="zh-CN"/>
                <w14:textFill>
                  <w14:solidFill>
                    <w14:schemeClr w14:val="tx1"/>
                  </w14:solidFill>
                </w14:textFill>
              </w:rPr>
              <w:t>采购人</w:t>
            </w:r>
            <w:r>
              <w:rPr>
                <w:rFonts w:hint="eastAsia" w:ascii="仿宋" w:hAnsi="仿宋" w:eastAsia="仿宋" w:cs="Times New Roman"/>
                <w:color w:val="000000" w:themeColor="text1"/>
                <w:sz w:val="21"/>
                <w:szCs w:val="21"/>
                <w:highlight w:val="none"/>
                <w14:textFill>
                  <w14:solidFill>
                    <w14:schemeClr w14:val="tx1"/>
                  </w14:solidFill>
                </w14:textFill>
              </w:rPr>
              <w:t>可要求</w:t>
            </w:r>
            <w:r>
              <w:rPr>
                <w:rFonts w:hint="eastAsia" w:ascii="仿宋" w:hAnsi="仿宋" w:eastAsia="仿宋" w:cs="Times New Roman"/>
                <w:color w:val="000000" w:themeColor="text1"/>
                <w:sz w:val="21"/>
                <w:szCs w:val="21"/>
                <w:highlight w:val="none"/>
                <w:lang w:eastAsia="zh-CN"/>
                <w14:textFill>
                  <w14:solidFill>
                    <w14:schemeClr w14:val="tx1"/>
                  </w14:solidFill>
                </w14:textFill>
              </w:rPr>
              <w:t>投标人</w:t>
            </w:r>
            <w:r>
              <w:rPr>
                <w:rFonts w:hint="eastAsia" w:ascii="仿宋" w:hAnsi="仿宋" w:eastAsia="仿宋" w:cs="Times New Roman"/>
                <w:color w:val="000000" w:themeColor="text1"/>
                <w:sz w:val="21"/>
                <w:szCs w:val="21"/>
                <w:highlight w:val="none"/>
                <w14:textFill>
                  <w14:solidFill>
                    <w14:schemeClr w14:val="tx1"/>
                  </w14:solidFill>
                </w14:textFill>
              </w:rPr>
              <w:t>返还合同总价款 5 %的费用。</w:t>
            </w:r>
          </w:p>
          <w:p>
            <w:pPr>
              <w:keepNext w:val="0"/>
              <w:keepLines w:val="0"/>
              <w:pageBreakBefore w:val="0"/>
              <w:widowControl w:val="0"/>
              <w:kinsoku/>
              <w:wordWrap/>
              <w:overflowPunct/>
              <w:topLinePunct w:val="0"/>
              <w:autoSpaceDE/>
              <w:autoSpaceDN/>
              <w:bidi w:val="0"/>
              <w:adjustRightInd/>
              <w:snapToGrid w:val="0"/>
              <w:spacing w:line="312" w:lineRule="auto"/>
              <w:jc w:val="left"/>
              <w:textAlignment w:val="auto"/>
              <w:rPr>
                <w:rFonts w:ascii="仿宋" w:hAnsi="仿宋" w:eastAsia="仿宋" w:cs="Times New Roman"/>
                <w:color w:val="000000" w:themeColor="text1"/>
                <w:sz w:val="21"/>
                <w:szCs w:val="21"/>
                <w:highlight w:val="none"/>
                <w14:textFill>
                  <w14:solidFill>
                    <w14:schemeClr w14:val="tx1"/>
                  </w14:solidFill>
                </w14:textFill>
              </w:rPr>
            </w:pPr>
            <w:r>
              <w:rPr>
                <w:rFonts w:hint="eastAsia" w:ascii="仿宋" w:hAnsi="仿宋" w:eastAsia="仿宋" w:cs="Times New Roman"/>
                <w:color w:val="000000" w:themeColor="text1"/>
                <w:sz w:val="21"/>
                <w:szCs w:val="21"/>
                <w:highlight w:val="none"/>
                <w14:textFill>
                  <w14:solidFill>
                    <w14:schemeClr w14:val="tx1"/>
                  </w14:solidFill>
                </w14:textFill>
              </w:rPr>
              <w:t>（6）合同履行期间，</w:t>
            </w:r>
            <w:r>
              <w:rPr>
                <w:rFonts w:hint="eastAsia" w:ascii="仿宋" w:hAnsi="仿宋" w:eastAsia="仿宋" w:cs="Times New Roman"/>
                <w:color w:val="000000" w:themeColor="text1"/>
                <w:sz w:val="21"/>
                <w:szCs w:val="21"/>
                <w:highlight w:val="none"/>
                <w:lang w:eastAsia="zh-CN"/>
                <w14:textFill>
                  <w14:solidFill>
                    <w14:schemeClr w14:val="tx1"/>
                  </w14:solidFill>
                </w14:textFill>
              </w:rPr>
              <w:t>投标人</w:t>
            </w:r>
            <w:r>
              <w:rPr>
                <w:rFonts w:hint="eastAsia" w:ascii="仿宋" w:hAnsi="仿宋" w:eastAsia="仿宋" w:cs="Times New Roman"/>
                <w:color w:val="000000" w:themeColor="text1"/>
                <w:sz w:val="21"/>
                <w:szCs w:val="21"/>
                <w:highlight w:val="none"/>
                <w14:textFill>
                  <w14:solidFill>
                    <w14:schemeClr w14:val="tx1"/>
                  </w14:solidFill>
                </w14:textFill>
              </w:rPr>
              <w:t>承担第三方委托的本项目研究范围内的其他项目，但未书面告知</w:t>
            </w:r>
            <w:r>
              <w:rPr>
                <w:rFonts w:hint="eastAsia" w:ascii="仿宋" w:hAnsi="仿宋" w:eastAsia="仿宋" w:cs="Times New Roman"/>
                <w:color w:val="000000" w:themeColor="text1"/>
                <w:sz w:val="21"/>
                <w:szCs w:val="21"/>
                <w:highlight w:val="none"/>
                <w:lang w:eastAsia="zh-CN"/>
                <w14:textFill>
                  <w14:solidFill>
                    <w14:schemeClr w14:val="tx1"/>
                  </w14:solidFill>
                </w14:textFill>
              </w:rPr>
              <w:t>采购人</w:t>
            </w:r>
            <w:r>
              <w:rPr>
                <w:rFonts w:hint="eastAsia" w:ascii="仿宋" w:hAnsi="仿宋" w:eastAsia="仿宋" w:cs="Times New Roman"/>
                <w:color w:val="000000" w:themeColor="text1"/>
                <w:sz w:val="21"/>
                <w:szCs w:val="21"/>
                <w:highlight w:val="none"/>
                <w14:textFill>
                  <w14:solidFill>
                    <w14:schemeClr w14:val="tx1"/>
                  </w14:solidFill>
                </w14:textFill>
              </w:rPr>
              <w:t>的，一经发现，无论合同正在履行或已履行完毕，</w:t>
            </w:r>
            <w:r>
              <w:rPr>
                <w:rFonts w:hint="eastAsia" w:ascii="仿宋" w:hAnsi="仿宋" w:eastAsia="仿宋" w:cs="Times New Roman"/>
                <w:color w:val="000000" w:themeColor="text1"/>
                <w:sz w:val="21"/>
                <w:szCs w:val="21"/>
                <w:highlight w:val="none"/>
                <w:lang w:eastAsia="zh-CN"/>
                <w14:textFill>
                  <w14:solidFill>
                    <w14:schemeClr w14:val="tx1"/>
                  </w14:solidFill>
                </w14:textFill>
              </w:rPr>
              <w:t>采购人</w:t>
            </w:r>
            <w:r>
              <w:rPr>
                <w:rFonts w:hint="eastAsia" w:ascii="仿宋" w:hAnsi="仿宋" w:eastAsia="仿宋" w:cs="Times New Roman"/>
                <w:color w:val="000000" w:themeColor="text1"/>
                <w:sz w:val="21"/>
                <w:szCs w:val="21"/>
                <w:highlight w:val="none"/>
                <w14:textFill>
                  <w14:solidFill>
                    <w14:schemeClr w14:val="tx1"/>
                  </w14:solidFill>
                </w14:textFill>
              </w:rPr>
              <w:t>均有权追究</w:t>
            </w:r>
            <w:r>
              <w:rPr>
                <w:rFonts w:hint="eastAsia" w:ascii="仿宋" w:hAnsi="仿宋" w:eastAsia="仿宋" w:cs="Times New Roman"/>
                <w:color w:val="000000" w:themeColor="text1"/>
                <w:sz w:val="21"/>
                <w:szCs w:val="21"/>
                <w:highlight w:val="none"/>
                <w:lang w:eastAsia="zh-CN"/>
                <w14:textFill>
                  <w14:solidFill>
                    <w14:schemeClr w14:val="tx1"/>
                  </w14:solidFill>
                </w14:textFill>
              </w:rPr>
              <w:t>投标人</w:t>
            </w:r>
            <w:r>
              <w:rPr>
                <w:rFonts w:hint="eastAsia" w:ascii="仿宋" w:hAnsi="仿宋" w:eastAsia="仿宋" w:cs="Times New Roman"/>
                <w:color w:val="000000" w:themeColor="text1"/>
                <w:sz w:val="21"/>
                <w:szCs w:val="21"/>
                <w:highlight w:val="none"/>
                <w14:textFill>
                  <w14:solidFill>
                    <w14:schemeClr w14:val="tx1"/>
                  </w14:solidFill>
                </w14:textFill>
              </w:rPr>
              <w:t>责任，并要求</w:t>
            </w:r>
            <w:r>
              <w:rPr>
                <w:rFonts w:hint="eastAsia" w:ascii="仿宋" w:hAnsi="仿宋" w:eastAsia="仿宋" w:cs="Times New Roman"/>
                <w:color w:val="000000" w:themeColor="text1"/>
                <w:sz w:val="21"/>
                <w:szCs w:val="21"/>
                <w:highlight w:val="none"/>
                <w:lang w:eastAsia="zh-CN"/>
                <w14:textFill>
                  <w14:solidFill>
                    <w14:schemeClr w14:val="tx1"/>
                  </w14:solidFill>
                </w14:textFill>
              </w:rPr>
              <w:t>投标人</w:t>
            </w:r>
            <w:r>
              <w:rPr>
                <w:rFonts w:hint="eastAsia" w:ascii="仿宋" w:hAnsi="仿宋" w:eastAsia="仿宋" w:cs="Times New Roman"/>
                <w:color w:val="000000" w:themeColor="text1"/>
                <w:sz w:val="21"/>
                <w:szCs w:val="21"/>
                <w:highlight w:val="none"/>
                <w14:textFill>
                  <w14:solidFill>
                    <w14:schemeClr w14:val="tx1"/>
                  </w14:solidFill>
                </w14:textFill>
              </w:rPr>
              <w:t>支付合同总价款3%的违约金。</w:t>
            </w:r>
          </w:p>
          <w:p>
            <w:pPr>
              <w:keepNext w:val="0"/>
              <w:keepLines w:val="0"/>
              <w:pageBreakBefore w:val="0"/>
              <w:widowControl w:val="0"/>
              <w:kinsoku/>
              <w:wordWrap/>
              <w:overflowPunct/>
              <w:topLinePunct w:val="0"/>
              <w:autoSpaceDE/>
              <w:autoSpaceDN/>
              <w:bidi w:val="0"/>
              <w:adjustRightInd/>
              <w:snapToGrid w:val="0"/>
              <w:spacing w:line="312" w:lineRule="auto"/>
              <w:jc w:val="left"/>
              <w:textAlignment w:val="auto"/>
              <w:rPr>
                <w:rFonts w:hint="eastAsia" w:ascii="仿宋" w:hAnsi="仿宋" w:eastAsia="仿宋" w:cs="Times New Roman"/>
                <w:color w:val="000000" w:themeColor="text1"/>
                <w:sz w:val="21"/>
                <w:szCs w:val="21"/>
                <w:highlight w:val="none"/>
                <w14:textFill>
                  <w14:solidFill>
                    <w14:schemeClr w14:val="tx1"/>
                  </w14:solidFill>
                </w14:textFill>
              </w:rPr>
            </w:pPr>
            <w:r>
              <w:rPr>
                <w:rFonts w:hint="eastAsia" w:ascii="仿宋" w:hAnsi="仿宋" w:eastAsia="仿宋" w:cs="Times New Roman"/>
                <w:color w:val="000000" w:themeColor="text1"/>
                <w:sz w:val="21"/>
                <w:szCs w:val="21"/>
                <w:highlight w:val="none"/>
                <w14:textFill>
                  <w14:solidFill>
                    <w14:schemeClr w14:val="tx1"/>
                  </w14:solidFill>
                </w14:textFill>
              </w:rPr>
              <w:t>具体以合同约定为准。</w:t>
            </w:r>
          </w:p>
          <w:p>
            <w:pPr>
              <w:keepNext w:val="0"/>
              <w:keepLines w:val="0"/>
              <w:pageBreakBefore w:val="0"/>
              <w:widowControl w:val="0"/>
              <w:kinsoku/>
              <w:wordWrap/>
              <w:overflowPunct/>
              <w:topLinePunct w:val="0"/>
              <w:autoSpaceDE/>
              <w:autoSpaceDN/>
              <w:bidi w:val="0"/>
              <w:adjustRightInd/>
              <w:snapToGrid w:val="0"/>
              <w:spacing w:line="312" w:lineRule="auto"/>
              <w:jc w:val="left"/>
              <w:textAlignment w:val="auto"/>
              <w:rPr>
                <w:rFonts w:ascii="仿宋" w:hAnsi="仿宋" w:eastAsia="仿宋" w:cs="Times New Roman"/>
                <w:b/>
                <w:color w:val="000000" w:themeColor="text1"/>
                <w:sz w:val="21"/>
                <w:szCs w:val="21"/>
                <w:highlight w:val="none"/>
                <w14:textFill>
                  <w14:solidFill>
                    <w14:schemeClr w14:val="tx1"/>
                  </w14:solidFill>
                </w14:textFill>
              </w:rPr>
            </w:pPr>
            <w:r>
              <w:rPr>
                <w:rFonts w:hint="eastAsia" w:ascii="仿宋" w:hAnsi="仿宋" w:eastAsia="仿宋" w:cs="Times New Roman"/>
                <w:b/>
                <w:color w:val="000000" w:themeColor="text1"/>
                <w:sz w:val="21"/>
                <w:szCs w:val="21"/>
                <w:highlight w:val="none"/>
                <w14:textFill>
                  <w14:solidFill>
                    <w14:schemeClr w14:val="tx1"/>
                  </w14:solidFill>
                </w14:textFill>
              </w:rPr>
              <w:t>*</w:t>
            </w:r>
            <w:r>
              <w:rPr>
                <w:rFonts w:hint="eastAsia" w:ascii="仿宋" w:hAnsi="仿宋" w:eastAsia="仿宋" w:cs="Times New Roman"/>
                <w:b/>
                <w:color w:val="000000" w:themeColor="text1"/>
                <w:sz w:val="21"/>
                <w:szCs w:val="21"/>
                <w:highlight w:val="none"/>
                <w:lang w:val="en-US" w:eastAsia="zh-CN"/>
                <w14:textFill>
                  <w14:solidFill>
                    <w14:schemeClr w14:val="tx1"/>
                  </w14:solidFill>
                </w14:textFill>
              </w:rPr>
              <w:t>5</w:t>
            </w:r>
            <w:r>
              <w:rPr>
                <w:rFonts w:hint="eastAsia" w:ascii="仿宋" w:hAnsi="仿宋" w:eastAsia="仿宋" w:cs="Times New Roman"/>
                <w:b/>
                <w:color w:val="000000" w:themeColor="text1"/>
                <w:sz w:val="21"/>
                <w:szCs w:val="21"/>
                <w:highlight w:val="none"/>
                <w14:textFill>
                  <w14:solidFill>
                    <w14:schemeClr w14:val="tx1"/>
                  </w14:solidFill>
                </w14:textFill>
              </w:rPr>
              <w:t>、服务质量监督和项目验收要求</w:t>
            </w:r>
          </w:p>
          <w:p>
            <w:pPr>
              <w:keepNext w:val="0"/>
              <w:keepLines w:val="0"/>
              <w:pageBreakBefore w:val="0"/>
              <w:widowControl w:val="0"/>
              <w:kinsoku/>
              <w:wordWrap/>
              <w:overflowPunct/>
              <w:topLinePunct w:val="0"/>
              <w:autoSpaceDE/>
              <w:autoSpaceDN/>
              <w:bidi w:val="0"/>
              <w:adjustRightInd/>
              <w:snapToGrid w:val="0"/>
              <w:spacing w:line="312" w:lineRule="auto"/>
              <w:jc w:val="left"/>
              <w:textAlignment w:val="auto"/>
              <w:rPr>
                <w:rFonts w:ascii="仿宋" w:hAnsi="仿宋" w:eastAsia="仿宋" w:cs="Times New Roman"/>
                <w:color w:val="000000" w:themeColor="text1"/>
                <w:sz w:val="21"/>
                <w:szCs w:val="21"/>
                <w:highlight w:val="none"/>
                <w14:textFill>
                  <w14:solidFill>
                    <w14:schemeClr w14:val="tx1"/>
                  </w14:solidFill>
                </w14:textFill>
              </w:rPr>
            </w:pPr>
            <w:r>
              <w:rPr>
                <w:rFonts w:hint="eastAsia" w:ascii="仿宋" w:hAnsi="仿宋" w:eastAsia="仿宋" w:cs="Times New Roman"/>
                <w:color w:val="000000" w:themeColor="text1"/>
                <w:sz w:val="21"/>
                <w:szCs w:val="21"/>
                <w:highlight w:val="none"/>
                <w14:textFill>
                  <w14:solidFill>
                    <w14:schemeClr w14:val="tx1"/>
                  </w14:solidFill>
                </w14:textFill>
              </w:rPr>
              <w:t>（1）</w:t>
            </w:r>
            <w:r>
              <w:rPr>
                <w:rFonts w:hint="eastAsia" w:ascii="仿宋" w:hAnsi="仿宋" w:eastAsia="仿宋" w:cs="Times New Roman"/>
                <w:color w:val="000000" w:themeColor="text1"/>
                <w:sz w:val="21"/>
                <w:szCs w:val="21"/>
                <w:highlight w:val="none"/>
                <w:lang w:eastAsia="zh-CN"/>
                <w14:textFill>
                  <w14:solidFill>
                    <w14:schemeClr w14:val="tx1"/>
                  </w14:solidFill>
                </w14:textFill>
              </w:rPr>
              <w:t>采购人</w:t>
            </w:r>
            <w:r>
              <w:rPr>
                <w:rFonts w:hint="eastAsia" w:ascii="仿宋" w:hAnsi="仿宋" w:eastAsia="仿宋" w:cs="Times New Roman"/>
                <w:color w:val="000000" w:themeColor="text1"/>
                <w:sz w:val="21"/>
                <w:szCs w:val="21"/>
                <w:highlight w:val="none"/>
                <w14:textFill>
                  <w14:solidFill>
                    <w14:schemeClr w14:val="tx1"/>
                  </w14:solidFill>
                </w14:textFill>
              </w:rPr>
              <w:t>负责对</w:t>
            </w:r>
            <w:r>
              <w:rPr>
                <w:rFonts w:hint="eastAsia" w:ascii="仿宋" w:hAnsi="仿宋" w:eastAsia="仿宋" w:cs="Times New Roman"/>
                <w:color w:val="000000" w:themeColor="text1"/>
                <w:sz w:val="21"/>
                <w:szCs w:val="21"/>
                <w:highlight w:val="none"/>
                <w:lang w:eastAsia="zh-CN"/>
                <w14:textFill>
                  <w14:solidFill>
                    <w14:schemeClr w14:val="tx1"/>
                  </w14:solidFill>
                </w14:textFill>
              </w:rPr>
              <w:t>投标人</w:t>
            </w:r>
            <w:r>
              <w:rPr>
                <w:rFonts w:hint="eastAsia" w:ascii="仿宋" w:hAnsi="仿宋" w:eastAsia="仿宋" w:cs="Times New Roman"/>
                <w:color w:val="000000" w:themeColor="text1"/>
                <w:sz w:val="21"/>
                <w:szCs w:val="21"/>
                <w:highlight w:val="none"/>
                <w14:textFill>
                  <w14:solidFill>
                    <w14:schemeClr w14:val="tx1"/>
                  </w14:solidFill>
                </w14:textFill>
              </w:rPr>
              <w:t>提交的最终成果组织评审。</w:t>
            </w:r>
          </w:p>
          <w:p>
            <w:pPr>
              <w:keepNext w:val="0"/>
              <w:keepLines w:val="0"/>
              <w:pageBreakBefore w:val="0"/>
              <w:widowControl w:val="0"/>
              <w:kinsoku/>
              <w:wordWrap/>
              <w:overflowPunct/>
              <w:topLinePunct w:val="0"/>
              <w:autoSpaceDE/>
              <w:autoSpaceDN/>
              <w:bidi w:val="0"/>
              <w:adjustRightInd/>
              <w:snapToGrid w:val="0"/>
              <w:spacing w:line="312" w:lineRule="auto"/>
              <w:jc w:val="left"/>
              <w:textAlignment w:val="auto"/>
              <w:rPr>
                <w:rFonts w:ascii="仿宋" w:hAnsi="仿宋" w:eastAsia="仿宋" w:cs="Times New Roman"/>
                <w:color w:val="000000" w:themeColor="text1"/>
                <w:sz w:val="21"/>
                <w:szCs w:val="21"/>
                <w:highlight w:val="none"/>
                <w14:textFill>
                  <w14:solidFill>
                    <w14:schemeClr w14:val="tx1"/>
                  </w14:solidFill>
                </w14:textFill>
              </w:rPr>
            </w:pPr>
            <w:r>
              <w:rPr>
                <w:rFonts w:hint="eastAsia" w:ascii="仿宋" w:hAnsi="仿宋" w:eastAsia="仿宋" w:cs="Times New Roman"/>
                <w:color w:val="000000" w:themeColor="text1"/>
                <w:sz w:val="21"/>
                <w:szCs w:val="21"/>
                <w:highlight w:val="none"/>
                <w14:textFill>
                  <w14:solidFill>
                    <w14:schemeClr w14:val="tx1"/>
                  </w14:solidFill>
                </w14:textFill>
              </w:rPr>
              <w:t>（2）在合同履行过程中，必要时，</w:t>
            </w:r>
            <w:r>
              <w:rPr>
                <w:rFonts w:hint="eastAsia" w:ascii="仿宋" w:hAnsi="仿宋" w:eastAsia="仿宋" w:cs="Times New Roman"/>
                <w:color w:val="000000" w:themeColor="text1"/>
                <w:sz w:val="21"/>
                <w:szCs w:val="21"/>
                <w:highlight w:val="none"/>
                <w:lang w:eastAsia="zh-CN"/>
                <w14:textFill>
                  <w14:solidFill>
                    <w14:schemeClr w14:val="tx1"/>
                  </w14:solidFill>
                </w14:textFill>
              </w:rPr>
              <w:t>采购人</w:t>
            </w: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和</w:t>
            </w:r>
            <w:r>
              <w:rPr>
                <w:rFonts w:hint="eastAsia" w:ascii="仿宋" w:hAnsi="仿宋" w:eastAsia="仿宋" w:cs="Times New Roman"/>
                <w:color w:val="000000" w:themeColor="text1"/>
                <w:sz w:val="21"/>
                <w:szCs w:val="21"/>
                <w:highlight w:val="none"/>
                <w:lang w:eastAsia="zh-CN"/>
                <w14:textFill>
                  <w14:solidFill>
                    <w14:schemeClr w14:val="tx1"/>
                  </w14:solidFill>
                </w14:textFill>
              </w:rPr>
              <w:t>投标人</w:t>
            </w:r>
            <w:r>
              <w:rPr>
                <w:rFonts w:hint="eastAsia" w:ascii="仿宋" w:hAnsi="仿宋" w:eastAsia="仿宋" w:cs="Times New Roman"/>
                <w:color w:val="000000" w:themeColor="text1"/>
                <w:sz w:val="21"/>
                <w:szCs w:val="21"/>
                <w:highlight w:val="none"/>
                <w14:textFill>
                  <w14:solidFill>
                    <w14:schemeClr w14:val="tx1"/>
                  </w14:solidFill>
                </w14:textFill>
              </w:rPr>
              <w:t>双方可以协商调整</w:t>
            </w:r>
            <w:r>
              <w:rPr>
                <w:rFonts w:hint="eastAsia" w:ascii="仿宋" w:hAnsi="仿宋" w:eastAsia="仿宋" w:cs="Times New Roman"/>
                <w:color w:val="000000" w:themeColor="text1"/>
                <w:sz w:val="21"/>
                <w:szCs w:val="21"/>
                <w:highlight w:val="none"/>
                <w:lang w:eastAsia="zh-CN"/>
                <w14:textFill>
                  <w14:solidFill>
                    <w14:schemeClr w14:val="tx1"/>
                  </w14:solidFill>
                </w14:textFill>
              </w:rPr>
              <w:t>项目</w:t>
            </w:r>
            <w:r>
              <w:rPr>
                <w:rFonts w:hint="eastAsia" w:ascii="仿宋" w:hAnsi="仿宋" w:eastAsia="仿宋" w:cs="Times New Roman"/>
                <w:color w:val="000000" w:themeColor="text1"/>
                <w:sz w:val="21"/>
                <w:szCs w:val="21"/>
                <w:highlight w:val="none"/>
                <w14:textFill>
                  <w14:solidFill>
                    <w14:schemeClr w14:val="tx1"/>
                  </w14:solidFill>
                </w14:textFill>
              </w:rPr>
              <w:t>最终成果。</w:t>
            </w:r>
            <w:r>
              <w:rPr>
                <w:rFonts w:hint="eastAsia" w:ascii="仿宋" w:hAnsi="仿宋" w:eastAsia="仿宋" w:cs="Times New Roman"/>
                <w:color w:val="000000" w:themeColor="text1"/>
                <w:sz w:val="21"/>
                <w:szCs w:val="21"/>
                <w:highlight w:val="none"/>
                <w:lang w:eastAsia="zh-CN"/>
                <w14:textFill>
                  <w14:solidFill>
                    <w14:schemeClr w14:val="tx1"/>
                  </w14:solidFill>
                </w14:textFill>
              </w:rPr>
              <w:t>采购人</w:t>
            </w:r>
            <w:r>
              <w:rPr>
                <w:rFonts w:hint="eastAsia" w:ascii="仿宋" w:hAnsi="仿宋" w:eastAsia="仿宋" w:cs="Times New Roman"/>
                <w:color w:val="000000" w:themeColor="text1"/>
                <w:sz w:val="21"/>
                <w:szCs w:val="21"/>
                <w:highlight w:val="none"/>
                <w14:textFill>
                  <w14:solidFill>
                    <w14:schemeClr w14:val="tx1"/>
                  </w14:solidFill>
                </w14:textFill>
              </w:rPr>
              <w:t>如需</w:t>
            </w:r>
            <w:r>
              <w:rPr>
                <w:rFonts w:hint="eastAsia" w:ascii="仿宋" w:hAnsi="仿宋" w:eastAsia="仿宋" w:cs="Times New Roman"/>
                <w:color w:val="000000" w:themeColor="text1"/>
                <w:sz w:val="21"/>
                <w:szCs w:val="21"/>
                <w:highlight w:val="none"/>
                <w:lang w:eastAsia="zh-CN"/>
                <w14:textFill>
                  <w14:solidFill>
                    <w14:schemeClr w14:val="tx1"/>
                  </w14:solidFill>
                </w14:textFill>
              </w:rPr>
              <w:t>投标人</w:t>
            </w:r>
            <w:r>
              <w:rPr>
                <w:rFonts w:hint="eastAsia" w:ascii="仿宋" w:hAnsi="仿宋" w:eastAsia="仿宋" w:cs="Times New Roman"/>
                <w:color w:val="000000" w:themeColor="text1"/>
                <w:sz w:val="21"/>
                <w:szCs w:val="21"/>
                <w:highlight w:val="none"/>
                <w14:textFill>
                  <w14:solidFill>
                    <w14:schemeClr w14:val="tx1"/>
                  </w14:solidFill>
                </w14:textFill>
              </w:rPr>
              <w:t>增加交付成果的数量，应由双方协商解决。</w:t>
            </w:r>
          </w:p>
          <w:p>
            <w:pPr>
              <w:pStyle w:val="21"/>
              <w:keepNext w:val="0"/>
              <w:keepLines w:val="0"/>
              <w:pageBreakBefore w:val="0"/>
              <w:widowControl w:val="0"/>
              <w:kinsoku/>
              <w:wordWrap/>
              <w:overflowPunct/>
              <w:topLinePunct w:val="0"/>
              <w:autoSpaceDE/>
              <w:autoSpaceDN/>
              <w:bidi w:val="0"/>
              <w:adjustRightInd/>
              <w:snapToGrid w:val="0"/>
              <w:spacing w:line="312" w:lineRule="auto"/>
              <w:ind w:left="0" w:leftChars="0" w:firstLine="0" w:firstLineChars="0"/>
              <w:textAlignment w:val="auto"/>
              <w:rPr>
                <w:rFonts w:hint="eastAsia"/>
              </w:rPr>
            </w:pPr>
            <w:r>
              <w:rPr>
                <w:rFonts w:hint="eastAsia" w:ascii="仿宋" w:hAnsi="仿宋" w:eastAsia="仿宋" w:cs="Times New Roman"/>
                <w:color w:val="000000" w:themeColor="text1"/>
                <w:sz w:val="21"/>
                <w:szCs w:val="21"/>
                <w:highlight w:val="none"/>
                <w14:textFill>
                  <w14:solidFill>
                    <w14:schemeClr w14:val="tx1"/>
                  </w14:solidFill>
                </w14:textFill>
              </w:rPr>
              <w:t>（3）最终成果验收合格的标志为</w:t>
            </w:r>
            <w:r>
              <w:rPr>
                <w:rFonts w:hint="eastAsia" w:ascii="仿宋" w:hAnsi="仿宋" w:eastAsia="仿宋" w:cs="Times New Roman"/>
                <w:color w:val="000000" w:themeColor="text1"/>
                <w:sz w:val="21"/>
                <w:szCs w:val="21"/>
                <w:highlight w:val="none"/>
                <w:lang w:eastAsia="zh-CN"/>
                <w14:textFill>
                  <w14:solidFill>
                    <w14:schemeClr w14:val="tx1"/>
                  </w14:solidFill>
                </w14:textFill>
              </w:rPr>
              <w:t>采购人</w:t>
            </w:r>
            <w:r>
              <w:rPr>
                <w:rFonts w:hint="eastAsia" w:ascii="仿宋" w:hAnsi="仿宋" w:eastAsia="仿宋" w:cs="Times New Roman"/>
                <w:color w:val="000000" w:themeColor="text1"/>
                <w:sz w:val="21"/>
                <w:szCs w:val="21"/>
                <w:highlight w:val="none"/>
                <w14:textFill>
                  <w14:solidFill>
                    <w14:schemeClr w14:val="tx1"/>
                  </w14:solidFill>
                </w14:textFill>
              </w:rPr>
              <w:t>审查通过。</w:t>
            </w:r>
            <w:r>
              <w:rPr>
                <w:rFonts w:ascii="仿宋" w:hAnsi="仿宋" w:eastAsia="仿宋" w:cs="Times New Roman"/>
                <w:color w:val="000000" w:themeColor="text1"/>
                <w:sz w:val="24"/>
                <w:szCs w:val="24"/>
                <w:highlight w:val="none"/>
                <w14:textFill>
                  <w14:solidFill>
                    <w14:schemeClr w14:val="tx1"/>
                  </w14:solidFill>
                </w14:textFill>
              </w:rPr>
              <w:t xml:space="preserve">  </w:t>
            </w:r>
          </w:p>
          <w:p>
            <w:pPr>
              <w:pStyle w:val="21"/>
              <w:keepNext w:val="0"/>
              <w:keepLines w:val="0"/>
              <w:pageBreakBefore w:val="0"/>
              <w:widowControl w:val="0"/>
              <w:kinsoku/>
              <w:wordWrap/>
              <w:overflowPunct/>
              <w:topLinePunct w:val="0"/>
              <w:autoSpaceDE/>
              <w:autoSpaceDN/>
              <w:bidi w:val="0"/>
              <w:adjustRightInd/>
              <w:snapToGrid w:val="0"/>
              <w:spacing w:line="312" w:lineRule="auto"/>
              <w:ind w:left="0" w:leftChars="0" w:firstLine="0" w:firstLineChars="0"/>
              <w:jc w:val="left"/>
              <w:textAlignment w:val="auto"/>
              <w:rPr>
                <w:rFonts w:hint="eastAsia" w:ascii="仿宋" w:hAnsi="仿宋" w:eastAsia="仿宋" w:cs="Times New Roman"/>
                <w:b/>
                <w:color w:val="000000" w:themeColor="text1"/>
                <w:sz w:val="21"/>
                <w:szCs w:val="21"/>
                <w:highlight w:val="none"/>
                <w14:textFill>
                  <w14:solidFill>
                    <w14:schemeClr w14:val="tx1"/>
                  </w14:solidFill>
                </w14:textFill>
              </w:rPr>
            </w:pPr>
            <w:r>
              <w:rPr>
                <w:rFonts w:hint="eastAsia" w:ascii="仿宋" w:hAnsi="仿宋" w:eastAsia="仿宋" w:cs="Times New Roman"/>
                <w:b/>
                <w:color w:val="000000" w:themeColor="text1"/>
                <w:sz w:val="21"/>
                <w:szCs w:val="21"/>
                <w:highlight w:val="none"/>
                <w:lang w:val="en-US" w:eastAsia="zh-CN"/>
                <w14:textFill>
                  <w14:solidFill>
                    <w14:schemeClr w14:val="tx1"/>
                  </w14:solidFill>
                </w14:textFill>
              </w:rPr>
              <w:t>6</w:t>
            </w:r>
            <w:r>
              <w:rPr>
                <w:rFonts w:hint="eastAsia" w:ascii="仿宋" w:hAnsi="仿宋" w:eastAsia="仿宋" w:cs="Times New Roman"/>
                <w:b/>
                <w:color w:val="000000" w:themeColor="text1"/>
                <w:sz w:val="21"/>
                <w:szCs w:val="21"/>
                <w:highlight w:val="none"/>
                <w14:textFill>
                  <w14:solidFill>
                    <w14:schemeClr w14:val="tx1"/>
                  </w14:solidFill>
                </w14:textFill>
              </w:rPr>
              <w:t>、转让和分包</w:t>
            </w:r>
          </w:p>
          <w:p>
            <w:pPr>
              <w:keepNext w:val="0"/>
              <w:keepLines w:val="0"/>
              <w:pageBreakBefore w:val="0"/>
              <w:widowControl w:val="0"/>
              <w:kinsoku/>
              <w:wordWrap/>
              <w:overflowPunct/>
              <w:topLinePunct w:val="0"/>
              <w:autoSpaceDE/>
              <w:autoSpaceDN/>
              <w:bidi w:val="0"/>
              <w:adjustRightInd/>
              <w:snapToGrid w:val="0"/>
              <w:spacing w:line="312" w:lineRule="auto"/>
              <w:jc w:val="left"/>
              <w:textAlignment w:val="auto"/>
              <w:rPr>
                <w:rFonts w:hint="eastAsia" w:ascii="仿宋" w:hAnsi="仿宋" w:eastAsia="仿宋" w:cs="Times New Roman"/>
                <w:color w:val="000000" w:themeColor="text1"/>
                <w:sz w:val="21"/>
                <w:szCs w:val="21"/>
                <w:highlight w:val="none"/>
                <w14:textFill>
                  <w14:solidFill>
                    <w14:schemeClr w14:val="tx1"/>
                  </w14:solidFill>
                </w14:textFill>
              </w:rPr>
            </w:pPr>
            <w:r>
              <w:rPr>
                <w:rFonts w:hint="eastAsia" w:ascii="仿宋" w:hAnsi="仿宋" w:eastAsia="仿宋" w:cs="Times New Roman"/>
                <w:color w:val="000000" w:themeColor="text1"/>
                <w:sz w:val="21"/>
                <w:szCs w:val="21"/>
                <w:highlight w:val="none"/>
                <w14:textFill>
                  <w14:solidFill>
                    <w14:schemeClr w14:val="tx1"/>
                  </w14:solidFill>
                </w14:textFill>
              </w:rPr>
              <w:t>未经甲方同意，乙方不得将合同标的的全部或部分转包或分包给第三方或与第三方合作，否则，乙方应承担违约责任。但根据《标定地价规程》（TD/T 1052-2017）和《关于进一步加强城市地价动态监测工作的通知》（国土资发[2008]51号）规定，为体现公示地价评估的公平公正，乙方可以采用公开招标方式引进社会评估机构对标准宗地及城市地价动态监测点进行评估（除此之外，乙方不得引进任何第三方机构开展本合同要求的工作内容）。</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 w:hAnsi="仿宋" w:eastAsia="仿宋" w:cs="仿宋"/>
                <w:color w:val="000000" w:themeColor="text1"/>
                <w:szCs w:val="21"/>
                <w:highlight w:val="none"/>
                <w14:textFill>
                  <w14:solidFill>
                    <w14:schemeClr w14:val="tx1"/>
                  </w14:solidFill>
                </w14:textFill>
              </w:rPr>
            </w:pPr>
            <w:r>
              <w:rPr>
                <w:rFonts w:ascii="仿宋" w:hAnsi="仿宋" w:eastAsia="仿宋" w:cs="Times New Roman"/>
                <w:color w:val="000000" w:themeColor="text1"/>
                <w:sz w:val="24"/>
                <w:szCs w:val="24"/>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trPr>
        <w:tc>
          <w:tcPr>
            <w:tcW w:w="1560" w:type="dxa"/>
            <w:noWrap w:val="0"/>
            <w:vAlign w:val="center"/>
          </w:tcPr>
          <w:p>
            <w:pPr>
              <w:keepNext w:val="0"/>
              <w:keepLines w:val="0"/>
              <w:pageBreakBefore w:val="0"/>
              <w:widowControl w:val="0"/>
              <w:kinsoku/>
              <w:overflowPunct/>
              <w:topLinePunct w:val="0"/>
              <w:autoSpaceDE/>
              <w:autoSpaceDN/>
              <w:bidi w:val="0"/>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具体技术要求</w:t>
            </w:r>
          </w:p>
        </w:tc>
        <w:tc>
          <w:tcPr>
            <w:tcW w:w="7407" w:type="dxa"/>
            <w:gridSpan w:val="4"/>
            <w:noWrap w:val="0"/>
            <w:vAlign w:val="top"/>
          </w:tcPr>
          <w:p>
            <w:pPr>
              <w:pStyle w:val="3"/>
              <w:keepNext w:val="0"/>
              <w:keepLines w:val="0"/>
              <w:pageBreakBefore w:val="0"/>
              <w:widowControl w:val="0"/>
              <w:kinsoku/>
              <w:wordWrap/>
              <w:overflowPunct/>
              <w:topLinePunct w:val="0"/>
              <w:autoSpaceDE/>
              <w:autoSpaceDN/>
              <w:bidi w:val="0"/>
              <w:adjustRightInd w:val="0"/>
              <w:snapToGrid w:val="0"/>
              <w:spacing w:line="312" w:lineRule="auto"/>
              <w:ind w:firstLine="420" w:firstLineChars="200"/>
              <w:textAlignment w:val="auto"/>
              <w:rPr>
                <w:rFonts w:ascii="仿宋" w:hAnsi="仿宋" w:eastAsia="仿宋" w:cs="Times New Roman"/>
                <w:bCs w:val="0"/>
                <w:color w:val="000000" w:themeColor="text1"/>
                <w:kern w:val="2"/>
                <w:sz w:val="21"/>
                <w:szCs w:val="21"/>
                <w:highlight w:val="none"/>
                <w14:textFill>
                  <w14:solidFill>
                    <w14:schemeClr w14:val="tx1"/>
                  </w14:solidFill>
                </w14:textFill>
              </w:rPr>
            </w:pPr>
            <w:r>
              <w:rPr>
                <w:rFonts w:hint="eastAsia" w:ascii="仿宋" w:hAnsi="仿宋" w:eastAsia="仿宋" w:cs="Times New Roman"/>
                <w:bCs w:val="0"/>
                <w:color w:val="000000" w:themeColor="text1"/>
                <w:kern w:val="2"/>
                <w:sz w:val="21"/>
                <w:szCs w:val="21"/>
                <w:highlight w:val="none"/>
                <w14:textFill>
                  <w14:solidFill>
                    <w14:schemeClr w14:val="tx1"/>
                  </w14:solidFill>
                </w14:textFill>
              </w:rPr>
              <w:t>本项目开展如下</w:t>
            </w:r>
            <w:r>
              <w:rPr>
                <w:rFonts w:hint="eastAsia" w:ascii="仿宋" w:hAnsi="仿宋" w:eastAsia="仿宋" w:cs="Times New Roman"/>
                <w:bCs w:val="0"/>
                <w:color w:val="000000" w:themeColor="text1"/>
                <w:kern w:val="2"/>
                <w:sz w:val="21"/>
                <w:szCs w:val="21"/>
                <w:highlight w:val="none"/>
                <w:lang w:val="en-US" w:eastAsia="zh-CN"/>
                <w14:textFill>
                  <w14:solidFill>
                    <w14:schemeClr w14:val="tx1"/>
                  </w14:solidFill>
                </w14:textFill>
              </w:rPr>
              <w:t>六</w:t>
            </w:r>
            <w:r>
              <w:rPr>
                <w:rFonts w:hint="eastAsia" w:ascii="仿宋" w:hAnsi="仿宋" w:eastAsia="仿宋" w:cs="Times New Roman"/>
                <w:bCs w:val="0"/>
                <w:color w:val="000000" w:themeColor="text1"/>
                <w:kern w:val="2"/>
                <w:sz w:val="21"/>
                <w:szCs w:val="21"/>
                <w:highlight w:val="none"/>
                <w14:textFill>
                  <w14:solidFill>
                    <w14:schemeClr w14:val="tx1"/>
                  </w14:solidFill>
                </w14:textFill>
              </w:rPr>
              <w:t>个方面的技术工作并要求如下：</w:t>
            </w:r>
          </w:p>
          <w:p>
            <w:pPr>
              <w:pStyle w:val="3"/>
              <w:keepNext w:val="0"/>
              <w:keepLines w:val="0"/>
              <w:pageBreakBefore w:val="0"/>
              <w:widowControl w:val="0"/>
              <w:numPr>
                <w:ilvl w:val="0"/>
                <w:numId w:val="2"/>
              </w:numPr>
              <w:kinsoku/>
              <w:wordWrap/>
              <w:overflowPunct/>
              <w:topLinePunct w:val="0"/>
              <w:autoSpaceDE/>
              <w:autoSpaceDN/>
              <w:bidi w:val="0"/>
              <w:adjustRightInd w:val="0"/>
              <w:snapToGrid w:val="0"/>
              <w:spacing w:line="312" w:lineRule="auto"/>
              <w:ind w:firstLine="422" w:firstLineChars="200"/>
              <w:textAlignment w:val="auto"/>
              <w:rPr>
                <w:rFonts w:ascii="仿宋" w:hAnsi="仿宋" w:eastAsia="仿宋" w:cs="Times New Roman"/>
                <w:bCs w:val="0"/>
                <w:color w:val="000000" w:themeColor="text1"/>
                <w:kern w:val="2"/>
                <w:sz w:val="21"/>
                <w:szCs w:val="21"/>
                <w:highlight w:val="none"/>
                <w14:textFill>
                  <w14:solidFill>
                    <w14:schemeClr w14:val="tx1"/>
                  </w14:solidFill>
                </w14:textFill>
              </w:rPr>
            </w:pPr>
            <w:r>
              <w:rPr>
                <w:rFonts w:hint="eastAsia" w:ascii="仿宋" w:hAnsi="仿宋" w:eastAsia="仿宋" w:cs="Times New Roman"/>
                <w:b/>
                <w:bCs w:val="0"/>
                <w:color w:val="000000" w:themeColor="text1"/>
                <w:kern w:val="2"/>
                <w:sz w:val="21"/>
                <w:szCs w:val="21"/>
                <w:highlight w:val="none"/>
                <w14:textFill>
                  <w14:solidFill>
                    <w14:schemeClr w14:val="tx1"/>
                  </w14:solidFill>
                </w14:textFill>
              </w:rPr>
              <w:t>深圳市标定地价的评估</w:t>
            </w:r>
          </w:p>
          <w:p>
            <w:pPr>
              <w:pStyle w:val="3"/>
              <w:keepNext w:val="0"/>
              <w:keepLines w:val="0"/>
              <w:pageBreakBefore w:val="0"/>
              <w:widowControl w:val="0"/>
              <w:kinsoku/>
              <w:wordWrap/>
              <w:overflowPunct/>
              <w:topLinePunct w:val="0"/>
              <w:autoSpaceDE/>
              <w:autoSpaceDN/>
              <w:bidi w:val="0"/>
              <w:adjustRightInd w:val="0"/>
              <w:snapToGrid w:val="0"/>
              <w:spacing w:line="312" w:lineRule="auto"/>
              <w:ind w:firstLine="420" w:firstLineChars="200"/>
              <w:textAlignment w:val="auto"/>
              <w:rPr>
                <w:rFonts w:hint="eastAsia" w:ascii="仿宋" w:hAnsi="仿宋" w:eastAsia="仿宋" w:cs="Times New Roman"/>
                <w:bCs w:val="0"/>
                <w:color w:val="000000" w:themeColor="text1"/>
                <w:kern w:val="2"/>
                <w:sz w:val="21"/>
                <w:szCs w:val="21"/>
                <w:highlight w:val="none"/>
                <w14:textFill>
                  <w14:solidFill>
                    <w14:schemeClr w14:val="tx1"/>
                  </w14:solidFill>
                </w14:textFill>
              </w:rPr>
            </w:pPr>
            <w:r>
              <w:rPr>
                <w:rFonts w:hint="eastAsia" w:ascii="仿宋" w:hAnsi="仿宋" w:eastAsia="仿宋" w:cs="Times New Roman"/>
                <w:bCs w:val="0"/>
                <w:color w:val="000000" w:themeColor="text1"/>
                <w:kern w:val="2"/>
                <w:sz w:val="21"/>
                <w:szCs w:val="21"/>
                <w:highlight w:val="none"/>
                <w14:textFill>
                  <w14:solidFill>
                    <w14:schemeClr w14:val="tx1"/>
                  </w14:solidFill>
                </w14:textFill>
              </w:rPr>
              <w:t>根据《标定地价规程》和自然资源部对标定地价的相关部署，结合实际情况，从更精细的角度验证和优化标定区域，全面核查并优化设立的标准宗地，基于新一年度采集的地理空间数据、房地产特征数据、房地产价格数据、收益与费用、成本与折旧等可靠有效的数据，引入市场评估机构参与按202</w:t>
            </w:r>
            <w:r>
              <w:rPr>
                <w:rFonts w:hint="eastAsia" w:ascii="仿宋" w:hAnsi="仿宋" w:eastAsia="仿宋" w:cs="Times New Roman"/>
                <w:bCs w:val="0"/>
                <w:color w:val="000000" w:themeColor="text1"/>
                <w:kern w:val="2"/>
                <w:sz w:val="21"/>
                <w:szCs w:val="21"/>
                <w:highlight w:val="none"/>
                <w:lang w:val="en-US" w:eastAsia="zh-CN"/>
                <w14:textFill>
                  <w14:solidFill>
                    <w14:schemeClr w14:val="tx1"/>
                  </w14:solidFill>
                </w14:textFill>
              </w:rPr>
              <w:t>6</w:t>
            </w:r>
            <w:r>
              <w:rPr>
                <w:rFonts w:hint="eastAsia" w:ascii="仿宋" w:hAnsi="仿宋" w:eastAsia="仿宋" w:cs="Times New Roman"/>
                <w:bCs w:val="0"/>
                <w:color w:val="000000" w:themeColor="text1"/>
                <w:kern w:val="2"/>
                <w:sz w:val="21"/>
                <w:szCs w:val="21"/>
                <w:highlight w:val="none"/>
                <w14:textFill>
                  <w14:solidFill>
                    <w14:schemeClr w14:val="tx1"/>
                  </w14:solidFill>
                </w14:textFill>
              </w:rPr>
              <w:t>年1月1日估价期日重新评估全市的标定地价，通过科学规范的管理，高质高效完成合同年度深圳市住宅、商业、办公、工业、新型产业、酒店、公共管理与服务设施、公用设施等用途标定地价评估。</w:t>
            </w:r>
          </w:p>
          <w:p>
            <w:pPr>
              <w:pStyle w:val="3"/>
              <w:keepNext w:val="0"/>
              <w:keepLines w:val="0"/>
              <w:pageBreakBefore w:val="0"/>
              <w:widowControl w:val="0"/>
              <w:numPr>
                <w:ilvl w:val="0"/>
                <w:numId w:val="2"/>
              </w:numPr>
              <w:kinsoku/>
              <w:wordWrap/>
              <w:overflowPunct/>
              <w:topLinePunct w:val="0"/>
              <w:autoSpaceDE/>
              <w:autoSpaceDN/>
              <w:bidi w:val="0"/>
              <w:adjustRightInd w:val="0"/>
              <w:snapToGrid w:val="0"/>
              <w:spacing w:line="312" w:lineRule="auto"/>
              <w:ind w:firstLine="422" w:firstLineChars="200"/>
              <w:textAlignment w:val="auto"/>
              <w:rPr>
                <w:rFonts w:ascii="仿宋" w:hAnsi="仿宋" w:eastAsia="仿宋" w:cs="Times New Roman"/>
                <w:b/>
                <w:bCs w:val="0"/>
                <w:color w:val="000000" w:themeColor="text1"/>
                <w:kern w:val="2"/>
                <w:sz w:val="21"/>
                <w:szCs w:val="21"/>
                <w:highlight w:val="none"/>
                <w14:textFill>
                  <w14:solidFill>
                    <w14:schemeClr w14:val="tx1"/>
                  </w14:solidFill>
                </w14:textFill>
              </w:rPr>
            </w:pPr>
            <w:r>
              <w:rPr>
                <w:rFonts w:hint="eastAsia" w:ascii="仿宋" w:hAnsi="仿宋" w:eastAsia="仿宋" w:cs="Times New Roman"/>
                <w:b/>
                <w:bCs w:val="0"/>
                <w:color w:val="000000" w:themeColor="text1"/>
                <w:kern w:val="2"/>
                <w:sz w:val="21"/>
                <w:szCs w:val="21"/>
                <w:highlight w:val="none"/>
                <w14:textFill>
                  <w14:solidFill>
                    <w14:schemeClr w14:val="tx1"/>
                  </w14:solidFill>
                </w14:textFill>
              </w:rPr>
              <w:t>深圳市剩余法整体估价</w:t>
            </w:r>
          </w:p>
          <w:p>
            <w:pPr>
              <w:pStyle w:val="3"/>
              <w:keepNext w:val="0"/>
              <w:keepLines w:val="0"/>
              <w:pageBreakBefore w:val="0"/>
              <w:widowControl w:val="0"/>
              <w:kinsoku/>
              <w:wordWrap/>
              <w:overflowPunct/>
              <w:topLinePunct w:val="0"/>
              <w:autoSpaceDE/>
              <w:autoSpaceDN/>
              <w:bidi w:val="0"/>
              <w:adjustRightInd w:val="0"/>
              <w:snapToGrid w:val="0"/>
              <w:spacing w:line="312" w:lineRule="auto"/>
              <w:ind w:firstLine="420" w:firstLineChars="200"/>
              <w:textAlignment w:val="auto"/>
              <w:rPr>
                <w:rFonts w:hint="eastAsia" w:ascii="仿宋" w:hAnsi="仿宋" w:eastAsia="仿宋" w:cs="Times New Roman"/>
                <w:bCs w:val="0"/>
                <w:color w:val="000000" w:themeColor="text1"/>
                <w:kern w:val="2"/>
                <w:sz w:val="21"/>
                <w:szCs w:val="21"/>
                <w:highlight w:val="none"/>
                <w14:textFill>
                  <w14:solidFill>
                    <w14:schemeClr w14:val="tx1"/>
                  </w14:solidFill>
                </w14:textFill>
              </w:rPr>
            </w:pPr>
            <w:r>
              <w:rPr>
                <w:rFonts w:hint="eastAsia" w:ascii="仿宋" w:hAnsi="仿宋" w:eastAsia="仿宋" w:cs="Times New Roman"/>
                <w:bCs w:val="0"/>
                <w:color w:val="000000" w:themeColor="text1"/>
                <w:kern w:val="2"/>
                <w:sz w:val="21"/>
                <w:szCs w:val="21"/>
                <w:highlight w:val="none"/>
                <w14:textFill>
                  <w14:solidFill>
                    <w14:schemeClr w14:val="tx1"/>
                  </w14:solidFill>
                </w14:textFill>
              </w:rPr>
              <w:t>在房地产整体估价理论与实践基础上通过对土地剩余法的拓展应用，研究深圳市土地剩余法整体估价的技术路线，逐步构建和完善深圳市土地剩余法整体估价模型，以202</w:t>
            </w:r>
            <w:r>
              <w:rPr>
                <w:rFonts w:hint="eastAsia" w:ascii="仿宋" w:hAnsi="仿宋" w:eastAsia="仿宋" w:cs="Times New Roman"/>
                <w:bCs w:val="0"/>
                <w:color w:val="000000" w:themeColor="text1"/>
                <w:kern w:val="2"/>
                <w:sz w:val="21"/>
                <w:szCs w:val="21"/>
                <w:highlight w:val="none"/>
                <w:lang w:val="en-US" w:eastAsia="zh-CN"/>
                <w14:textFill>
                  <w14:solidFill>
                    <w14:schemeClr w14:val="tx1"/>
                  </w14:solidFill>
                </w14:textFill>
              </w:rPr>
              <w:t>6</w:t>
            </w:r>
            <w:r>
              <w:rPr>
                <w:rFonts w:hint="eastAsia" w:ascii="仿宋" w:hAnsi="仿宋" w:eastAsia="仿宋" w:cs="Times New Roman"/>
                <w:bCs w:val="0"/>
                <w:color w:val="000000" w:themeColor="text1"/>
                <w:kern w:val="2"/>
                <w:sz w:val="21"/>
                <w:szCs w:val="21"/>
                <w:highlight w:val="none"/>
                <w14:textFill>
                  <w14:solidFill>
                    <w14:schemeClr w14:val="tx1"/>
                  </w14:solidFill>
                </w14:textFill>
              </w:rPr>
              <w:t>年1月1日估价期日，通过对批量评估、数理统计以及地理信息系统等关键技术的应用完成合同年度深圳市住宅、商业、办公、工业、新型产业、酒店、公共管理与服务设施、公用设施等用途土地剩余法整体估价工作。</w:t>
            </w:r>
          </w:p>
          <w:p>
            <w:pPr>
              <w:pStyle w:val="3"/>
              <w:keepNext w:val="0"/>
              <w:keepLines w:val="0"/>
              <w:pageBreakBefore w:val="0"/>
              <w:widowControl w:val="0"/>
              <w:numPr>
                <w:ilvl w:val="0"/>
                <w:numId w:val="2"/>
              </w:numPr>
              <w:kinsoku/>
              <w:wordWrap/>
              <w:overflowPunct/>
              <w:topLinePunct w:val="0"/>
              <w:autoSpaceDE/>
              <w:autoSpaceDN/>
              <w:bidi w:val="0"/>
              <w:adjustRightInd w:val="0"/>
              <w:snapToGrid w:val="0"/>
              <w:spacing w:line="312" w:lineRule="auto"/>
              <w:ind w:firstLine="422" w:firstLineChars="200"/>
              <w:textAlignment w:val="auto"/>
              <w:rPr>
                <w:rFonts w:ascii="仿宋" w:hAnsi="仿宋" w:eastAsia="仿宋" w:cs="Times New Roman"/>
                <w:b/>
                <w:bCs w:val="0"/>
                <w:color w:val="000000" w:themeColor="text1"/>
                <w:kern w:val="2"/>
                <w:sz w:val="21"/>
                <w:szCs w:val="21"/>
                <w:highlight w:val="none"/>
                <w14:textFill>
                  <w14:solidFill>
                    <w14:schemeClr w14:val="tx1"/>
                  </w14:solidFill>
                </w14:textFill>
              </w:rPr>
            </w:pPr>
            <w:r>
              <w:rPr>
                <w:rFonts w:hint="eastAsia" w:ascii="仿宋" w:hAnsi="仿宋" w:eastAsia="仿宋" w:cs="Times New Roman"/>
                <w:b/>
                <w:bCs w:val="0"/>
                <w:color w:val="000000" w:themeColor="text1"/>
                <w:kern w:val="2"/>
                <w:sz w:val="21"/>
                <w:szCs w:val="21"/>
                <w:highlight w:val="none"/>
                <w14:textFill>
                  <w14:solidFill>
                    <w14:schemeClr w14:val="tx1"/>
                  </w14:solidFill>
                </w14:textFill>
              </w:rPr>
              <w:t>深圳市土地的市场价格评估</w:t>
            </w:r>
          </w:p>
          <w:p>
            <w:pPr>
              <w:pStyle w:val="3"/>
              <w:keepNext w:val="0"/>
              <w:keepLines w:val="0"/>
              <w:pageBreakBefore w:val="0"/>
              <w:widowControl w:val="0"/>
              <w:kinsoku/>
              <w:wordWrap/>
              <w:overflowPunct/>
              <w:topLinePunct w:val="0"/>
              <w:autoSpaceDE/>
              <w:autoSpaceDN/>
              <w:bidi w:val="0"/>
              <w:adjustRightInd w:val="0"/>
              <w:snapToGrid w:val="0"/>
              <w:spacing w:line="312" w:lineRule="auto"/>
              <w:ind w:firstLine="420" w:firstLineChars="200"/>
              <w:textAlignment w:val="auto"/>
              <w:rPr>
                <w:rFonts w:hint="eastAsia" w:ascii="仿宋" w:hAnsi="仿宋" w:eastAsia="仿宋" w:cs="Times New Roman"/>
                <w:bCs w:val="0"/>
                <w:color w:val="000000" w:themeColor="text1"/>
                <w:kern w:val="2"/>
                <w:sz w:val="21"/>
                <w:szCs w:val="21"/>
                <w:highlight w:val="none"/>
                <w14:textFill>
                  <w14:solidFill>
                    <w14:schemeClr w14:val="tx1"/>
                  </w14:solidFill>
                </w14:textFill>
              </w:rPr>
            </w:pPr>
            <w:r>
              <w:rPr>
                <w:rFonts w:hint="eastAsia" w:ascii="仿宋" w:hAnsi="仿宋" w:eastAsia="仿宋" w:cs="Times New Roman"/>
                <w:bCs w:val="0"/>
                <w:color w:val="000000" w:themeColor="text1"/>
                <w:kern w:val="2"/>
                <w:sz w:val="21"/>
                <w:szCs w:val="21"/>
                <w:highlight w:val="none"/>
                <w14:textFill>
                  <w14:solidFill>
                    <w14:schemeClr w14:val="tx1"/>
                  </w14:solidFill>
                </w14:textFill>
              </w:rPr>
              <w:t>在标定地价和剩余法整体估价成果基础上，结合实际情况，研究深圳市土地的市场价格的技术路线，以标定地价系数修正法和剩余法整体估价为主要的评估方法，以202</w:t>
            </w:r>
            <w:r>
              <w:rPr>
                <w:rFonts w:hint="eastAsia" w:ascii="仿宋" w:hAnsi="仿宋" w:eastAsia="仿宋" w:cs="Times New Roman"/>
                <w:bCs w:val="0"/>
                <w:color w:val="000000" w:themeColor="text1"/>
                <w:kern w:val="2"/>
                <w:sz w:val="21"/>
                <w:szCs w:val="21"/>
                <w:highlight w:val="none"/>
                <w:lang w:val="en-US" w:eastAsia="zh-CN"/>
                <w14:textFill>
                  <w14:solidFill>
                    <w14:schemeClr w14:val="tx1"/>
                  </w14:solidFill>
                </w14:textFill>
              </w:rPr>
              <w:t>6</w:t>
            </w:r>
            <w:r>
              <w:rPr>
                <w:rFonts w:hint="eastAsia" w:ascii="仿宋" w:hAnsi="仿宋" w:eastAsia="仿宋" w:cs="Times New Roman"/>
                <w:bCs w:val="0"/>
                <w:color w:val="000000" w:themeColor="text1"/>
                <w:kern w:val="2"/>
                <w:sz w:val="21"/>
                <w:szCs w:val="21"/>
                <w:highlight w:val="none"/>
                <w14:textFill>
                  <w14:solidFill>
                    <w14:schemeClr w14:val="tx1"/>
                  </w14:solidFill>
                </w14:textFill>
              </w:rPr>
              <w:t>年1月1日估价期日，科学系统地完成合同年度深圳市住宅、商业、办公、工业、新型产业、酒店、公共管理与服务设施、公用设施等用途土地的市场价格评估工作。根据《深圳市地价测算规则》第1.3条，我市土地的市场价格采用标定地价系数修正法和剩余法（整体估价）进行评估，权重分别取70%和30%。</w:t>
            </w:r>
          </w:p>
          <w:p>
            <w:pPr>
              <w:pStyle w:val="3"/>
              <w:keepNext w:val="0"/>
              <w:keepLines w:val="0"/>
              <w:pageBreakBefore w:val="0"/>
              <w:widowControl w:val="0"/>
              <w:numPr>
                <w:ilvl w:val="0"/>
                <w:numId w:val="2"/>
              </w:numPr>
              <w:kinsoku/>
              <w:wordWrap/>
              <w:overflowPunct/>
              <w:topLinePunct w:val="0"/>
              <w:autoSpaceDE/>
              <w:autoSpaceDN/>
              <w:bidi w:val="0"/>
              <w:adjustRightInd w:val="0"/>
              <w:snapToGrid w:val="0"/>
              <w:spacing w:line="312" w:lineRule="auto"/>
              <w:ind w:firstLine="422" w:firstLineChars="200"/>
              <w:textAlignment w:val="auto"/>
              <w:rPr>
                <w:rFonts w:ascii="仿宋" w:hAnsi="仿宋" w:eastAsia="仿宋" w:cs="Times New Roman"/>
                <w:b/>
                <w:bCs w:val="0"/>
                <w:color w:val="000000" w:themeColor="text1"/>
                <w:kern w:val="2"/>
                <w:sz w:val="21"/>
                <w:szCs w:val="21"/>
                <w:highlight w:val="none"/>
                <w14:textFill>
                  <w14:solidFill>
                    <w14:schemeClr w14:val="tx1"/>
                  </w14:solidFill>
                </w14:textFill>
              </w:rPr>
            </w:pPr>
            <w:r>
              <w:rPr>
                <w:rFonts w:hint="eastAsia" w:ascii="仿宋" w:hAnsi="仿宋" w:eastAsia="仿宋" w:cs="Times New Roman"/>
                <w:b/>
                <w:bCs w:val="0"/>
                <w:color w:val="000000" w:themeColor="text1"/>
                <w:kern w:val="2"/>
                <w:sz w:val="21"/>
                <w:szCs w:val="21"/>
                <w:highlight w:val="none"/>
                <w14:textFill>
                  <w14:solidFill>
                    <w14:schemeClr w14:val="tx1"/>
                  </w14:solidFill>
                </w14:textFill>
              </w:rPr>
              <w:t>深圳市城市地价动态监测的评估</w:t>
            </w:r>
          </w:p>
          <w:p>
            <w:pPr>
              <w:pStyle w:val="3"/>
              <w:keepNext w:val="0"/>
              <w:keepLines w:val="0"/>
              <w:pageBreakBefore w:val="0"/>
              <w:widowControl w:val="0"/>
              <w:kinsoku/>
              <w:wordWrap/>
              <w:overflowPunct/>
              <w:topLinePunct w:val="0"/>
              <w:autoSpaceDE/>
              <w:autoSpaceDN/>
              <w:bidi w:val="0"/>
              <w:adjustRightInd w:val="0"/>
              <w:snapToGrid w:val="0"/>
              <w:spacing w:line="312" w:lineRule="auto"/>
              <w:ind w:firstLine="420" w:firstLineChars="200"/>
              <w:textAlignment w:val="auto"/>
              <w:rPr>
                <w:rFonts w:hint="eastAsia" w:ascii="仿宋" w:hAnsi="仿宋" w:eastAsia="仿宋" w:cs="Times New Roman"/>
                <w:bCs w:val="0"/>
                <w:color w:val="000000" w:themeColor="text1"/>
                <w:kern w:val="2"/>
                <w:sz w:val="21"/>
                <w:szCs w:val="21"/>
                <w:highlight w:val="none"/>
                <w:lang w:eastAsia="zh-CN"/>
                <w14:textFill>
                  <w14:solidFill>
                    <w14:schemeClr w14:val="tx1"/>
                  </w14:solidFill>
                </w14:textFill>
              </w:rPr>
            </w:pPr>
            <w:r>
              <w:rPr>
                <w:rFonts w:hint="eastAsia" w:ascii="仿宋" w:hAnsi="仿宋" w:eastAsia="仿宋" w:cs="Times New Roman"/>
                <w:bCs w:val="0"/>
                <w:color w:val="000000" w:themeColor="text1"/>
                <w:kern w:val="2"/>
                <w:sz w:val="21"/>
                <w:szCs w:val="21"/>
                <w:highlight w:val="none"/>
                <w14:textFill>
                  <w14:solidFill>
                    <w14:schemeClr w14:val="tx1"/>
                  </w14:solidFill>
                </w14:textFill>
              </w:rPr>
              <w:t>按照《关于进一步加强城市地价动态监测工作的通知》（国土资发〔2008〕51号）及历年《自然资源部办公厅关于部署开展自然资源评价评估工作的通知》，城市地价动态监测每季度测算公布一次深圳市地价指数，成果需要按规定上报自然资源部，为国家土地宏观调控提供依据，向《中国城市地价报告蓝皮书》、《中国地价指数报告》、《深圳市房地产年鉴》提供数据，作为深圳市各评估机构的重要工作参数。</w:t>
            </w:r>
            <w:r>
              <w:rPr>
                <w:rFonts w:hint="eastAsia" w:ascii="仿宋" w:hAnsi="仿宋" w:eastAsia="仿宋" w:cs="Times New Roman"/>
                <w:bCs w:val="0"/>
                <w:color w:val="000000" w:themeColor="text1"/>
                <w:kern w:val="2"/>
                <w:sz w:val="21"/>
                <w:szCs w:val="21"/>
                <w:highlight w:val="none"/>
                <w:lang w:val="en-US" w:eastAsia="zh-CN"/>
                <w14:textFill>
                  <w14:solidFill>
                    <w14:schemeClr w14:val="tx1"/>
                  </w14:solidFill>
                </w14:textFill>
              </w:rPr>
              <w:t>主要工作包括</w:t>
            </w:r>
            <w:r>
              <w:rPr>
                <w:rFonts w:hint="eastAsia" w:ascii="仿宋" w:hAnsi="仿宋" w:eastAsia="仿宋" w:cs="Times New Roman"/>
                <w:bCs w:val="0"/>
                <w:color w:val="000000" w:themeColor="text1"/>
                <w:kern w:val="2"/>
                <w:sz w:val="21"/>
                <w:szCs w:val="21"/>
                <w:highlight w:val="none"/>
                <w14:textFill>
                  <w14:solidFill>
                    <w14:schemeClr w14:val="tx1"/>
                  </w14:solidFill>
                </w14:textFill>
              </w:rPr>
              <w:t>不断优化监测区和监测点</w:t>
            </w:r>
            <w:r>
              <w:rPr>
                <w:rFonts w:hint="eastAsia" w:ascii="仿宋" w:hAnsi="仿宋" w:eastAsia="仿宋" w:cs="Times New Roman"/>
                <w:bCs w:val="0"/>
                <w:color w:val="000000" w:themeColor="text1"/>
                <w:kern w:val="2"/>
                <w:sz w:val="21"/>
                <w:szCs w:val="21"/>
                <w:highlight w:val="none"/>
                <w:lang w:eastAsia="zh-CN"/>
                <w14:textFill>
                  <w14:solidFill>
                    <w14:schemeClr w14:val="tx1"/>
                  </w14:solidFill>
                </w14:textFill>
              </w:rPr>
              <w:t>，</w:t>
            </w:r>
            <w:r>
              <w:rPr>
                <w:rFonts w:hint="eastAsia" w:ascii="仿宋" w:hAnsi="仿宋" w:eastAsia="仿宋" w:cs="Times New Roman"/>
                <w:bCs w:val="0"/>
                <w:color w:val="000000" w:themeColor="text1"/>
                <w:kern w:val="2"/>
                <w:sz w:val="21"/>
                <w:szCs w:val="21"/>
                <w:highlight w:val="none"/>
                <w14:textFill>
                  <w14:solidFill>
                    <w14:schemeClr w14:val="tx1"/>
                  </w14:solidFill>
                </w14:textFill>
              </w:rPr>
              <w:t>组织合格的评估人员对结果进行复查</w:t>
            </w:r>
            <w:r>
              <w:rPr>
                <w:rFonts w:hint="eastAsia" w:ascii="仿宋" w:hAnsi="仿宋" w:eastAsia="仿宋" w:cs="Times New Roman"/>
                <w:bCs w:val="0"/>
                <w:color w:val="000000" w:themeColor="text1"/>
                <w:kern w:val="2"/>
                <w:sz w:val="21"/>
                <w:szCs w:val="21"/>
                <w:highlight w:val="none"/>
                <w:lang w:eastAsia="zh-CN"/>
                <w14:textFill>
                  <w14:solidFill>
                    <w14:schemeClr w14:val="tx1"/>
                  </w14:solidFill>
                </w14:textFill>
              </w:rPr>
              <w:t>，</w:t>
            </w:r>
            <w:r>
              <w:rPr>
                <w:rFonts w:hint="eastAsia" w:ascii="仿宋" w:hAnsi="仿宋" w:eastAsia="仿宋" w:cs="Times New Roman"/>
                <w:bCs w:val="0"/>
                <w:color w:val="000000" w:themeColor="text1"/>
                <w:kern w:val="2"/>
                <w:sz w:val="21"/>
                <w:szCs w:val="21"/>
                <w:highlight w:val="none"/>
                <w14:textFill>
                  <w14:solidFill>
                    <w14:schemeClr w14:val="tx1"/>
                  </w14:solidFill>
                </w14:textFill>
              </w:rPr>
              <w:t>监测评估、统计数据上报及分析报告撰写</w:t>
            </w:r>
            <w:r>
              <w:rPr>
                <w:rFonts w:hint="eastAsia" w:ascii="仿宋" w:hAnsi="仿宋" w:eastAsia="仿宋" w:cs="Times New Roman"/>
                <w:bCs w:val="0"/>
                <w:color w:val="000000" w:themeColor="text1"/>
                <w:kern w:val="2"/>
                <w:sz w:val="21"/>
                <w:szCs w:val="21"/>
                <w:highlight w:val="none"/>
                <w:lang w:eastAsia="zh-CN"/>
                <w14:textFill>
                  <w14:solidFill>
                    <w14:schemeClr w14:val="tx1"/>
                  </w14:solidFill>
                </w14:textFill>
              </w:rPr>
              <w:t>。</w:t>
            </w:r>
          </w:p>
          <w:p>
            <w:pPr>
              <w:pStyle w:val="3"/>
              <w:keepNext w:val="0"/>
              <w:keepLines w:val="0"/>
              <w:pageBreakBefore w:val="0"/>
              <w:widowControl w:val="0"/>
              <w:numPr>
                <w:ilvl w:val="0"/>
                <w:numId w:val="2"/>
              </w:numPr>
              <w:kinsoku/>
              <w:wordWrap/>
              <w:overflowPunct/>
              <w:topLinePunct w:val="0"/>
              <w:autoSpaceDE/>
              <w:autoSpaceDN/>
              <w:bidi w:val="0"/>
              <w:adjustRightInd w:val="0"/>
              <w:snapToGrid w:val="0"/>
              <w:spacing w:line="312" w:lineRule="auto"/>
              <w:ind w:firstLine="422" w:firstLineChars="200"/>
              <w:textAlignment w:val="auto"/>
              <w:rPr>
                <w:rFonts w:hint="eastAsia" w:ascii="仿宋" w:hAnsi="仿宋" w:eastAsia="仿宋" w:cs="Times New Roman"/>
                <w:b/>
                <w:bCs w:val="0"/>
                <w:color w:val="000000" w:themeColor="text1"/>
                <w:kern w:val="2"/>
                <w:sz w:val="21"/>
                <w:szCs w:val="21"/>
                <w:highlight w:val="none"/>
                <w:lang w:eastAsia="zh-CN"/>
                <w14:textFill>
                  <w14:solidFill>
                    <w14:schemeClr w14:val="tx1"/>
                  </w14:solidFill>
                </w14:textFill>
              </w:rPr>
            </w:pPr>
            <w:r>
              <w:rPr>
                <w:rFonts w:hint="eastAsia" w:ascii="仿宋" w:hAnsi="仿宋" w:eastAsia="仿宋" w:cs="Times New Roman"/>
                <w:b/>
                <w:bCs w:val="0"/>
                <w:color w:val="000000" w:themeColor="text1"/>
                <w:kern w:val="2"/>
                <w:sz w:val="21"/>
                <w:szCs w:val="21"/>
                <w:highlight w:val="none"/>
                <w:lang w:eastAsia="zh-CN"/>
                <w14:textFill>
                  <w14:solidFill>
                    <w14:schemeClr w14:val="tx1"/>
                  </w14:solidFill>
                </w14:textFill>
              </w:rPr>
              <w:t>深圳市（前海、深汕合作区除外）新出让居住用地底价的评估与备案</w:t>
            </w:r>
          </w:p>
          <w:p>
            <w:pPr>
              <w:pStyle w:val="3"/>
              <w:keepNext w:val="0"/>
              <w:keepLines w:val="0"/>
              <w:pageBreakBefore w:val="0"/>
              <w:widowControl w:val="0"/>
              <w:kinsoku/>
              <w:wordWrap/>
              <w:overflowPunct/>
              <w:topLinePunct w:val="0"/>
              <w:autoSpaceDE/>
              <w:autoSpaceDN/>
              <w:bidi w:val="0"/>
              <w:adjustRightInd w:val="0"/>
              <w:snapToGrid w:val="0"/>
              <w:spacing w:line="312" w:lineRule="auto"/>
              <w:ind w:firstLine="420" w:firstLineChars="200"/>
              <w:textAlignment w:val="auto"/>
              <w:rPr>
                <w:rFonts w:hint="eastAsia" w:ascii="仿宋" w:hAnsi="仿宋" w:eastAsia="仿宋" w:cs="Times New Roman"/>
                <w:bCs w:val="0"/>
                <w:color w:val="000000" w:themeColor="text1"/>
                <w:kern w:val="2"/>
                <w:sz w:val="21"/>
                <w:szCs w:val="21"/>
                <w:highlight w:val="none"/>
                <w:lang w:eastAsia="zh-CN"/>
                <w14:textFill>
                  <w14:solidFill>
                    <w14:schemeClr w14:val="tx1"/>
                  </w14:solidFill>
                </w14:textFill>
              </w:rPr>
            </w:pPr>
            <w:r>
              <w:rPr>
                <w:rFonts w:hint="eastAsia" w:ascii="仿宋" w:hAnsi="仿宋" w:eastAsia="仿宋" w:cs="Times New Roman"/>
                <w:bCs w:val="0"/>
                <w:color w:val="000000" w:themeColor="text1"/>
                <w:kern w:val="2"/>
                <w:sz w:val="21"/>
                <w:szCs w:val="21"/>
                <w:highlight w:val="none"/>
                <w14:textFill>
                  <w14:solidFill>
                    <w14:schemeClr w14:val="tx1"/>
                  </w14:solidFill>
                </w14:textFill>
              </w:rPr>
              <w:t>采取土地的挂牌、招标、拍卖等方式供应土地，是国家及市委市政府确定的土地供应的重要方式。采取地价评估的方式确定地价，是实现国有土地资产价值的重要举措。根据《深圳市地价测算规则》，我市土地价格评估适用于政府采取挂牌、招标、拍卖等方式出让，而根据国家主管部门相关要求，出让底价评估需要出具评估报告并备案。工作内容主要包括：出具出让土地估价报告</w:t>
            </w:r>
            <w:r>
              <w:rPr>
                <w:rFonts w:hint="eastAsia" w:ascii="仿宋" w:hAnsi="仿宋" w:eastAsia="仿宋" w:cs="Times New Roman"/>
                <w:bCs w:val="0"/>
                <w:color w:val="000000" w:themeColor="text1"/>
                <w:kern w:val="2"/>
                <w:sz w:val="21"/>
                <w:szCs w:val="21"/>
                <w:highlight w:val="none"/>
                <w:lang w:eastAsia="zh-CN"/>
                <w14:textFill>
                  <w14:solidFill>
                    <w14:schemeClr w14:val="tx1"/>
                  </w14:solidFill>
                </w14:textFill>
              </w:rPr>
              <w:t>、</w:t>
            </w:r>
            <w:r>
              <w:rPr>
                <w:rFonts w:hint="eastAsia" w:ascii="仿宋" w:hAnsi="仿宋" w:eastAsia="仿宋" w:cs="Times New Roman"/>
                <w:bCs w:val="0"/>
                <w:color w:val="000000" w:themeColor="text1"/>
                <w:kern w:val="2"/>
                <w:sz w:val="21"/>
                <w:szCs w:val="21"/>
                <w:highlight w:val="none"/>
                <w14:textFill>
                  <w14:solidFill>
                    <w14:schemeClr w14:val="tx1"/>
                  </w14:solidFill>
                </w14:textFill>
              </w:rPr>
              <w:t>履行土地估价报告电子备案程序</w:t>
            </w:r>
            <w:r>
              <w:rPr>
                <w:rFonts w:hint="eastAsia" w:ascii="仿宋" w:hAnsi="仿宋" w:eastAsia="仿宋" w:cs="Times New Roman"/>
                <w:bCs w:val="0"/>
                <w:color w:val="000000" w:themeColor="text1"/>
                <w:kern w:val="2"/>
                <w:sz w:val="21"/>
                <w:szCs w:val="21"/>
                <w:highlight w:val="none"/>
                <w:lang w:eastAsia="zh-CN"/>
                <w14:textFill>
                  <w14:solidFill>
                    <w14:schemeClr w14:val="tx1"/>
                  </w14:solidFill>
                </w14:textFill>
              </w:rPr>
              <w:t>。</w:t>
            </w:r>
          </w:p>
          <w:p>
            <w:pPr>
              <w:pStyle w:val="3"/>
              <w:keepNext w:val="0"/>
              <w:keepLines w:val="0"/>
              <w:pageBreakBefore w:val="0"/>
              <w:widowControl w:val="0"/>
              <w:numPr>
                <w:ilvl w:val="0"/>
                <w:numId w:val="2"/>
              </w:numPr>
              <w:kinsoku/>
              <w:wordWrap/>
              <w:overflowPunct/>
              <w:topLinePunct w:val="0"/>
              <w:autoSpaceDE/>
              <w:autoSpaceDN/>
              <w:bidi w:val="0"/>
              <w:adjustRightInd w:val="0"/>
              <w:snapToGrid w:val="0"/>
              <w:spacing w:line="312" w:lineRule="auto"/>
              <w:ind w:firstLine="422" w:firstLineChars="200"/>
              <w:textAlignment w:val="auto"/>
              <w:rPr>
                <w:rFonts w:hint="eastAsia" w:ascii="仿宋" w:hAnsi="仿宋" w:eastAsia="仿宋" w:cs="Times New Roman"/>
                <w:b/>
                <w:bCs w:val="0"/>
                <w:color w:val="000000" w:themeColor="text1"/>
                <w:kern w:val="2"/>
                <w:sz w:val="21"/>
                <w:szCs w:val="21"/>
                <w:highlight w:val="none"/>
                <w:lang w:eastAsia="zh-CN"/>
                <w14:textFill>
                  <w14:solidFill>
                    <w14:schemeClr w14:val="tx1"/>
                  </w14:solidFill>
                </w14:textFill>
              </w:rPr>
            </w:pPr>
            <w:r>
              <w:rPr>
                <w:rFonts w:hint="eastAsia" w:ascii="仿宋" w:hAnsi="仿宋" w:eastAsia="仿宋" w:cs="Times New Roman"/>
                <w:b/>
                <w:bCs w:val="0"/>
                <w:color w:val="000000" w:themeColor="text1"/>
                <w:kern w:val="2"/>
                <w:sz w:val="21"/>
                <w:szCs w:val="21"/>
                <w:highlight w:val="none"/>
                <w:lang w:val="en-US" w:eastAsia="zh-CN"/>
                <w14:textFill>
                  <w14:solidFill>
                    <w14:schemeClr w14:val="tx1"/>
                  </w14:solidFill>
                </w14:textFill>
              </w:rPr>
              <w:t>深圳市土地的市场价格应用和其他研究</w:t>
            </w:r>
          </w:p>
          <w:p>
            <w:pPr>
              <w:keepNext w:val="0"/>
              <w:keepLines w:val="0"/>
              <w:pageBreakBefore w:val="0"/>
              <w:widowControl w:val="0"/>
              <w:kinsoku/>
              <w:wordWrap/>
              <w:overflowPunct/>
              <w:topLinePunct w:val="0"/>
              <w:autoSpaceDE/>
              <w:autoSpaceDN/>
              <w:bidi w:val="0"/>
              <w:adjustRightInd w:val="0"/>
              <w:snapToGrid w:val="0"/>
              <w:spacing w:line="312" w:lineRule="auto"/>
              <w:ind w:firstLine="420" w:firstLineChars="200"/>
              <w:jc w:val="left"/>
              <w:textAlignment w:val="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Times New Roman"/>
                <w:bCs w:val="0"/>
                <w:color w:val="000000" w:themeColor="text1"/>
                <w:kern w:val="2"/>
                <w:sz w:val="21"/>
                <w:szCs w:val="21"/>
                <w:highlight w:val="none"/>
                <w14:textFill>
                  <w14:solidFill>
                    <w14:schemeClr w14:val="tx1"/>
                  </w14:solidFill>
                </w14:textFill>
              </w:rPr>
              <w:t>同步开展深圳市地价测算规则的政策</w:t>
            </w:r>
            <w:r>
              <w:rPr>
                <w:rFonts w:hint="eastAsia" w:ascii="仿宋" w:hAnsi="仿宋" w:eastAsia="仿宋" w:cs="Times New Roman"/>
                <w:bCs w:val="0"/>
                <w:color w:val="000000" w:themeColor="text1"/>
                <w:kern w:val="2"/>
                <w:sz w:val="21"/>
                <w:szCs w:val="21"/>
                <w:highlight w:val="none"/>
                <w:lang w:val="en-US" w:eastAsia="zh-CN"/>
                <w14:textFill>
                  <w14:solidFill>
                    <w14:schemeClr w14:val="tx1"/>
                  </w14:solidFill>
                </w14:textFill>
              </w:rPr>
              <w:t>修订</w:t>
            </w:r>
            <w:r>
              <w:rPr>
                <w:rFonts w:hint="eastAsia" w:ascii="仿宋" w:hAnsi="仿宋" w:eastAsia="仿宋" w:cs="Times New Roman"/>
                <w:bCs w:val="0"/>
                <w:color w:val="000000" w:themeColor="text1"/>
                <w:kern w:val="2"/>
                <w:sz w:val="21"/>
                <w:szCs w:val="21"/>
                <w:highlight w:val="none"/>
                <w14:textFill>
                  <w14:solidFill>
                    <w14:schemeClr w14:val="tx1"/>
                  </w14:solidFill>
                </w14:textFill>
              </w:rPr>
              <w:t>与完善、深圳市土地的市场价格测算平台数据更新等</w:t>
            </w:r>
            <w:r>
              <w:rPr>
                <w:rFonts w:hint="eastAsia" w:ascii="仿宋" w:hAnsi="仿宋" w:eastAsia="仿宋" w:cs="Times New Roman"/>
                <w:bCs w:val="0"/>
                <w:color w:val="000000" w:themeColor="text1"/>
                <w:kern w:val="2"/>
                <w:sz w:val="21"/>
                <w:szCs w:val="21"/>
                <w:highlight w:val="none"/>
                <w:lang w:val="en-US" w:eastAsia="zh-CN"/>
                <w14:textFill>
                  <w14:solidFill>
                    <w14:schemeClr w14:val="tx1"/>
                  </w14:solidFill>
                </w14:textFill>
              </w:rPr>
              <w:t>工作</w:t>
            </w:r>
            <w:r>
              <w:rPr>
                <w:rFonts w:hint="eastAsia" w:ascii="仿宋" w:hAnsi="仿宋" w:eastAsia="仿宋" w:cs="Times New Roman"/>
                <w:bCs w:val="0"/>
                <w:color w:val="000000" w:themeColor="text1"/>
                <w:kern w:val="2"/>
                <w:sz w:val="21"/>
                <w:szCs w:val="21"/>
                <w:highlight w:val="none"/>
                <w14:textFill>
                  <w14:solidFill>
                    <w14:schemeClr w14:val="tx1"/>
                  </w14:solidFill>
                </w14:textFill>
              </w:rPr>
              <w:t>，加强对土地的市场价格的应用。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7" w:hRule="atLeast"/>
        </w:trPr>
        <w:tc>
          <w:tcPr>
            <w:tcW w:w="1560" w:type="dxa"/>
            <w:noWrap w:val="0"/>
            <w:vAlign w:val="center"/>
          </w:tcPr>
          <w:p>
            <w:pPr>
              <w:keepNext w:val="0"/>
              <w:keepLines w:val="0"/>
              <w:pageBreakBefore w:val="0"/>
              <w:widowControl w:val="0"/>
              <w:kinsoku/>
              <w:overflowPunct/>
              <w:topLinePunct w:val="0"/>
              <w:autoSpaceDE/>
              <w:autoSpaceDN/>
              <w:bidi w:val="0"/>
              <w:jc w:val="both"/>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商务需求</w:t>
            </w:r>
          </w:p>
        </w:tc>
        <w:tc>
          <w:tcPr>
            <w:tcW w:w="7407" w:type="dxa"/>
            <w:gridSpan w:val="4"/>
            <w:noWrap w:val="0"/>
            <w:vAlign w:val="top"/>
          </w:tcPr>
          <w:p>
            <w:pPr>
              <w:keepNext w:val="0"/>
              <w:keepLines w:val="0"/>
              <w:pageBreakBefore w:val="0"/>
              <w:widowControl w:val="0"/>
              <w:numPr>
                <w:ilvl w:val="0"/>
                <w:numId w:val="3"/>
              </w:numPr>
              <w:kinsoku/>
              <w:wordWrap/>
              <w:overflowPunct/>
              <w:topLinePunct w:val="0"/>
              <w:autoSpaceDE/>
              <w:autoSpaceDN/>
              <w:bidi w:val="0"/>
              <w:adjustRightInd w:val="0"/>
              <w:snapToGrid w:val="0"/>
              <w:spacing w:line="312" w:lineRule="auto"/>
              <w:ind w:firstLine="422" w:firstLineChars="20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项目概况</w:t>
            </w:r>
            <w:r>
              <w:rPr>
                <w:rFonts w:hint="eastAsia" w:ascii="仿宋" w:hAnsi="仿宋" w:eastAsia="仿宋" w:cs="仿宋"/>
                <w:color w:val="000000" w:themeColor="text1"/>
                <w:sz w:val="21"/>
                <w:szCs w:val="21"/>
                <w:highlight w:val="none"/>
                <w14:textFill>
                  <w14:solidFill>
                    <w14:schemeClr w14:val="tx1"/>
                  </w14:solidFill>
                </w14:textFill>
              </w:rPr>
              <w:t>（介绍项目的背景及项目整体情况、项目目的及建设目标）</w:t>
            </w:r>
          </w:p>
          <w:p>
            <w:pPr>
              <w:pStyle w:val="21"/>
              <w:keepNext w:val="0"/>
              <w:keepLines w:val="0"/>
              <w:pageBreakBefore w:val="0"/>
              <w:widowControl w:val="0"/>
              <w:numPr>
                <w:ilvl w:val="0"/>
                <w:numId w:val="0"/>
              </w:numPr>
              <w:kinsoku/>
              <w:wordWrap/>
              <w:overflowPunct/>
              <w:topLinePunct w:val="0"/>
              <w:autoSpaceDE/>
              <w:autoSpaceDN/>
              <w:bidi w:val="0"/>
              <w:adjustRightInd w:val="0"/>
              <w:snapToGrid w:val="0"/>
              <w:spacing w:line="312" w:lineRule="auto"/>
              <w:ind w:firstLine="420" w:firstLineChars="200"/>
              <w:textAlignment w:val="auto"/>
              <w:rPr>
                <w:rFonts w:hint="eastAsia" w:ascii="仿宋" w:hAnsi="仿宋" w:eastAsia="仿宋" w:cs="仿宋"/>
                <w:sz w:val="21"/>
                <w:szCs w:val="21"/>
              </w:rPr>
            </w:pPr>
            <w:r>
              <w:rPr>
                <w:rFonts w:hint="eastAsia" w:ascii="仿宋" w:hAnsi="仿宋" w:eastAsia="仿宋" w:cs="仿宋"/>
                <w:color w:val="000000" w:themeColor="text1"/>
                <w:sz w:val="21"/>
                <w:szCs w:val="21"/>
                <w:highlight w:val="none"/>
                <w14:textFill>
                  <w14:solidFill>
                    <w14:schemeClr w14:val="tx1"/>
                  </w14:solidFill>
                </w14:textFill>
              </w:rPr>
              <w:t>本项目开展202</w:t>
            </w:r>
            <w:r>
              <w:rPr>
                <w:rFonts w:hint="eastAsia" w:ascii="仿宋" w:hAnsi="仿宋" w:eastAsia="仿宋" w:cs="仿宋"/>
                <w:color w:val="000000" w:themeColor="text1"/>
                <w:sz w:val="21"/>
                <w:szCs w:val="21"/>
                <w:highlight w:val="none"/>
                <w:lang w:val="en-US" w:eastAsia="zh-CN"/>
                <w14:textFill>
                  <w14:solidFill>
                    <w14:schemeClr w14:val="tx1"/>
                  </w14:solidFill>
                </w14:textFill>
              </w:rPr>
              <w:t>5</w:t>
            </w:r>
            <w:r>
              <w:rPr>
                <w:rFonts w:hint="eastAsia" w:ascii="仿宋" w:hAnsi="仿宋" w:eastAsia="仿宋" w:cs="仿宋"/>
                <w:color w:val="000000" w:themeColor="text1"/>
                <w:sz w:val="21"/>
                <w:szCs w:val="21"/>
                <w:highlight w:val="none"/>
                <w14:textFill>
                  <w14:solidFill>
                    <w14:schemeClr w14:val="tx1"/>
                  </w14:solidFill>
                </w14:textFill>
              </w:rPr>
              <w:t>年度深圳市土地的市场价格评估及应用，重点是</w:t>
            </w:r>
            <w:r>
              <w:rPr>
                <w:rFonts w:hint="eastAsia" w:ascii="仿宋" w:hAnsi="仿宋" w:eastAsia="仿宋" w:cs="仿宋"/>
                <w:bCs w:val="0"/>
                <w:color w:val="000000" w:themeColor="text1"/>
                <w:kern w:val="2"/>
                <w:sz w:val="21"/>
                <w:szCs w:val="21"/>
                <w:highlight w:val="none"/>
                <w14:textFill>
                  <w14:solidFill>
                    <w14:schemeClr w14:val="tx1"/>
                  </w14:solidFill>
                </w14:textFill>
              </w:rPr>
              <w:t>基于</w:t>
            </w:r>
            <w:r>
              <w:rPr>
                <w:rFonts w:hint="eastAsia" w:ascii="仿宋" w:hAnsi="仿宋" w:eastAsia="仿宋" w:cs="仿宋"/>
                <w:bCs w:val="0"/>
                <w:color w:val="000000" w:themeColor="text1"/>
                <w:kern w:val="2"/>
                <w:sz w:val="21"/>
                <w:szCs w:val="21"/>
                <w:highlight w:val="none"/>
                <w:lang w:val="en-US" w:eastAsia="zh-CN"/>
                <w14:textFill>
                  <w14:solidFill>
                    <w14:schemeClr w14:val="tx1"/>
                  </w14:solidFill>
                </w14:textFill>
              </w:rPr>
              <w:t>2026年1月1日的估价时点，</w:t>
            </w:r>
            <w:r>
              <w:rPr>
                <w:rFonts w:hint="eastAsia" w:ascii="仿宋" w:hAnsi="仿宋" w:eastAsia="仿宋" w:cs="仿宋"/>
                <w:color w:val="000000" w:themeColor="text1"/>
                <w:sz w:val="21"/>
                <w:szCs w:val="21"/>
                <w:highlight w:val="none"/>
                <w14:textFill>
                  <w14:solidFill>
                    <w14:schemeClr w14:val="tx1"/>
                  </w14:solidFill>
                </w14:textFill>
              </w:rPr>
              <w:t>在评估标定地价和剩余法整体估价的基础上科学评估出</w:t>
            </w:r>
            <w:r>
              <w:rPr>
                <w:rFonts w:hint="eastAsia" w:ascii="仿宋" w:hAnsi="仿宋" w:eastAsia="仿宋" w:cs="仿宋"/>
                <w:color w:val="000000" w:themeColor="text1"/>
                <w:sz w:val="21"/>
                <w:szCs w:val="21"/>
                <w:highlight w:val="none"/>
                <w:lang w:val="en-US" w:eastAsia="zh-CN"/>
                <w14:textFill>
                  <w14:solidFill>
                    <w14:schemeClr w14:val="tx1"/>
                  </w14:solidFill>
                </w14:textFill>
              </w:rPr>
              <w:t>合同</w:t>
            </w:r>
            <w:r>
              <w:rPr>
                <w:rFonts w:hint="eastAsia" w:ascii="仿宋" w:hAnsi="仿宋" w:eastAsia="仿宋" w:cs="仿宋"/>
                <w:color w:val="000000" w:themeColor="text1"/>
                <w:sz w:val="21"/>
                <w:szCs w:val="21"/>
                <w:highlight w:val="none"/>
                <w14:textFill>
                  <w14:solidFill>
                    <w14:schemeClr w14:val="tx1"/>
                  </w14:solidFill>
                </w14:textFill>
              </w:rPr>
              <w:t xml:space="preserve">年度深圳市住宅、商业、办公、工业、新型产业、酒店、公共管理与服务设施、公用设施等用途土地的市场价格，开展城市地价动态监测和深圳市（前海、深汕合作区除外）新出让居住用地底价的评估与备案工作，并同步进行地价测算规则的政策修订与完善、土地的市场价格测算平台数据更新等各项工作，加强对土地的市场价格的应用服务支撑。 </w:t>
            </w:r>
          </w:p>
          <w:p>
            <w:pPr>
              <w:keepNext w:val="0"/>
              <w:keepLines w:val="0"/>
              <w:pageBreakBefore w:val="0"/>
              <w:widowControl w:val="0"/>
              <w:numPr>
                <w:ilvl w:val="0"/>
                <w:numId w:val="3"/>
              </w:numPr>
              <w:kinsoku/>
              <w:wordWrap/>
              <w:overflowPunct/>
              <w:topLinePunct w:val="0"/>
              <w:autoSpaceDE/>
              <w:autoSpaceDN/>
              <w:bidi w:val="0"/>
              <w:adjustRightInd w:val="0"/>
              <w:snapToGrid w:val="0"/>
              <w:spacing w:line="312" w:lineRule="auto"/>
              <w:ind w:left="0" w:leftChars="0" w:firstLine="422" w:firstLineChars="200"/>
              <w:jc w:val="left"/>
              <w:textAlignment w:val="auto"/>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项目所依据及参考的标准</w:t>
            </w:r>
          </w:p>
          <w:p>
            <w:pPr>
              <w:keepNext w:val="0"/>
              <w:keepLines w:val="0"/>
              <w:pageBreakBefore w:val="0"/>
              <w:widowControl w:val="0"/>
              <w:kinsoku/>
              <w:wordWrap/>
              <w:overflowPunct/>
              <w:topLinePunct w:val="0"/>
              <w:autoSpaceDE/>
              <w:autoSpaceDN/>
              <w:bidi w:val="0"/>
              <w:adjustRightInd w:val="0"/>
              <w:snapToGrid w:val="0"/>
              <w:spacing w:line="312" w:lineRule="auto"/>
              <w:ind w:firstLine="420" w:firstLineChars="20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（1）《中华人民共和国城市房地产管理法》；</w:t>
            </w:r>
          </w:p>
          <w:p>
            <w:pPr>
              <w:keepNext w:val="0"/>
              <w:keepLines w:val="0"/>
              <w:pageBreakBefore w:val="0"/>
              <w:widowControl w:val="0"/>
              <w:kinsoku/>
              <w:wordWrap/>
              <w:overflowPunct/>
              <w:topLinePunct w:val="0"/>
              <w:autoSpaceDE/>
              <w:autoSpaceDN/>
              <w:bidi w:val="0"/>
              <w:adjustRightInd w:val="0"/>
              <w:snapToGrid w:val="0"/>
              <w:spacing w:line="312" w:lineRule="auto"/>
              <w:ind w:firstLine="420" w:firstLineChars="20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（2）《广东省地价管理规定》；</w:t>
            </w:r>
          </w:p>
          <w:p>
            <w:pPr>
              <w:keepNext w:val="0"/>
              <w:keepLines w:val="0"/>
              <w:pageBreakBefore w:val="0"/>
              <w:widowControl w:val="0"/>
              <w:kinsoku/>
              <w:wordWrap/>
              <w:overflowPunct/>
              <w:topLinePunct w:val="0"/>
              <w:autoSpaceDE/>
              <w:autoSpaceDN/>
              <w:bidi w:val="0"/>
              <w:adjustRightInd w:val="0"/>
              <w:snapToGrid w:val="0"/>
              <w:spacing w:line="312" w:lineRule="auto"/>
              <w:ind w:firstLine="420" w:firstLineChars="20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（3）《城镇土地分等定级规程》（GB/T 18507-2014）；</w:t>
            </w:r>
          </w:p>
          <w:p>
            <w:pPr>
              <w:keepNext w:val="0"/>
              <w:keepLines w:val="0"/>
              <w:pageBreakBefore w:val="0"/>
              <w:widowControl w:val="0"/>
              <w:kinsoku/>
              <w:wordWrap/>
              <w:overflowPunct/>
              <w:topLinePunct w:val="0"/>
              <w:autoSpaceDE/>
              <w:autoSpaceDN/>
              <w:bidi w:val="0"/>
              <w:adjustRightInd w:val="0"/>
              <w:snapToGrid w:val="0"/>
              <w:spacing w:line="312" w:lineRule="auto"/>
              <w:ind w:firstLine="420" w:firstLineChars="20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（4）《城镇土地估价规程》（GB/T 18508-2014）；</w:t>
            </w:r>
          </w:p>
          <w:p>
            <w:pPr>
              <w:keepNext w:val="0"/>
              <w:keepLines w:val="0"/>
              <w:pageBreakBefore w:val="0"/>
              <w:widowControl w:val="0"/>
              <w:kinsoku/>
              <w:wordWrap/>
              <w:overflowPunct/>
              <w:topLinePunct w:val="0"/>
              <w:autoSpaceDE/>
              <w:autoSpaceDN/>
              <w:bidi w:val="0"/>
              <w:adjustRightInd w:val="0"/>
              <w:snapToGrid w:val="0"/>
              <w:spacing w:line="312" w:lineRule="auto"/>
              <w:ind w:firstLine="420" w:firstLineChars="20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（5）《标定地价规程》（TD/T 1052-2017）；</w:t>
            </w:r>
          </w:p>
          <w:p>
            <w:pPr>
              <w:keepNext w:val="0"/>
              <w:keepLines w:val="0"/>
              <w:pageBreakBefore w:val="0"/>
              <w:widowControl w:val="0"/>
              <w:kinsoku/>
              <w:wordWrap/>
              <w:overflowPunct/>
              <w:topLinePunct w:val="0"/>
              <w:autoSpaceDE/>
              <w:autoSpaceDN/>
              <w:bidi w:val="0"/>
              <w:adjustRightInd w:val="0"/>
              <w:snapToGrid w:val="0"/>
              <w:spacing w:line="312" w:lineRule="auto"/>
              <w:ind w:firstLine="420" w:firstLineChars="20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（6）《国土资源部广东省人民政府关于深圳市土地管理制度改革总体方案的批复》（国土资函〔2012〕138号）；</w:t>
            </w:r>
          </w:p>
          <w:p>
            <w:pPr>
              <w:keepNext w:val="0"/>
              <w:keepLines w:val="0"/>
              <w:pageBreakBefore w:val="0"/>
              <w:widowControl w:val="0"/>
              <w:kinsoku/>
              <w:wordWrap/>
              <w:overflowPunct/>
              <w:topLinePunct w:val="0"/>
              <w:autoSpaceDE/>
              <w:autoSpaceDN/>
              <w:bidi w:val="0"/>
              <w:adjustRightInd w:val="0"/>
              <w:snapToGrid w:val="0"/>
              <w:spacing w:line="312" w:lineRule="auto"/>
              <w:ind w:firstLine="420" w:firstLineChars="20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（7）《国土资源部办公厅关于部署开展2016年度城乡地价调查与监测工作的通知》（国土资厅发〔2016〕17号）</w:t>
            </w:r>
          </w:p>
          <w:p>
            <w:pPr>
              <w:keepNext w:val="0"/>
              <w:keepLines w:val="0"/>
              <w:pageBreakBefore w:val="0"/>
              <w:widowControl w:val="0"/>
              <w:kinsoku/>
              <w:wordWrap/>
              <w:overflowPunct/>
              <w:topLinePunct w:val="0"/>
              <w:autoSpaceDE/>
              <w:autoSpaceDN/>
              <w:bidi w:val="0"/>
              <w:adjustRightInd w:val="0"/>
              <w:snapToGrid w:val="0"/>
              <w:spacing w:line="312" w:lineRule="auto"/>
              <w:ind w:firstLine="420" w:firstLineChars="20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（8）《国土资源部办公厅关于部署开展2017年城乡地价调查与监测工作的通知》（国土资厅发〔2017〕16号）</w:t>
            </w:r>
          </w:p>
          <w:p>
            <w:pPr>
              <w:keepNext w:val="0"/>
              <w:keepLines w:val="0"/>
              <w:pageBreakBefore w:val="0"/>
              <w:widowControl w:val="0"/>
              <w:kinsoku/>
              <w:wordWrap/>
              <w:overflowPunct/>
              <w:topLinePunct w:val="0"/>
              <w:autoSpaceDE/>
              <w:autoSpaceDN/>
              <w:bidi w:val="0"/>
              <w:adjustRightInd w:val="0"/>
              <w:snapToGrid w:val="0"/>
              <w:spacing w:line="312" w:lineRule="auto"/>
              <w:ind w:firstLine="420" w:firstLineChars="20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（9）《自然资源部办公厅关于部署开展2018年城乡地价调查与监测工作的通知》（自然资办发〔2018〕10号）</w:t>
            </w:r>
          </w:p>
          <w:p>
            <w:pPr>
              <w:keepNext w:val="0"/>
              <w:keepLines w:val="0"/>
              <w:pageBreakBefore w:val="0"/>
              <w:widowControl w:val="0"/>
              <w:kinsoku/>
              <w:wordWrap/>
              <w:overflowPunct/>
              <w:topLinePunct w:val="0"/>
              <w:autoSpaceDE/>
              <w:autoSpaceDN/>
              <w:bidi w:val="0"/>
              <w:adjustRightInd w:val="0"/>
              <w:snapToGrid w:val="0"/>
              <w:spacing w:line="312" w:lineRule="auto"/>
              <w:ind w:firstLine="420" w:firstLineChars="20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（10）《自然资源部办公厅关于部署开展2019年度自然资源评价评估工作的通知》（自然资办发〔2019〕36号）</w:t>
            </w:r>
          </w:p>
          <w:p>
            <w:pPr>
              <w:keepNext w:val="0"/>
              <w:keepLines w:val="0"/>
              <w:pageBreakBefore w:val="0"/>
              <w:widowControl w:val="0"/>
              <w:kinsoku/>
              <w:wordWrap/>
              <w:overflowPunct/>
              <w:topLinePunct w:val="0"/>
              <w:autoSpaceDE/>
              <w:autoSpaceDN/>
              <w:bidi w:val="0"/>
              <w:adjustRightInd w:val="0"/>
              <w:snapToGrid w:val="0"/>
              <w:spacing w:line="312" w:lineRule="auto"/>
              <w:ind w:firstLine="420" w:firstLineChars="20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（11）《深圳市人民政府办公厅关于印发深圳市地价测算规则的通知》（深府办规〔2019〕9号）</w:t>
            </w:r>
          </w:p>
          <w:p>
            <w:pPr>
              <w:keepNext w:val="0"/>
              <w:keepLines w:val="0"/>
              <w:pageBreakBefore w:val="0"/>
              <w:widowControl w:val="0"/>
              <w:kinsoku/>
              <w:wordWrap/>
              <w:overflowPunct/>
              <w:topLinePunct w:val="0"/>
              <w:autoSpaceDE/>
              <w:autoSpaceDN/>
              <w:bidi w:val="0"/>
              <w:adjustRightInd w:val="0"/>
              <w:snapToGrid w:val="0"/>
              <w:spacing w:line="312" w:lineRule="auto"/>
              <w:ind w:firstLine="420" w:firstLineChars="20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（12）《深圳市规划和自然资源局关于发布深圳市2018年度标定地价成果的通告》（深规划自然〔2019〕562号）</w:t>
            </w:r>
          </w:p>
          <w:p>
            <w:pPr>
              <w:keepNext w:val="0"/>
              <w:keepLines w:val="0"/>
              <w:pageBreakBefore w:val="0"/>
              <w:widowControl w:val="0"/>
              <w:kinsoku/>
              <w:wordWrap/>
              <w:overflowPunct/>
              <w:topLinePunct w:val="0"/>
              <w:autoSpaceDE/>
              <w:autoSpaceDN/>
              <w:bidi w:val="0"/>
              <w:adjustRightInd w:val="0"/>
              <w:snapToGrid w:val="0"/>
              <w:spacing w:line="312" w:lineRule="auto"/>
              <w:ind w:firstLine="420" w:firstLineChars="20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（13）《自然资源部办公厅关于部署开展2020年度自然资源评价评估工作的通知》（自然资办发〔2020〕23号）</w:t>
            </w:r>
          </w:p>
          <w:p>
            <w:pPr>
              <w:keepNext w:val="0"/>
              <w:keepLines w:val="0"/>
              <w:pageBreakBefore w:val="0"/>
              <w:widowControl w:val="0"/>
              <w:kinsoku/>
              <w:wordWrap/>
              <w:overflowPunct/>
              <w:topLinePunct w:val="0"/>
              <w:autoSpaceDE/>
              <w:autoSpaceDN/>
              <w:bidi w:val="0"/>
              <w:adjustRightInd w:val="0"/>
              <w:snapToGrid w:val="0"/>
              <w:spacing w:line="312" w:lineRule="auto"/>
              <w:ind w:firstLine="420" w:firstLineChars="20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（14）《广东省自然资源厅关于做好2020年度自然资源评价评估工作的通知》（粤自然资利用〔2020〕1364号）</w:t>
            </w:r>
          </w:p>
          <w:p>
            <w:pPr>
              <w:keepNext w:val="0"/>
              <w:keepLines w:val="0"/>
              <w:pageBreakBefore w:val="0"/>
              <w:widowControl w:val="0"/>
              <w:kinsoku/>
              <w:wordWrap/>
              <w:overflowPunct/>
              <w:topLinePunct w:val="0"/>
              <w:autoSpaceDE/>
              <w:autoSpaceDN/>
              <w:bidi w:val="0"/>
              <w:adjustRightInd w:val="0"/>
              <w:snapToGrid w:val="0"/>
              <w:spacing w:line="312" w:lineRule="auto"/>
              <w:ind w:firstLine="420" w:firstLineChars="20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15</w:t>
            </w:r>
            <w:r>
              <w:rPr>
                <w:rFonts w:hint="eastAsia" w:ascii="仿宋" w:hAnsi="仿宋" w:eastAsia="仿宋" w:cs="仿宋"/>
                <w:color w:val="000000" w:themeColor="text1"/>
                <w:sz w:val="21"/>
                <w:szCs w:val="21"/>
                <w:highlight w:val="none"/>
                <w14:textFill>
                  <w14:solidFill>
                    <w14:schemeClr w14:val="tx1"/>
                  </w14:solidFill>
                </w14:textFill>
              </w:rPr>
              <w:t>）《自然资源部办公厅关于做好2021年度自然资源评价评估有关工作的通知》（自然资办发〔2021〕39号）</w:t>
            </w:r>
          </w:p>
          <w:p>
            <w:pPr>
              <w:keepNext w:val="0"/>
              <w:keepLines w:val="0"/>
              <w:pageBreakBefore w:val="0"/>
              <w:widowControl w:val="0"/>
              <w:kinsoku/>
              <w:wordWrap/>
              <w:overflowPunct/>
              <w:topLinePunct w:val="0"/>
              <w:autoSpaceDE/>
              <w:autoSpaceDN/>
              <w:bidi w:val="0"/>
              <w:adjustRightInd w:val="0"/>
              <w:snapToGrid w:val="0"/>
              <w:spacing w:line="312" w:lineRule="auto"/>
              <w:ind w:firstLine="420" w:firstLineChars="20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16</w:t>
            </w:r>
            <w:r>
              <w:rPr>
                <w:rFonts w:hint="eastAsia" w:ascii="仿宋" w:hAnsi="仿宋" w:eastAsia="仿宋" w:cs="仿宋"/>
                <w:color w:val="000000" w:themeColor="text1"/>
                <w:sz w:val="21"/>
                <w:szCs w:val="21"/>
                <w:highlight w:val="none"/>
                <w14:textFill>
                  <w14:solidFill>
                    <w14:schemeClr w14:val="tx1"/>
                  </w14:solidFill>
                </w14:textFill>
              </w:rPr>
              <w:t>）《广东省自然资源厅转发自然资源部办公厅关于做好2021年度自然资源评价评估有关工作的通知》（粤自然资利用〔2021〕1223号）</w:t>
            </w:r>
          </w:p>
          <w:p>
            <w:pPr>
              <w:keepNext w:val="0"/>
              <w:keepLines w:val="0"/>
              <w:pageBreakBefore w:val="0"/>
              <w:widowControl w:val="0"/>
              <w:kinsoku/>
              <w:wordWrap/>
              <w:overflowPunct/>
              <w:topLinePunct w:val="0"/>
              <w:autoSpaceDE/>
              <w:autoSpaceDN/>
              <w:bidi w:val="0"/>
              <w:adjustRightInd w:val="0"/>
              <w:snapToGrid w:val="0"/>
              <w:spacing w:line="312" w:lineRule="auto"/>
              <w:ind w:firstLine="420" w:firstLineChars="20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17</w:t>
            </w:r>
            <w:r>
              <w:rPr>
                <w:rFonts w:hint="eastAsia" w:ascii="仿宋" w:hAnsi="仿宋" w:eastAsia="仿宋" w:cs="仿宋"/>
                <w:color w:val="000000" w:themeColor="text1"/>
                <w:sz w:val="21"/>
                <w:szCs w:val="21"/>
                <w:highlight w:val="none"/>
                <w14:textFill>
                  <w14:solidFill>
                    <w14:schemeClr w14:val="tx1"/>
                  </w14:solidFill>
                </w14:textFill>
              </w:rPr>
              <w:t>）《自然资源部办公厅关于做好2022年度自然资源评价评估工作通知》（自然资办发〔2022〕13号）</w:t>
            </w:r>
          </w:p>
          <w:p>
            <w:pPr>
              <w:keepNext w:val="0"/>
              <w:keepLines w:val="0"/>
              <w:pageBreakBefore w:val="0"/>
              <w:widowControl w:val="0"/>
              <w:kinsoku/>
              <w:wordWrap/>
              <w:overflowPunct/>
              <w:topLinePunct w:val="0"/>
              <w:autoSpaceDE/>
              <w:autoSpaceDN/>
              <w:bidi w:val="0"/>
              <w:adjustRightInd w:val="0"/>
              <w:snapToGrid w:val="0"/>
              <w:spacing w:line="312" w:lineRule="auto"/>
              <w:ind w:firstLine="420" w:firstLineChars="20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18</w:t>
            </w:r>
            <w:r>
              <w:rPr>
                <w:rFonts w:hint="eastAsia" w:ascii="仿宋" w:hAnsi="仿宋" w:eastAsia="仿宋" w:cs="仿宋"/>
                <w:color w:val="000000" w:themeColor="text1"/>
                <w:sz w:val="21"/>
                <w:szCs w:val="21"/>
                <w:highlight w:val="none"/>
                <w14:textFill>
                  <w14:solidFill>
                    <w14:schemeClr w14:val="tx1"/>
                  </w14:solidFill>
                </w14:textFill>
              </w:rPr>
              <w:t>）《广东省自然资源厅转发自然资源部办公厅关于做好2022年度自然资源评价评估有关工作的通知》（粤自然资利用〔2022〕1274 号）</w:t>
            </w:r>
          </w:p>
          <w:p>
            <w:pPr>
              <w:keepNext w:val="0"/>
              <w:keepLines w:val="0"/>
              <w:pageBreakBefore w:val="0"/>
              <w:widowControl w:val="0"/>
              <w:kinsoku/>
              <w:wordWrap/>
              <w:overflowPunct/>
              <w:topLinePunct w:val="0"/>
              <w:autoSpaceDE/>
              <w:autoSpaceDN/>
              <w:bidi w:val="0"/>
              <w:adjustRightInd w:val="0"/>
              <w:snapToGrid w:val="0"/>
              <w:spacing w:line="312" w:lineRule="auto"/>
              <w:ind w:firstLine="420" w:firstLineChars="200"/>
              <w:jc w:val="left"/>
              <w:textAlignment w:val="auto"/>
              <w:rPr>
                <w:rFonts w:hint="eastAsia" w:ascii="仿宋" w:hAnsi="仿宋" w:eastAsia="仿宋" w:cs="仿宋"/>
                <w:sz w:val="21"/>
                <w:szCs w:val="21"/>
              </w:rPr>
            </w:pP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19</w:t>
            </w:r>
            <w:r>
              <w:rPr>
                <w:rFonts w:hint="eastAsia" w:ascii="仿宋" w:hAnsi="仿宋" w:eastAsia="仿宋" w:cs="仿宋"/>
                <w:color w:val="000000" w:themeColor="text1"/>
                <w:sz w:val="21"/>
                <w:szCs w:val="21"/>
                <w:highlight w:val="none"/>
                <w14:textFill>
                  <w14:solidFill>
                    <w14:schemeClr w14:val="tx1"/>
                  </w14:solidFill>
                </w14:textFill>
              </w:rPr>
              <w:t>）《中共中央、国务院关于构建更加完善的要素市场化配置体制机制的意⻅》（2020年3月30日）</w:t>
            </w:r>
          </w:p>
          <w:p>
            <w:pPr>
              <w:keepNext w:val="0"/>
              <w:keepLines w:val="0"/>
              <w:pageBreakBefore w:val="0"/>
              <w:widowControl w:val="0"/>
              <w:numPr>
                <w:ilvl w:val="0"/>
                <w:numId w:val="3"/>
              </w:numPr>
              <w:kinsoku/>
              <w:wordWrap/>
              <w:overflowPunct/>
              <w:topLinePunct w:val="0"/>
              <w:autoSpaceDE/>
              <w:autoSpaceDN/>
              <w:bidi w:val="0"/>
              <w:adjustRightInd w:val="0"/>
              <w:snapToGrid w:val="0"/>
              <w:spacing w:line="312" w:lineRule="auto"/>
              <w:ind w:left="0" w:leftChars="0" w:firstLine="422" w:firstLineChars="20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项目采购范围</w:t>
            </w:r>
            <w:r>
              <w:rPr>
                <w:rFonts w:hint="eastAsia" w:ascii="仿宋" w:hAnsi="仿宋" w:eastAsia="仿宋" w:cs="仿宋"/>
                <w:color w:val="000000" w:themeColor="text1"/>
                <w:sz w:val="21"/>
                <w:szCs w:val="21"/>
                <w:highlight w:val="none"/>
                <w14:textFill>
                  <w14:solidFill>
                    <w14:schemeClr w14:val="tx1"/>
                  </w14:solidFill>
                </w14:textFill>
              </w:rPr>
              <w:t>（本次招标的项目范围，包括服务名称、服务地点、服务内容、服务要求等）</w:t>
            </w:r>
          </w:p>
          <w:p>
            <w:pPr>
              <w:pStyle w:val="21"/>
              <w:keepNext w:val="0"/>
              <w:keepLines w:val="0"/>
              <w:pageBreakBefore w:val="0"/>
              <w:widowControl w:val="0"/>
              <w:numPr>
                <w:ilvl w:val="0"/>
                <w:numId w:val="0"/>
              </w:numPr>
              <w:kinsoku/>
              <w:wordWrap/>
              <w:overflowPunct/>
              <w:topLinePunct w:val="0"/>
              <w:autoSpaceDE/>
              <w:autoSpaceDN/>
              <w:bidi w:val="0"/>
              <w:adjustRightInd w:val="0"/>
              <w:snapToGrid w:val="0"/>
              <w:spacing w:line="312" w:lineRule="auto"/>
              <w:ind w:firstLine="420" w:firstLineChars="200"/>
              <w:textAlignment w:val="auto"/>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14:textFill>
                  <w14:solidFill>
                    <w14:schemeClr w14:val="tx1"/>
                  </w14:solidFill>
                </w14:textFill>
              </w:rPr>
              <w:t>服务名称</w:t>
            </w:r>
            <w:r>
              <w:rPr>
                <w:rFonts w:hint="eastAsia" w:ascii="仿宋" w:hAnsi="仿宋" w:eastAsia="仿宋" w:cs="仿宋"/>
                <w:color w:val="000000" w:themeColor="text1"/>
                <w:sz w:val="21"/>
                <w:szCs w:val="21"/>
                <w:highlight w:val="none"/>
                <w:lang w:eastAsia="zh-CN"/>
                <w14:textFill>
                  <w14:solidFill>
                    <w14:schemeClr w14:val="tx1"/>
                  </w14:solidFill>
                </w14:textFill>
              </w:rPr>
              <w:t>： 202</w:t>
            </w:r>
            <w:r>
              <w:rPr>
                <w:rFonts w:hint="eastAsia" w:ascii="仿宋" w:hAnsi="仿宋" w:eastAsia="仿宋" w:cs="仿宋"/>
                <w:color w:val="000000" w:themeColor="text1"/>
                <w:sz w:val="21"/>
                <w:szCs w:val="21"/>
                <w:highlight w:val="none"/>
                <w:lang w:val="en-US" w:eastAsia="zh-CN"/>
                <w14:textFill>
                  <w14:solidFill>
                    <w14:schemeClr w14:val="tx1"/>
                  </w14:solidFill>
                </w14:textFill>
              </w:rPr>
              <w:t>5</w:t>
            </w:r>
            <w:r>
              <w:rPr>
                <w:rFonts w:hint="eastAsia" w:ascii="仿宋" w:hAnsi="仿宋" w:eastAsia="仿宋" w:cs="仿宋"/>
                <w:color w:val="000000" w:themeColor="text1"/>
                <w:sz w:val="21"/>
                <w:szCs w:val="21"/>
                <w:highlight w:val="none"/>
                <w:lang w:eastAsia="zh-CN"/>
                <w14:textFill>
                  <w14:solidFill>
                    <w14:schemeClr w14:val="tx1"/>
                  </w14:solidFill>
                </w14:textFill>
              </w:rPr>
              <w:t>年度深圳市土地的市场价格评估及应用</w:t>
            </w:r>
          </w:p>
          <w:p>
            <w:pPr>
              <w:pStyle w:val="21"/>
              <w:keepNext w:val="0"/>
              <w:keepLines w:val="0"/>
              <w:pageBreakBefore w:val="0"/>
              <w:widowControl w:val="0"/>
              <w:numPr>
                <w:ilvl w:val="0"/>
                <w:numId w:val="0"/>
              </w:numPr>
              <w:kinsoku/>
              <w:wordWrap/>
              <w:overflowPunct/>
              <w:topLinePunct w:val="0"/>
              <w:autoSpaceDE/>
              <w:autoSpaceDN/>
              <w:bidi w:val="0"/>
              <w:adjustRightInd w:val="0"/>
              <w:snapToGrid w:val="0"/>
              <w:spacing w:line="312" w:lineRule="auto"/>
              <w:ind w:firstLine="420" w:firstLineChars="200"/>
              <w:textAlignment w:val="auto"/>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14:textFill>
                  <w14:solidFill>
                    <w14:schemeClr w14:val="tx1"/>
                  </w14:solidFill>
                </w14:textFill>
              </w:rPr>
              <w:t>服务地点</w:t>
            </w:r>
            <w:r>
              <w:rPr>
                <w:rFonts w:hint="eastAsia" w:ascii="仿宋" w:hAnsi="仿宋" w:eastAsia="仿宋" w:cs="仿宋"/>
                <w:color w:val="000000" w:themeColor="text1"/>
                <w:sz w:val="21"/>
                <w:szCs w:val="21"/>
                <w:highlight w:val="none"/>
                <w:lang w:eastAsia="zh-CN"/>
                <w14:textFill>
                  <w14:solidFill>
                    <w14:schemeClr w14:val="tx1"/>
                  </w14:solidFill>
                </w14:textFill>
              </w:rPr>
              <w:t>：深圳</w:t>
            </w:r>
          </w:p>
          <w:p>
            <w:pPr>
              <w:pStyle w:val="21"/>
              <w:keepNext w:val="0"/>
              <w:keepLines w:val="0"/>
              <w:pageBreakBefore w:val="0"/>
              <w:widowControl w:val="0"/>
              <w:numPr>
                <w:ilvl w:val="0"/>
                <w:numId w:val="0"/>
              </w:numPr>
              <w:kinsoku/>
              <w:wordWrap/>
              <w:overflowPunct/>
              <w:topLinePunct w:val="0"/>
              <w:autoSpaceDE/>
              <w:autoSpaceDN/>
              <w:bidi w:val="0"/>
              <w:adjustRightInd w:val="0"/>
              <w:snapToGrid w:val="0"/>
              <w:spacing w:line="312" w:lineRule="auto"/>
              <w:ind w:firstLine="420" w:firstLineChars="200"/>
              <w:textAlignment w:val="auto"/>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r>
              <w:rPr>
                <w:rFonts w:hint="eastAsia" w:ascii="仿宋" w:hAnsi="仿宋" w:eastAsia="仿宋" w:cs="仿宋"/>
                <w:color w:val="000000" w:themeColor="text1"/>
                <w:sz w:val="21"/>
                <w:szCs w:val="21"/>
                <w:highlight w:val="none"/>
                <w14:textFill>
                  <w14:solidFill>
                    <w14:schemeClr w14:val="tx1"/>
                  </w14:solidFill>
                </w14:textFill>
              </w:rPr>
              <w:t>服务内容</w:t>
            </w:r>
            <w:r>
              <w:rPr>
                <w:rFonts w:hint="eastAsia" w:ascii="仿宋" w:hAnsi="仿宋" w:eastAsia="仿宋" w:cs="仿宋"/>
                <w:color w:val="000000" w:themeColor="text1"/>
                <w:sz w:val="21"/>
                <w:szCs w:val="21"/>
                <w:highlight w:val="none"/>
                <w:lang w:eastAsia="zh-CN"/>
                <w14:textFill>
                  <w14:solidFill>
                    <w14:schemeClr w14:val="tx1"/>
                  </w14:solidFill>
                </w14:textFill>
              </w:rPr>
              <w:t>：</w:t>
            </w:r>
          </w:p>
          <w:p>
            <w:pPr>
              <w:pStyle w:val="21"/>
              <w:keepNext w:val="0"/>
              <w:keepLines w:val="0"/>
              <w:pageBreakBefore w:val="0"/>
              <w:widowControl w:val="0"/>
              <w:numPr>
                <w:ilvl w:val="0"/>
                <w:numId w:val="0"/>
              </w:numPr>
              <w:kinsoku/>
              <w:wordWrap/>
              <w:overflowPunct/>
              <w:topLinePunct w:val="0"/>
              <w:autoSpaceDE/>
              <w:autoSpaceDN/>
              <w:bidi w:val="0"/>
              <w:adjustRightInd w:val="0"/>
              <w:snapToGrid w:val="0"/>
              <w:spacing w:line="312" w:lineRule="auto"/>
              <w:ind w:firstLine="420" w:firstLineChars="200"/>
              <w:textAlignment w:val="auto"/>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①</w:t>
            </w:r>
            <w:r>
              <w:rPr>
                <w:rFonts w:hint="eastAsia" w:ascii="仿宋" w:hAnsi="仿宋" w:eastAsia="仿宋" w:cs="仿宋"/>
                <w:color w:val="000000" w:themeColor="text1"/>
                <w:sz w:val="21"/>
                <w:szCs w:val="21"/>
                <w:highlight w:val="none"/>
                <w:lang w:eastAsia="zh-CN"/>
                <w14:textFill>
                  <w14:solidFill>
                    <w14:schemeClr w14:val="tx1"/>
                  </w14:solidFill>
                </w14:textFill>
              </w:rPr>
              <w:t xml:space="preserve">本合同服务期限内深圳市标定地价评估。                                 </w:t>
            </w:r>
          </w:p>
          <w:p>
            <w:pPr>
              <w:pStyle w:val="21"/>
              <w:keepNext w:val="0"/>
              <w:keepLines w:val="0"/>
              <w:pageBreakBefore w:val="0"/>
              <w:widowControl w:val="0"/>
              <w:numPr>
                <w:ilvl w:val="0"/>
                <w:numId w:val="0"/>
              </w:numPr>
              <w:kinsoku/>
              <w:wordWrap/>
              <w:overflowPunct/>
              <w:topLinePunct w:val="0"/>
              <w:autoSpaceDE/>
              <w:autoSpaceDN/>
              <w:bidi w:val="0"/>
              <w:adjustRightInd w:val="0"/>
              <w:snapToGrid w:val="0"/>
              <w:spacing w:line="312" w:lineRule="auto"/>
              <w:ind w:firstLine="420" w:firstLineChars="200"/>
              <w:textAlignment w:val="auto"/>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②</w:t>
            </w:r>
            <w:r>
              <w:rPr>
                <w:rFonts w:hint="eastAsia" w:ascii="仿宋" w:hAnsi="仿宋" w:eastAsia="仿宋" w:cs="仿宋"/>
                <w:color w:val="000000" w:themeColor="text1"/>
                <w:sz w:val="21"/>
                <w:szCs w:val="21"/>
                <w:highlight w:val="none"/>
                <w:lang w:eastAsia="zh-CN"/>
                <w14:textFill>
                  <w14:solidFill>
                    <w14:schemeClr w14:val="tx1"/>
                  </w14:solidFill>
                </w14:textFill>
              </w:rPr>
              <w:t xml:space="preserve">本合同服务期限内深圳市剩余法整体估价。                           </w:t>
            </w:r>
          </w:p>
          <w:p>
            <w:pPr>
              <w:pStyle w:val="21"/>
              <w:keepNext w:val="0"/>
              <w:keepLines w:val="0"/>
              <w:pageBreakBefore w:val="0"/>
              <w:widowControl w:val="0"/>
              <w:numPr>
                <w:ilvl w:val="0"/>
                <w:numId w:val="0"/>
              </w:numPr>
              <w:kinsoku/>
              <w:wordWrap/>
              <w:overflowPunct/>
              <w:topLinePunct w:val="0"/>
              <w:autoSpaceDE/>
              <w:autoSpaceDN/>
              <w:bidi w:val="0"/>
              <w:adjustRightInd w:val="0"/>
              <w:snapToGrid w:val="0"/>
              <w:spacing w:line="312" w:lineRule="auto"/>
              <w:ind w:firstLine="420" w:firstLineChars="200"/>
              <w:textAlignment w:val="auto"/>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③</w:t>
            </w:r>
            <w:r>
              <w:rPr>
                <w:rFonts w:hint="eastAsia" w:ascii="仿宋" w:hAnsi="仿宋" w:eastAsia="仿宋" w:cs="仿宋"/>
                <w:color w:val="000000" w:themeColor="text1"/>
                <w:sz w:val="21"/>
                <w:szCs w:val="21"/>
                <w:highlight w:val="none"/>
                <w:lang w:eastAsia="zh-CN"/>
                <w14:textFill>
                  <w14:solidFill>
                    <w14:schemeClr w14:val="tx1"/>
                  </w14:solidFill>
                </w14:textFill>
              </w:rPr>
              <w:t xml:space="preserve">本合同服务期限内深圳市土地的市场价格评估。                                 </w:t>
            </w:r>
          </w:p>
          <w:p>
            <w:pPr>
              <w:pStyle w:val="21"/>
              <w:keepNext w:val="0"/>
              <w:keepLines w:val="0"/>
              <w:pageBreakBefore w:val="0"/>
              <w:widowControl w:val="0"/>
              <w:numPr>
                <w:ilvl w:val="0"/>
                <w:numId w:val="0"/>
              </w:numPr>
              <w:kinsoku/>
              <w:wordWrap/>
              <w:overflowPunct/>
              <w:topLinePunct w:val="0"/>
              <w:autoSpaceDE/>
              <w:autoSpaceDN/>
              <w:bidi w:val="0"/>
              <w:adjustRightInd w:val="0"/>
              <w:snapToGrid w:val="0"/>
              <w:spacing w:line="312" w:lineRule="auto"/>
              <w:ind w:firstLine="420" w:firstLineChars="200"/>
              <w:textAlignment w:val="auto"/>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④</w:t>
            </w:r>
            <w:r>
              <w:rPr>
                <w:rFonts w:hint="eastAsia" w:ascii="仿宋" w:hAnsi="仿宋" w:eastAsia="仿宋" w:cs="仿宋"/>
                <w:color w:val="000000" w:themeColor="text1"/>
                <w:sz w:val="21"/>
                <w:szCs w:val="21"/>
                <w:highlight w:val="none"/>
                <w:lang w:eastAsia="zh-CN"/>
                <w14:textFill>
                  <w14:solidFill>
                    <w14:schemeClr w14:val="tx1"/>
                  </w14:solidFill>
                </w14:textFill>
              </w:rPr>
              <w:t xml:space="preserve">本合同服务期限内深圳市城市地价动态监测的评估。                           </w:t>
            </w:r>
          </w:p>
          <w:p>
            <w:pPr>
              <w:pStyle w:val="21"/>
              <w:keepNext w:val="0"/>
              <w:keepLines w:val="0"/>
              <w:pageBreakBefore w:val="0"/>
              <w:widowControl w:val="0"/>
              <w:numPr>
                <w:ilvl w:val="0"/>
                <w:numId w:val="0"/>
              </w:numPr>
              <w:kinsoku/>
              <w:wordWrap/>
              <w:overflowPunct/>
              <w:topLinePunct w:val="0"/>
              <w:autoSpaceDE/>
              <w:autoSpaceDN/>
              <w:bidi w:val="0"/>
              <w:adjustRightInd w:val="0"/>
              <w:snapToGrid w:val="0"/>
              <w:spacing w:line="312" w:lineRule="auto"/>
              <w:ind w:firstLine="420" w:firstLineChars="200"/>
              <w:textAlignment w:val="auto"/>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⑤</w:t>
            </w:r>
            <w:r>
              <w:rPr>
                <w:rFonts w:hint="eastAsia" w:ascii="仿宋" w:hAnsi="仿宋" w:eastAsia="仿宋" w:cs="仿宋"/>
                <w:color w:val="000000" w:themeColor="text1"/>
                <w:sz w:val="21"/>
                <w:szCs w:val="21"/>
                <w:highlight w:val="none"/>
                <w:lang w:eastAsia="zh-CN"/>
                <w14:textFill>
                  <w14:solidFill>
                    <w14:schemeClr w14:val="tx1"/>
                  </w14:solidFill>
                </w14:textFill>
              </w:rPr>
              <w:t xml:space="preserve">本合同服务期限内深圳市（前海除外）新出让居住用地底价的评估与备案。       </w:t>
            </w:r>
          </w:p>
          <w:p>
            <w:pPr>
              <w:pStyle w:val="21"/>
              <w:keepNext w:val="0"/>
              <w:keepLines w:val="0"/>
              <w:pageBreakBefore w:val="0"/>
              <w:widowControl w:val="0"/>
              <w:numPr>
                <w:ilvl w:val="0"/>
                <w:numId w:val="0"/>
              </w:numPr>
              <w:kinsoku/>
              <w:wordWrap/>
              <w:overflowPunct/>
              <w:topLinePunct w:val="0"/>
              <w:autoSpaceDE/>
              <w:autoSpaceDN/>
              <w:bidi w:val="0"/>
              <w:adjustRightInd w:val="0"/>
              <w:snapToGrid w:val="0"/>
              <w:spacing w:line="312" w:lineRule="auto"/>
              <w:ind w:firstLine="420" w:firstLineChars="200"/>
              <w:textAlignment w:val="auto"/>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fldChar w:fldCharType="begin"/>
            </w:r>
            <w:r>
              <w:rPr>
                <w:rFonts w:hint="eastAsia" w:ascii="仿宋" w:hAnsi="仿宋" w:eastAsia="仿宋" w:cs="仿宋"/>
                <w:color w:val="000000" w:themeColor="text1"/>
                <w:sz w:val="21"/>
                <w:szCs w:val="21"/>
                <w:highlight w:val="none"/>
                <w:lang w:eastAsia="zh-CN"/>
                <w14:textFill>
                  <w14:solidFill>
                    <w14:schemeClr w14:val="tx1"/>
                  </w14:solidFill>
                </w14:textFill>
              </w:rPr>
              <w:instrText xml:space="preserve"> = 6 \* GB3 \* MERGEFORMAT </w:instrText>
            </w:r>
            <w:r>
              <w:rPr>
                <w:rFonts w:hint="eastAsia" w:ascii="仿宋" w:hAnsi="仿宋" w:eastAsia="仿宋" w:cs="仿宋"/>
                <w:color w:val="000000" w:themeColor="text1"/>
                <w:sz w:val="21"/>
                <w:szCs w:val="21"/>
                <w:highlight w:val="none"/>
                <w:lang w:eastAsia="zh-CN"/>
                <w14:textFill>
                  <w14:solidFill>
                    <w14:schemeClr w14:val="tx1"/>
                  </w14:solidFill>
                </w14:textFill>
              </w:rPr>
              <w:fldChar w:fldCharType="separate"/>
            </w:r>
            <w:r>
              <w:rPr>
                <w:rFonts w:hint="eastAsia" w:ascii="仿宋" w:hAnsi="仿宋" w:eastAsia="仿宋" w:cs="仿宋"/>
                <w:color w:val="000000" w:themeColor="text1"/>
                <w:sz w:val="21"/>
                <w:szCs w:val="21"/>
                <w:highlight w:val="none"/>
                <w14:textFill>
                  <w14:solidFill>
                    <w14:schemeClr w14:val="tx1"/>
                  </w14:solidFill>
                </w14:textFill>
              </w:rPr>
              <w:t>⑥</w:t>
            </w:r>
            <w:r>
              <w:rPr>
                <w:rFonts w:hint="eastAsia" w:ascii="仿宋" w:hAnsi="仿宋" w:eastAsia="仿宋" w:cs="仿宋"/>
                <w:color w:val="000000" w:themeColor="text1"/>
                <w:sz w:val="21"/>
                <w:szCs w:val="21"/>
                <w:highlight w:val="none"/>
                <w:lang w:eastAsia="zh-CN"/>
                <w14:textFill>
                  <w14:solidFill>
                    <w14:schemeClr w14:val="tx1"/>
                  </w14:solidFill>
                </w14:textFill>
              </w:rPr>
              <w:fldChar w:fldCharType="end"/>
            </w:r>
            <w:r>
              <w:rPr>
                <w:rFonts w:hint="eastAsia" w:ascii="仿宋" w:hAnsi="仿宋" w:eastAsia="仿宋" w:cs="仿宋"/>
                <w:color w:val="000000" w:themeColor="text1"/>
                <w:sz w:val="21"/>
                <w:szCs w:val="21"/>
                <w:highlight w:val="none"/>
                <w:lang w:eastAsia="zh-CN"/>
                <w14:textFill>
                  <w14:solidFill>
                    <w14:schemeClr w14:val="tx1"/>
                  </w14:solidFill>
                </w14:textFill>
              </w:rPr>
              <w:t xml:space="preserve">本合同服务期限内深圳市土地的市场价格应用和其他工作。              </w:t>
            </w:r>
          </w:p>
          <w:p>
            <w:pPr>
              <w:pStyle w:val="21"/>
              <w:keepNext w:val="0"/>
              <w:keepLines w:val="0"/>
              <w:pageBreakBefore w:val="0"/>
              <w:widowControl w:val="0"/>
              <w:numPr>
                <w:ilvl w:val="0"/>
                <w:numId w:val="0"/>
              </w:numPr>
              <w:kinsoku/>
              <w:wordWrap/>
              <w:overflowPunct/>
              <w:topLinePunct w:val="0"/>
              <w:autoSpaceDE/>
              <w:autoSpaceDN/>
              <w:bidi w:val="0"/>
              <w:adjustRightInd w:val="0"/>
              <w:snapToGrid w:val="0"/>
              <w:spacing w:line="312" w:lineRule="auto"/>
              <w:ind w:firstLine="420" w:firstLineChars="200"/>
              <w:textAlignment w:val="auto"/>
              <w:rPr>
                <w:rFonts w:hint="eastAsia" w:ascii="仿宋" w:hAnsi="仿宋" w:eastAsia="仿宋" w:cs="仿宋"/>
                <w:sz w:val="21"/>
                <w:szCs w:val="21"/>
                <w:lang w:eastAsia="zh-CN"/>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4）</w:t>
            </w:r>
            <w:r>
              <w:rPr>
                <w:rFonts w:hint="eastAsia" w:ascii="仿宋" w:hAnsi="仿宋" w:eastAsia="仿宋" w:cs="仿宋"/>
                <w:color w:val="000000" w:themeColor="text1"/>
                <w:sz w:val="21"/>
                <w:szCs w:val="21"/>
                <w:highlight w:val="none"/>
                <w14:textFill>
                  <w14:solidFill>
                    <w14:schemeClr w14:val="tx1"/>
                  </w14:solidFill>
                </w14:textFill>
              </w:rPr>
              <w:t>服务要求</w:t>
            </w:r>
            <w:r>
              <w:rPr>
                <w:rFonts w:hint="eastAsia" w:ascii="仿宋" w:hAnsi="仿宋" w:eastAsia="仿宋" w:cs="仿宋"/>
                <w:color w:val="000000" w:themeColor="text1"/>
                <w:sz w:val="21"/>
                <w:szCs w:val="21"/>
                <w:highlight w:val="none"/>
                <w:lang w:eastAsia="zh-CN"/>
                <w14:textFill>
                  <w14:solidFill>
                    <w14:schemeClr w14:val="tx1"/>
                  </w14:solidFill>
                </w14:textFill>
              </w:rPr>
              <w:t>：乙方提供的服务应符合国家、行业标准，符合双方约定目标与内容，成果符合约定。</w:t>
            </w:r>
          </w:p>
          <w:p>
            <w:pPr>
              <w:keepNext w:val="0"/>
              <w:keepLines w:val="0"/>
              <w:pageBreakBefore w:val="0"/>
              <w:widowControl w:val="0"/>
              <w:kinsoku/>
              <w:wordWrap/>
              <w:overflowPunct/>
              <w:topLinePunct w:val="0"/>
              <w:autoSpaceDE/>
              <w:autoSpaceDN/>
              <w:bidi w:val="0"/>
              <w:adjustRightInd w:val="0"/>
              <w:snapToGrid w:val="0"/>
              <w:spacing w:line="312" w:lineRule="auto"/>
              <w:ind w:firstLine="422" w:firstLineChars="20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4、项目服务期限</w:t>
            </w:r>
            <w:r>
              <w:rPr>
                <w:rFonts w:hint="eastAsia" w:ascii="仿宋" w:hAnsi="仿宋" w:eastAsia="仿宋" w:cs="仿宋"/>
                <w:color w:val="000000" w:themeColor="text1"/>
                <w:sz w:val="21"/>
                <w:szCs w:val="21"/>
                <w:highlight w:val="none"/>
                <w14:textFill>
                  <w14:solidFill>
                    <w14:schemeClr w14:val="tx1"/>
                  </w14:solidFill>
                </w14:textFill>
              </w:rPr>
              <w:t>（下达的计划时间和实际服务期限不一致的，需列明实际服务期限）</w:t>
            </w:r>
          </w:p>
          <w:p>
            <w:pPr>
              <w:pStyle w:val="21"/>
              <w:keepNext w:val="0"/>
              <w:keepLines w:val="0"/>
              <w:pageBreakBefore w:val="0"/>
              <w:widowControl w:val="0"/>
              <w:kinsoku/>
              <w:wordWrap/>
              <w:overflowPunct/>
              <w:topLinePunct w:val="0"/>
              <w:autoSpaceDE/>
              <w:autoSpaceDN/>
              <w:bidi w:val="0"/>
              <w:adjustRightInd w:val="0"/>
              <w:snapToGrid w:val="0"/>
              <w:spacing w:line="312" w:lineRule="auto"/>
              <w:ind w:firstLine="420" w:firstLineChars="200"/>
              <w:textAlignment w:val="auto"/>
              <w:rPr>
                <w:rFonts w:hint="eastAsia" w:ascii="仿宋" w:hAnsi="仿宋" w:eastAsia="仿宋" w:cs="仿宋"/>
                <w:sz w:val="21"/>
                <w:szCs w:val="21"/>
              </w:rPr>
            </w:pPr>
            <w:r>
              <w:rPr>
                <w:rFonts w:hint="eastAsia" w:ascii="仿宋" w:hAnsi="仿宋" w:eastAsia="仿宋" w:cs="仿宋"/>
                <w:color w:val="000000" w:themeColor="text1"/>
                <w:sz w:val="21"/>
                <w:szCs w:val="21"/>
                <w:highlight w:val="none"/>
                <w14:textFill>
                  <w14:solidFill>
                    <w14:schemeClr w14:val="tx1"/>
                  </w14:solidFill>
                </w14:textFill>
              </w:rPr>
              <w:t>自合同签订之日起至202</w:t>
            </w:r>
            <w:r>
              <w:rPr>
                <w:rFonts w:hint="eastAsia" w:ascii="仿宋" w:hAnsi="仿宋" w:eastAsia="仿宋" w:cs="仿宋"/>
                <w:color w:val="000000" w:themeColor="text1"/>
                <w:sz w:val="21"/>
                <w:szCs w:val="21"/>
                <w:highlight w:val="none"/>
                <w:lang w:val="en-US" w:eastAsia="zh-CN"/>
                <w14:textFill>
                  <w14:solidFill>
                    <w14:schemeClr w14:val="tx1"/>
                  </w14:solidFill>
                </w14:textFill>
              </w:rPr>
              <w:t>6</w:t>
            </w:r>
            <w:r>
              <w:rPr>
                <w:rFonts w:hint="eastAsia" w:ascii="仿宋" w:hAnsi="仿宋" w:eastAsia="仿宋" w:cs="仿宋"/>
                <w:color w:val="000000" w:themeColor="text1"/>
                <w:sz w:val="21"/>
                <w:szCs w:val="21"/>
                <w:highlight w:val="none"/>
                <w14:textFill>
                  <w14:solidFill>
                    <w14:schemeClr w14:val="tx1"/>
                  </w14:solidFill>
                </w14:textFill>
              </w:rPr>
              <w:t>年</w:t>
            </w:r>
            <w:r>
              <w:rPr>
                <w:rFonts w:hint="eastAsia" w:ascii="仿宋" w:hAnsi="仿宋" w:eastAsia="仿宋" w:cs="仿宋"/>
                <w:color w:val="000000" w:themeColor="text1"/>
                <w:sz w:val="21"/>
                <w:szCs w:val="21"/>
                <w:highlight w:val="none"/>
                <w:lang w:val="en-US" w:eastAsia="zh-CN"/>
                <w14:textFill>
                  <w14:solidFill>
                    <w14:schemeClr w14:val="tx1"/>
                  </w14:solidFill>
                </w14:textFill>
              </w:rPr>
              <w:t>9</w:t>
            </w:r>
            <w:r>
              <w:rPr>
                <w:rFonts w:hint="eastAsia" w:ascii="仿宋" w:hAnsi="仿宋" w:eastAsia="仿宋" w:cs="仿宋"/>
                <w:color w:val="000000" w:themeColor="text1"/>
                <w:sz w:val="21"/>
                <w:szCs w:val="21"/>
                <w:highlight w:val="none"/>
                <w14:textFill>
                  <w14:solidFill>
                    <w14:schemeClr w14:val="tx1"/>
                  </w14:solidFill>
                </w14:textFill>
              </w:rPr>
              <w:t>月完成全部工作。</w:t>
            </w:r>
          </w:p>
          <w:p>
            <w:pPr>
              <w:keepNext w:val="0"/>
              <w:keepLines w:val="0"/>
              <w:pageBreakBefore w:val="0"/>
              <w:widowControl w:val="0"/>
              <w:numPr>
                <w:ilvl w:val="0"/>
                <w:numId w:val="4"/>
              </w:numPr>
              <w:kinsoku/>
              <w:wordWrap/>
              <w:overflowPunct/>
              <w:topLinePunct w:val="0"/>
              <w:autoSpaceDE/>
              <w:autoSpaceDN/>
              <w:bidi w:val="0"/>
              <w:adjustRightInd w:val="0"/>
              <w:snapToGrid w:val="0"/>
              <w:spacing w:line="312" w:lineRule="auto"/>
              <w:ind w:firstLine="422" w:firstLineChars="200"/>
              <w:jc w:val="left"/>
              <w:textAlignment w:val="auto"/>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组织实施要求</w:t>
            </w:r>
          </w:p>
          <w:p>
            <w:pPr>
              <w:keepNext w:val="0"/>
              <w:keepLines w:val="0"/>
              <w:pageBreakBefore w:val="0"/>
              <w:widowControl w:val="0"/>
              <w:kinsoku/>
              <w:wordWrap/>
              <w:overflowPunct/>
              <w:topLinePunct w:val="0"/>
              <w:autoSpaceDE/>
              <w:autoSpaceDN/>
              <w:bidi w:val="0"/>
              <w:adjustRightInd w:val="0"/>
              <w:snapToGrid w:val="0"/>
              <w:spacing w:line="312" w:lineRule="auto"/>
              <w:ind w:firstLine="420" w:firstLineChars="200"/>
              <w:jc w:val="left"/>
              <w:textAlignment w:val="auto"/>
              <w:rPr>
                <w:rFonts w:hint="eastAsia" w:ascii="仿宋" w:hAnsi="仿宋" w:eastAsia="仿宋" w:cs="仿宋"/>
                <w:sz w:val="21"/>
                <w:szCs w:val="21"/>
              </w:rPr>
            </w:pPr>
            <w:r>
              <w:rPr>
                <w:rFonts w:hint="eastAsia" w:ascii="仿宋" w:hAnsi="仿宋" w:eastAsia="仿宋" w:cs="仿宋"/>
                <w:color w:val="000000" w:themeColor="text1"/>
                <w:sz w:val="21"/>
                <w:szCs w:val="21"/>
                <w:highlight w:val="none"/>
                <w14:textFill>
                  <w14:solidFill>
                    <w14:schemeClr w14:val="tx1"/>
                  </w14:solidFill>
                </w14:textFill>
              </w:rPr>
              <w:t>为确保本次项目投标工作管理规范、实施有力，投标方应成立项目组，按采购单位要求完成</w:t>
            </w:r>
            <w:r>
              <w:rPr>
                <w:rFonts w:hint="eastAsia" w:ascii="仿宋" w:hAnsi="仿宋" w:eastAsia="仿宋" w:cs="仿宋"/>
                <w:color w:val="000000" w:themeColor="text1"/>
                <w:sz w:val="21"/>
                <w:szCs w:val="21"/>
                <w:highlight w:val="none"/>
                <w:lang w:val="en-US" w:eastAsia="zh-CN"/>
                <w14:textFill>
                  <w14:solidFill>
                    <w14:schemeClr w14:val="tx1"/>
                  </w14:solidFill>
                </w14:textFill>
              </w:rPr>
              <w:t>项目</w:t>
            </w:r>
            <w:r>
              <w:rPr>
                <w:rFonts w:hint="eastAsia" w:ascii="仿宋" w:hAnsi="仿宋" w:eastAsia="仿宋" w:cs="仿宋"/>
                <w:color w:val="000000" w:themeColor="text1"/>
                <w:sz w:val="21"/>
                <w:szCs w:val="21"/>
                <w:highlight w:val="none"/>
                <w14:textFill>
                  <w14:solidFill>
                    <w14:schemeClr w14:val="tx1"/>
                  </w14:solidFill>
                </w14:textFill>
              </w:rPr>
              <w:t>成果。根据《标定地价规程》（TD/T 1052-2017）和《关于进一步加强城市地价动态监测工作的通知》（国土资发〔2008〕51号）规定，为体现公示地价评估的公平公正，乙方可以采用公开招标方式引进社会评估机构对标准宗地进行评估</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除此之外，乙方不得引进任何第三方机构开展本</w:t>
            </w:r>
            <w:r>
              <w:rPr>
                <w:rFonts w:hint="eastAsia" w:ascii="仿宋" w:hAnsi="仿宋" w:eastAsia="仿宋" w:cs="仿宋"/>
                <w:color w:val="000000" w:themeColor="text1"/>
                <w:sz w:val="21"/>
                <w:szCs w:val="21"/>
                <w:highlight w:val="none"/>
                <w:lang w:val="en-US" w:eastAsia="zh-CN"/>
                <w14:textFill>
                  <w14:solidFill>
                    <w14:schemeClr w14:val="tx1"/>
                  </w14:solidFill>
                </w14:textFill>
              </w:rPr>
              <w:t>项目</w:t>
            </w:r>
            <w:r>
              <w:rPr>
                <w:rFonts w:hint="eastAsia" w:ascii="仿宋" w:hAnsi="仿宋" w:eastAsia="仿宋" w:cs="仿宋"/>
                <w:color w:val="000000" w:themeColor="text1"/>
                <w:sz w:val="21"/>
                <w:szCs w:val="21"/>
                <w:highlight w:val="none"/>
                <w14:textFill>
                  <w14:solidFill>
                    <w14:schemeClr w14:val="tx1"/>
                  </w14:solidFill>
                </w14:textFill>
              </w:rPr>
              <w:t>要求的工作内容</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w:t>
            </w:r>
            <w:bookmarkStart w:id="0" w:name="_GoBack"/>
            <w:bookmarkEnd w:id="0"/>
          </w:p>
          <w:p>
            <w:pPr>
              <w:keepNext w:val="0"/>
              <w:keepLines w:val="0"/>
              <w:pageBreakBefore w:val="0"/>
              <w:widowControl w:val="0"/>
              <w:numPr>
                <w:ilvl w:val="0"/>
                <w:numId w:val="4"/>
              </w:numPr>
              <w:kinsoku/>
              <w:wordWrap/>
              <w:overflowPunct/>
              <w:topLinePunct w:val="0"/>
              <w:autoSpaceDE/>
              <w:autoSpaceDN/>
              <w:bidi w:val="0"/>
              <w:adjustRightInd w:val="0"/>
              <w:snapToGrid w:val="0"/>
              <w:spacing w:line="312" w:lineRule="auto"/>
              <w:ind w:left="0" w:leftChars="0" w:firstLine="422" w:firstLineChars="200"/>
              <w:jc w:val="left"/>
              <w:textAlignment w:val="auto"/>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成果要求</w:t>
            </w:r>
          </w:p>
          <w:p>
            <w:pPr>
              <w:pStyle w:val="3"/>
              <w:keepNext w:val="0"/>
              <w:keepLines w:val="0"/>
              <w:pageBreakBefore w:val="0"/>
              <w:widowControl w:val="0"/>
              <w:kinsoku/>
              <w:wordWrap/>
              <w:overflowPunct/>
              <w:topLinePunct w:val="0"/>
              <w:autoSpaceDE/>
              <w:autoSpaceDN/>
              <w:bidi w:val="0"/>
              <w:adjustRightInd w:val="0"/>
              <w:snapToGrid w:val="0"/>
              <w:spacing w:line="312" w:lineRule="auto"/>
              <w:ind w:firstLine="420" w:firstLineChars="200"/>
              <w:textAlignment w:val="auto"/>
              <w:rPr>
                <w:rFonts w:hint="eastAsia" w:ascii="仿宋" w:hAnsi="仿宋" w:eastAsia="仿宋" w:cs="仿宋"/>
                <w:bCs w:val="0"/>
                <w:color w:val="000000" w:themeColor="text1"/>
                <w:kern w:val="2"/>
                <w:sz w:val="21"/>
                <w:szCs w:val="21"/>
                <w:highlight w:val="none"/>
                <w14:textFill>
                  <w14:solidFill>
                    <w14:schemeClr w14:val="tx1"/>
                  </w14:solidFill>
                </w14:textFill>
              </w:rPr>
            </w:pPr>
            <w:r>
              <w:rPr>
                <w:rFonts w:hint="eastAsia" w:ascii="仿宋" w:hAnsi="仿宋" w:eastAsia="仿宋" w:cs="仿宋"/>
                <w:bCs w:val="0"/>
                <w:color w:val="000000" w:themeColor="text1"/>
                <w:kern w:val="2"/>
                <w:sz w:val="21"/>
                <w:szCs w:val="21"/>
                <w:highlight w:val="none"/>
                <w14:textFill>
                  <w14:solidFill>
                    <w14:schemeClr w14:val="tx1"/>
                  </w14:solidFill>
                </w14:textFill>
              </w:rPr>
              <w:t>本项目要求提交如下</w:t>
            </w:r>
            <w:r>
              <w:rPr>
                <w:rFonts w:hint="eastAsia" w:ascii="仿宋" w:hAnsi="仿宋" w:eastAsia="仿宋" w:cs="仿宋"/>
                <w:bCs w:val="0"/>
                <w:color w:val="000000" w:themeColor="text1"/>
                <w:kern w:val="2"/>
                <w:sz w:val="21"/>
                <w:szCs w:val="21"/>
                <w:highlight w:val="none"/>
                <w:lang w:val="en-US" w:eastAsia="zh-CN"/>
                <w14:textFill>
                  <w14:solidFill>
                    <w14:schemeClr w14:val="tx1"/>
                  </w14:solidFill>
                </w14:textFill>
              </w:rPr>
              <w:t>六</w:t>
            </w:r>
            <w:r>
              <w:rPr>
                <w:rFonts w:hint="eastAsia" w:ascii="仿宋" w:hAnsi="仿宋" w:eastAsia="仿宋" w:cs="仿宋"/>
                <w:bCs w:val="0"/>
                <w:color w:val="000000" w:themeColor="text1"/>
                <w:kern w:val="2"/>
                <w:sz w:val="21"/>
                <w:szCs w:val="21"/>
                <w:highlight w:val="none"/>
                <w14:textFill>
                  <w14:solidFill>
                    <w14:schemeClr w14:val="tx1"/>
                  </w14:solidFill>
                </w14:textFill>
              </w:rPr>
              <w:t>个方面的工作成果：</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仿宋" w:hAnsi="仿宋" w:eastAsia="仿宋" w:cs="仿宋"/>
                <w:sz w:val="21"/>
                <w:szCs w:val="21"/>
                <w:u w:val="none"/>
              </w:rPr>
            </w:pPr>
            <w:r>
              <w:rPr>
                <w:rFonts w:hint="eastAsia" w:ascii="仿宋" w:hAnsi="仿宋" w:eastAsia="仿宋" w:cs="仿宋"/>
                <w:sz w:val="21"/>
                <w:szCs w:val="21"/>
                <w:u w:val="none"/>
              </w:rPr>
              <w:t>1）深圳市标定地价成果</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仿宋" w:hAnsi="仿宋" w:eastAsia="仿宋" w:cs="仿宋"/>
                <w:sz w:val="21"/>
                <w:szCs w:val="21"/>
                <w:u w:val="none"/>
              </w:rPr>
            </w:pPr>
            <w:r>
              <w:rPr>
                <w:rFonts w:hint="eastAsia" w:ascii="仿宋" w:hAnsi="仿宋" w:eastAsia="仿宋" w:cs="仿宋"/>
                <w:sz w:val="21"/>
                <w:szCs w:val="21"/>
                <w:u w:val="none"/>
              </w:rPr>
              <w:t>按照《标定地价规程》规定的成果形式与内容，提交合同年度一套完整的深圳市标定地价成果，主要包括：</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仿宋" w:hAnsi="仿宋" w:eastAsia="仿宋" w:cs="仿宋"/>
                <w:sz w:val="21"/>
                <w:szCs w:val="21"/>
                <w:u w:val="none"/>
              </w:rPr>
            </w:pPr>
            <w:r>
              <w:rPr>
                <w:rFonts w:hint="eastAsia" w:ascii="仿宋" w:hAnsi="仿宋" w:eastAsia="仿宋" w:cs="仿宋"/>
                <w:sz w:val="21"/>
                <w:szCs w:val="21"/>
                <w:u w:val="none"/>
              </w:rPr>
              <w:t>①文本成果：标定地价评估报告、标定地价体系建设报告（DOC格式）；</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仿宋" w:hAnsi="仿宋" w:eastAsia="仿宋" w:cs="仿宋"/>
                <w:sz w:val="21"/>
                <w:szCs w:val="21"/>
                <w:u w:val="none"/>
              </w:rPr>
            </w:pPr>
            <w:r>
              <w:rPr>
                <w:rFonts w:hint="eastAsia" w:ascii="仿宋" w:hAnsi="仿宋" w:eastAsia="仿宋" w:cs="仿宋"/>
                <w:sz w:val="21"/>
                <w:szCs w:val="21"/>
                <w:u w:val="none"/>
              </w:rPr>
              <w:t>②表格成果：标准宗地信息登记表、标准宗地评估技术要点表、标定地价建议及审核结果表、标定地价信息公示表、标定地价修正体系表（DOC/XLS格式）；</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仿宋" w:hAnsi="仿宋" w:eastAsia="仿宋" w:cs="仿宋"/>
                <w:sz w:val="21"/>
                <w:szCs w:val="21"/>
                <w:u w:val="none"/>
              </w:rPr>
            </w:pPr>
            <w:r>
              <w:rPr>
                <w:rFonts w:hint="eastAsia" w:ascii="仿宋" w:hAnsi="仿宋" w:eastAsia="仿宋" w:cs="仿宋"/>
                <w:sz w:val="21"/>
                <w:szCs w:val="21"/>
                <w:u w:val="none"/>
              </w:rPr>
              <w:t>③图件成果：深圳市标定地价标准宗地与标定区域布设图（JPG格式）；</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仿宋" w:hAnsi="仿宋" w:eastAsia="仿宋" w:cs="仿宋"/>
                <w:sz w:val="21"/>
                <w:szCs w:val="21"/>
                <w:u w:val="none"/>
              </w:rPr>
            </w:pPr>
            <w:r>
              <w:rPr>
                <w:rFonts w:hint="eastAsia" w:ascii="仿宋" w:hAnsi="仿宋" w:eastAsia="仿宋" w:cs="仿宋"/>
                <w:sz w:val="21"/>
                <w:szCs w:val="21"/>
                <w:u w:val="none"/>
              </w:rPr>
              <w:t>④数据成果：深圳市标定地价成果数据(含数据结构说明文件，DOC格式)（GIS格式，2000国家大地坐标系）；</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仿宋" w:hAnsi="仿宋" w:eastAsia="仿宋" w:cs="仿宋"/>
                <w:sz w:val="21"/>
                <w:szCs w:val="21"/>
                <w:u w:val="none"/>
              </w:rPr>
            </w:pPr>
            <w:r>
              <w:rPr>
                <w:rFonts w:hint="eastAsia" w:ascii="仿宋" w:hAnsi="仿宋" w:eastAsia="仿宋" w:cs="仿宋"/>
                <w:sz w:val="21"/>
                <w:szCs w:val="21"/>
                <w:u w:val="none"/>
              </w:rPr>
              <w:t>⑤标定地价管理信息系统数据更新：深圳市标定地价管理信息系统数据更新。</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仿宋" w:hAnsi="仿宋" w:eastAsia="仿宋" w:cs="仿宋"/>
                <w:sz w:val="21"/>
                <w:szCs w:val="21"/>
                <w:u w:val="none"/>
              </w:rPr>
            </w:pPr>
            <w:r>
              <w:rPr>
                <w:rFonts w:hint="eastAsia" w:ascii="仿宋" w:hAnsi="仿宋" w:eastAsia="仿宋" w:cs="仿宋"/>
                <w:sz w:val="21"/>
                <w:szCs w:val="21"/>
                <w:u w:val="none"/>
              </w:rPr>
              <w:t>2）深圳市剩余法整体估价成果</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仿宋" w:hAnsi="仿宋" w:eastAsia="仿宋" w:cs="仿宋"/>
                <w:sz w:val="21"/>
                <w:szCs w:val="21"/>
                <w:u w:val="none"/>
              </w:rPr>
            </w:pPr>
            <w:r>
              <w:rPr>
                <w:rFonts w:hint="eastAsia" w:ascii="仿宋" w:hAnsi="仿宋" w:eastAsia="仿宋" w:cs="仿宋"/>
                <w:sz w:val="21"/>
                <w:szCs w:val="21"/>
                <w:u w:val="none"/>
              </w:rPr>
              <w:t>完成合同年度深圳市住宅、商业、办公、工业、新型产业、酒店、公共管理与服务设施、公用设施等用途土地剩余法整体估价评估工作，提交一套完整的深圳市剩余法整体估价成果。主要包括：</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仿宋" w:hAnsi="仿宋" w:eastAsia="仿宋" w:cs="仿宋"/>
                <w:sz w:val="21"/>
                <w:szCs w:val="21"/>
                <w:u w:val="none"/>
              </w:rPr>
            </w:pPr>
            <w:r>
              <w:rPr>
                <w:rFonts w:hint="eastAsia" w:ascii="仿宋" w:hAnsi="仿宋" w:eastAsia="仿宋" w:cs="仿宋"/>
                <w:sz w:val="21"/>
                <w:szCs w:val="21"/>
                <w:u w:val="none"/>
              </w:rPr>
              <w:t>①文本成果：深圳市剩余法整体估价成果报告（DOC格式）；</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仿宋" w:hAnsi="仿宋" w:eastAsia="仿宋" w:cs="仿宋"/>
                <w:sz w:val="21"/>
                <w:szCs w:val="21"/>
                <w:u w:val="none"/>
              </w:rPr>
            </w:pPr>
            <w:r>
              <w:rPr>
                <w:rFonts w:hint="eastAsia" w:ascii="仿宋" w:hAnsi="仿宋" w:eastAsia="仿宋" w:cs="仿宋"/>
                <w:sz w:val="21"/>
                <w:szCs w:val="21"/>
                <w:u w:val="none"/>
              </w:rPr>
              <w:t>②图件成果：深圳市剩余法整体估价空间分布图（JPG格式）；</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仿宋" w:hAnsi="仿宋" w:eastAsia="仿宋" w:cs="仿宋"/>
                <w:sz w:val="21"/>
                <w:szCs w:val="21"/>
                <w:u w:val="none"/>
              </w:rPr>
            </w:pPr>
            <w:r>
              <w:rPr>
                <w:rFonts w:hint="eastAsia" w:ascii="仿宋" w:hAnsi="仿宋" w:eastAsia="仿宋" w:cs="仿宋"/>
                <w:sz w:val="21"/>
                <w:szCs w:val="21"/>
                <w:u w:val="none"/>
              </w:rPr>
              <w:t>③数据成果：深圳市剩余法整体估价数据成果(含数据结构说明文件，DOC格式)（TIFF格式，2000国家大地坐标系）。</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仿宋" w:hAnsi="仿宋" w:eastAsia="仿宋" w:cs="仿宋"/>
                <w:sz w:val="21"/>
                <w:szCs w:val="21"/>
                <w:u w:val="none"/>
              </w:rPr>
            </w:pPr>
            <w:r>
              <w:rPr>
                <w:rFonts w:hint="eastAsia" w:ascii="仿宋" w:hAnsi="仿宋" w:eastAsia="仿宋" w:cs="仿宋"/>
                <w:sz w:val="21"/>
                <w:szCs w:val="21"/>
                <w:u w:val="none"/>
              </w:rPr>
              <w:t>3）深圳市土地的市场价格成果</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仿宋" w:hAnsi="仿宋" w:eastAsia="仿宋" w:cs="仿宋"/>
                <w:sz w:val="21"/>
                <w:szCs w:val="21"/>
                <w:u w:val="none"/>
              </w:rPr>
            </w:pPr>
            <w:r>
              <w:rPr>
                <w:rFonts w:hint="eastAsia" w:ascii="仿宋" w:hAnsi="仿宋" w:eastAsia="仿宋" w:cs="仿宋"/>
                <w:sz w:val="21"/>
                <w:szCs w:val="21"/>
                <w:u w:val="none"/>
              </w:rPr>
              <w:t>完成合同年度深圳市住宅、商业、办公、工业、新型产业、酒店、公共管理与服务设施、公用设施等用途土地的市场价格评估工作，提交一套完整的深圳市土地的市场价格成果。主要包括：</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仿宋" w:hAnsi="仿宋" w:eastAsia="仿宋" w:cs="仿宋"/>
                <w:sz w:val="21"/>
                <w:szCs w:val="21"/>
                <w:u w:val="none"/>
              </w:rPr>
            </w:pPr>
            <w:r>
              <w:rPr>
                <w:rFonts w:hint="eastAsia" w:ascii="仿宋" w:hAnsi="仿宋" w:eastAsia="仿宋" w:cs="仿宋"/>
                <w:sz w:val="21"/>
                <w:szCs w:val="21"/>
                <w:u w:val="none"/>
              </w:rPr>
              <w:t>①文本成果：深圳市土地的市场价格成果报告（DOC格式）；</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仿宋" w:hAnsi="仿宋" w:eastAsia="仿宋" w:cs="仿宋"/>
                <w:sz w:val="21"/>
                <w:szCs w:val="21"/>
                <w:u w:val="none"/>
              </w:rPr>
            </w:pPr>
            <w:r>
              <w:rPr>
                <w:rFonts w:hint="eastAsia" w:ascii="仿宋" w:hAnsi="仿宋" w:eastAsia="仿宋" w:cs="仿宋"/>
                <w:sz w:val="21"/>
                <w:szCs w:val="21"/>
                <w:u w:val="none"/>
              </w:rPr>
              <w:t>②图件成果：深圳市土地的市场价格空间分布图（JPG格式）；</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仿宋" w:hAnsi="仿宋" w:eastAsia="仿宋" w:cs="仿宋"/>
                <w:sz w:val="21"/>
                <w:szCs w:val="21"/>
                <w:u w:val="none"/>
              </w:rPr>
            </w:pPr>
            <w:r>
              <w:rPr>
                <w:rFonts w:hint="eastAsia" w:ascii="仿宋" w:hAnsi="仿宋" w:eastAsia="仿宋" w:cs="仿宋"/>
                <w:sz w:val="21"/>
                <w:szCs w:val="21"/>
                <w:u w:val="none"/>
              </w:rPr>
              <w:t>③数据成果：深圳市所有有效宗地的土地的市场价格数据成果(含数据结构说明文件，DOC格式)（GIS格式，2000国家大地坐标系）。</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仿宋" w:hAnsi="仿宋" w:eastAsia="仿宋" w:cs="仿宋"/>
                <w:sz w:val="21"/>
                <w:szCs w:val="21"/>
                <w:u w:val="none"/>
              </w:rPr>
            </w:pPr>
            <w:r>
              <w:rPr>
                <w:rFonts w:hint="eastAsia" w:ascii="仿宋" w:hAnsi="仿宋" w:eastAsia="仿宋" w:cs="仿宋"/>
                <w:sz w:val="21"/>
                <w:szCs w:val="21"/>
                <w:u w:val="none"/>
              </w:rPr>
              <w:t>4）深圳市城市地价动态监测的评估成果</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仿宋" w:hAnsi="仿宋" w:eastAsia="仿宋" w:cs="仿宋"/>
                <w:sz w:val="21"/>
                <w:szCs w:val="21"/>
                <w:u w:val="none"/>
              </w:rPr>
            </w:pPr>
            <w:r>
              <w:rPr>
                <w:rFonts w:hint="eastAsia" w:ascii="仿宋" w:hAnsi="仿宋" w:eastAsia="仿宋" w:cs="仿宋"/>
                <w:sz w:val="21"/>
                <w:szCs w:val="21"/>
                <w:u w:val="none"/>
              </w:rPr>
              <w:t>完成深圳市合同年度全市地价动态监测工作，提交相关监测成果：</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仿宋" w:hAnsi="仿宋" w:eastAsia="仿宋" w:cs="仿宋"/>
                <w:sz w:val="21"/>
                <w:szCs w:val="21"/>
                <w:u w:val="none"/>
              </w:rPr>
            </w:pPr>
            <w:r>
              <w:rPr>
                <w:rFonts w:hint="eastAsia" w:ascii="仿宋" w:hAnsi="仿宋" w:eastAsia="仿宋" w:cs="仿宋"/>
                <w:sz w:val="21"/>
                <w:szCs w:val="21"/>
                <w:u w:val="none"/>
              </w:rPr>
              <w:t>①季度成果：包括深圳市交易样点登记表，房地租金、房地产价格统计表、地价监测点地价评估技术要点表、城市地价动态监测变化成果表（DOC/JPG/XLS格式）；</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仿宋" w:hAnsi="仿宋" w:eastAsia="仿宋" w:cs="仿宋"/>
                <w:sz w:val="21"/>
                <w:szCs w:val="21"/>
                <w:u w:val="none"/>
              </w:rPr>
            </w:pPr>
            <w:r>
              <w:rPr>
                <w:rFonts w:hint="eastAsia" w:ascii="仿宋" w:hAnsi="仿宋" w:eastAsia="仿宋" w:cs="仿宋"/>
                <w:sz w:val="21"/>
                <w:szCs w:val="21"/>
                <w:u w:val="none"/>
              </w:rPr>
              <w:t>②年度成果：包括土地（年度）供需情况调查表、年度地价状况分析报告、分用途土地交易样本分布图、商品房成本构成调查与监测成果、年度调整的监测区范围及监测点情况说明及宗地信息表（如年度无调整不需提供）等（DOC/JPG/XLS格式）。</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仿宋" w:hAnsi="仿宋" w:eastAsia="仿宋" w:cs="仿宋"/>
                <w:sz w:val="21"/>
                <w:szCs w:val="21"/>
                <w:u w:val="none"/>
              </w:rPr>
            </w:pPr>
            <w:r>
              <w:rPr>
                <w:rFonts w:hint="eastAsia" w:ascii="仿宋" w:hAnsi="仿宋" w:eastAsia="仿宋" w:cs="仿宋"/>
                <w:sz w:val="21"/>
                <w:szCs w:val="21"/>
                <w:u w:val="none"/>
              </w:rPr>
              <w:t xml:space="preserve">5）深圳市（前海除外）新出让居住用地底价的评估与备案成果。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仿宋" w:hAnsi="仿宋" w:eastAsia="仿宋" w:cs="仿宋"/>
                <w:sz w:val="21"/>
                <w:szCs w:val="21"/>
                <w:u w:val="none"/>
              </w:rPr>
            </w:pPr>
            <w:r>
              <w:rPr>
                <w:rFonts w:hint="eastAsia" w:ascii="仿宋" w:hAnsi="仿宋" w:eastAsia="仿宋" w:cs="仿宋"/>
                <w:sz w:val="21"/>
                <w:szCs w:val="21"/>
                <w:u w:val="none"/>
              </w:rPr>
              <w:t>完成合同年度全市新出让居住用地出让底价的评估并进行备案，提交新出让用地出让底价评估的《土地估价报告》（纸质材料）。</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仿宋" w:hAnsi="仿宋" w:eastAsia="仿宋" w:cs="仿宋"/>
                <w:sz w:val="21"/>
                <w:szCs w:val="21"/>
                <w:u w:val="none"/>
              </w:rPr>
            </w:pPr>
            <w:r>
              <w:rPr>
                <w:rFonts w:hint="eastAsia" w:ascii="仿宋" w:hAnsi="仿宋" w:eastAsia="仿宋" w:cs="仿宋"/>
                <w:sz w:val="21"/>
                <w:szCs w:val="21"/>
                <w:u w:val="none"/>
              </w:rPr>
              <w:t>6）深圳市土地的市场价格应用和其他</w:t>
            </w:r>
            <w:r>
              <w:rPr>
                <w:rFonts w:hint="eastAsia" w:ascii="仿宋" w:hAnsi="仿宋" w:eastAsia="仿宋" w:cs="仿宋"/>
                <w:sz w:val="21"/>
                <w:szCs w:val="21"/>
                <w:u w:val="none"/>
                <w:lang w:val="en-US" w:eastAsia="zh-CN"/>
              </w:rPr>
              <w:t>工作</w:t>
            </w:r>
            <w:r>
              <w:rPr>
                <w:rFonts w:hint="eastAsia" w:ascii="仿宋" w:hAnsi="仿宋" w:eastAsia="仿宋" w:cs="仿宋"/>
                <w:sz w:val="21"/>
                <w:szCs w:val="21"/>
                <w:u w:val="none"/>
              </w:rPr>
              <w:t>成果</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仿宋" w:hAnsi="仿宋" w:eastAsia="仿宋" w:cs="仿宋"/>
                <w:sz w:val="21"/>
                <w:szCs w:val="21"/>
                <w:u w:val="none"/>
              </w:rPr>
            </w:pPr>
            <w:r>
              <w:rPr>
                <w:rFonts w:hint="eastAsia" w:ascii="仿宋" w:hAnsi="仿宋" w:eastAsia="仿宋" w:cs="仿宋"/>
                <w:sz w:val="21"/>
                <w:szCs w:val="21"/>
                <w:u w:val="none"/>
              </w:rPr>
              <w:t>①完成合同年度《深圳市地价测算规则》的政策修订与完善工作，提交相关成果（DOC格式）；</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仿宋" w:hAnsi="仿宋" w:eastAsia="仿宋" w:cs="仿宋"/>
                <w:sz w:val="21"/>
                <w:szCs w:val="21"/>
                <w:u w:val="none"/>
              </w:rPr>
            </w:pPr>
            <w:r>
              <w:rPr>
                <w:rFonts w:hint="eastAsia" w:ascii="仿宋" w:hAnsi="仿宋" w:eastAsia="仿宋" w:cs="仿宋"/>
                <w:sz w:val="21"/>
                <w:szCs w:val="21"/>
                <w:u w:val="none"/>
              </w:rPr>
              <w:t>②完成合同年度深圳市土地的市场价格测算平台数据更新工作；</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仿宋" w:hAnsi="仿宋" w:eastAsia="仿宋" w:cs="仿宋"/>
                <w:sz w:val="21"/>
                <w:szCs w:val="21"/>
                <w:u w:val="none"/>
              </w:rPr>
            </w:pPr>
            <w:r>
              <w:rPr>
                <w:rFonts w:hint="eastAsia" w:ascii="仿宋" w:hAnsi="仿宋" w:eastAsia="仿宋" w:cs="仿宋"/>
                <w:sz w:val="21"/>
                <w:szCs w:val="21"/>
                <w:u w:val="none"/>
              </w:rPr>
              <w:t>③完成合同年度深圳市存量用地地价测算统计分析工作，提交相关报告（DOC格式）；</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仿宋" w:hAnsi="仿宋" w:eastAsia="仿宋" w:cs="仿宋"/>
                <w:sz w:val="21"/>
                <w:szCs w:val="21"/>
                <w:u w:val="none"/>
              </w:rPr>
            </w:pPr>
            <w:r>
              <w:rPr>
                <w:rFonts w:hint="eastAsia" w:ascii="仿宋" w:hAnsi="仿宋" w:eastAsia="仿宋" w:cs="仿宋"/>
                <w:sz w:val="21"/>
                <w:szCs w:val="21"/>
                <w:u w:val="none"/>
              </w:rPr>
              <w:t>④完成合同年度深圳市新供应、城市更新、土地整备用地地价测算统计分析工作，提交相关报告（DOC格式）；</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仿宋" w:hAnsi="仿宋" w:eastAsia="仿宋" w:cs="仿宋"/>
                <w:sz w:val="21"/>
                <w:szCs w:val="21"/>
                <w:u w:val="none"/>
              </w:rPr>
            </w:pPr>
            <w:r>
              <w:rPr>
                <w:rFonts w:hint="eastAsia" w:ascii="仿宋" w:hAnsi="仿宋" w:eastAsia="仿宋" w:cs="仿宋"/>
                <w:sz w:val="21"/>
                <w:szCs w:val="21"/>
                <w:u w:val="none"/>
              </w:rPr>
              <w:t>⑤完成合同年度全市地价测算的跟踪、调研、服务等工作，提交相关报告（DOC格式）。</w:t>
            </w:r>
          </w:p>
          <w:p>
            <w:pPr>
              <w:keepNext w:val="0"/>
              <w:keepLines w:val="0"/>
              <w:pageBreakBefore w:val="0"/>
              <w:widowControl w:val="0"/>
              <w:numPr>
                <w:ilvl w:val="0"/>
                <w:numId w:val="4"/>
              </w:numPr>
              <w:kinsoku/>
              <w:wordWrap/>
              <w:overflowPunct/>
              <w:topLinePunct w:val="0"/>
              <w:autoSpaceDE/>
              <w:autoSpaceDN/>
              <w:bidi w:val="0"/>
              <w:adjustRightInd w:val="0"/>
              <w:snapToGrid w:val="0"/>
              <w:spacing w:line="312" w:lineRule="auto"/>
              <w:ind w:left="0" w:leftChars="0" w:firstLine="422" w:firstLineChars="200"/>
              <w:jc w:val="left"/>
              <w:textAlignment w:val="auto"/>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项目人员安排要求</w:t>
            </w:r>
          </w:p>
          <w:p>
            <w:pPr>
              <w:keepNext w:val="0"/>
              <w:keepLines w:val="0"/>
              <w:pageBreakBefore w:val="0"/>
              <w:widowControl w:val="0"/>
              <w:kinsoku/>
              <w:wordWrap/>
              <w:overflowPunct/>
              <w:topLinePunct w:val="0"/>
              <w:autoSpaceDE/>
              <w:autoSpaceDN/>
              <w:bidi w:val="0"/>
              <w:adjustRightInd w:val="0"/>
              <w:snapToGrid w:val="0"/>
              <w:spacing w:line="312" w:lineRule="auto"/>
              <w:ind w:firstLine="420" w:firstLineChars="20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1）项目主要负责人应熟悉市规划和自然资源局职责范围业务领域。</w:t>
            </w:r>
          </w:p>
          <w:p>
            <w:pPr>
              <w:keepNext w:val="0"/>
              <w:keepLines w:val="0"/>
              <w:pageBreakBefore w:val="0"/>
              <w:widowControl w:val="0"/>
              <w:kinsoku/>
              <w:wordWrap/>
              <w:overflowPunct/>
              <w:topLinePunct w:val="0"/>
              <w:autoSpaceDE/>
              <w:autoSpaceDN/>
              <w:bidi w:val="0"/>
              <w:adjustRightInd w:val="0"/>
              <w:snapToGrid w:val="0"/>
              <w:spacing w:line="312" w:lineRule="auto"/>
              <w:ind w:firstLine="420" w:firstLineChars="20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2）本项目工作人员</w:t>
            </w:r>
            <w:r>
              <w:rPr>
                <w:rFonts w:hint="eastAsia" w:ascii="仿宋" w:hAnsi="仿宋" w:eastAsia="仿宋" w:cs="仿宋"/>
                <w:color w:val="000000" w:themeColor="text1"/>
                <w:sz w:val="21"/>
                <w:szCs w:val="21"/>
                <w:highlight w:val="none"/>
                <w:lang w:val="en-US" w:eastAsia="zh-CN"/>
                <w14:textFill>
                  <w14:solidFill>
                    <w14:schemeClr w14:val="tx1"/>
                  </w14:solidFill>
                </w14:textFill>
              </w:rPr>
              <w:t>硕士及以上</w:t>
            </w:r>
            <w:r>
              <w:rPr>
                <w:rFonts w:hint="eastAsia" w:ascii="仿宋" w:hAnsi="仿宋" w:eastAsia="仿宋" w:cs="仿宋"/>
                <w:color w:val="000000" w:themeColor="text1"/>
                <w:sz w:val="21"/>
                <w:szCs w:val="21"/>
                <w:highlight w:val="none"/>
                <w14:textFill>
                  <w14:solidFill>
                    <w14:schemeClr w14:val="tx1"/>
                  </w14:solidFill>
                </w14:textFill>
              </w:rPr>
              <w:t>学历</w:t>
            </w:r>
            <w:r>
              <w:rPr>
                <w:rFonts w:hint="eastAsia" w:ascii="仿宋" w:hAnsi="仿宋" w:eastAsia="仿宋" w:cs="仿宋"/>
                <w:color w:val="000000" w:themeColor="text1"/>
                <w:sz w:val="21"/>
                <w:szCs w:val="21"/>
                <w:highlight w:val="none"/>
                <w:lang w:val="en-US" w:eastAsia="zh-CN"/>
                <w14:textFill>
                  <w14:solidFill>
                    <w14:schemeClr w14:val="tx1"/>
                  </w14:solidFill>
                </w14:textFill>
              </w:rPr>
              <w:t>占比应不低于40%</w:t>
            </w: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中级及以上</w:t>
            </w:r>
            <w:r>
              <w:rPr>
                <w:rFonts w:hint="eastAsia" w:ascii="仿宋" w:hAnsi="仿宋" w:eastAsia="仿宋" w:cs="仿宋"/>
                <w:color w:val="000000" w:themeColor="text1"/>
                <w:sz w:val="21"/>
                <w:szCs w:val="21"/>
                <w:highlight w:val="none"/>
                <w14:textFill>
                  <w14:solidFill>
                    <w14:schemeClr w14:val="tx1"/>
                  </w14:solidFill>
                </w14:textFill>
              </w:rPr>
              <w:t>职称</w:t>
            </w:r>
            <w:r>
              <w:rPr>
                <w:rFonts w:hint="eastAsia" w:ascii="仿宋" w:hAnsi="仿宋" w:eastAsia="仿宋" w:cs="仿宋"/>
                <w:color w:val="000000" w:themeColor="text1"/>
                <w:sz w:val="21"/>
                <w:szCs w:val="21"/>
                <w:highlight w:val="none"/>
                <w:lang w:val="en-US" w:eastAsia="zh-CN"/>
                <w14:textFill>
                  <w14:solidFill>
                    <w14:schemeClr w14:val="tx1"/>
                  </w14:solidFill>
                </w14:textFill>
              </w:rPr>
              <w:t>占比应不低于40%</w:t>
            </w:r>
            <w:r>
              <w:rPr>
                <w:rFonts w:hint="eastAsia" w:ascii="仿宋" w:hAnsi="仿宋" w:eastAsia="仿宋" w:cs="仿宋"/>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312" w:lineRule="auto"/>
              <w:ind w:firstLine="420" w:firstLineChars="200"/>
              <w:jc w:val="left"/>
              <w:textAlignment w:val="auto"/>
              <w:rPr>
                <w:rFonts w:hint="eastAsia" w:ascii="仿宋" w:hAnsi="仿宋" w:eastAsia="仿宋" w:cs="仿宋"/>
                <w:sz w:val="21"/>
                <w:szCs w:val="21"/>
              </w:rPr>
            </w:pPr>
            <w:r>
              <w:rPr>
                <w:rFonts w:hint="eastAsia" w:ascii="仿宋" w:hAnsi="仿宋" w:eastAsia="仿宋" w:cs="仿宋"/>
                <w:color w:val="000000" w:themeColor="text1"/>
                <w:sz w:val="21"/>
                <w:szCs w:val="21"/>
                <w:highlight w:val="none"/>
                <w14:textFill>
                  <w14:solidFill>
                    <w14:schemeClr w14:val="tx1"/>
                  </w14:solidFill>
                </w14:textFill>
              </w:rPr>
              <w:t>3）参与人员名单、项目参与时间在项目实施过程中不能更换，如确需更换，必须得到采购方的同意。</w:t>
            </w:r>
          </w:p>
          <w:p>
            <w:pPr>
              <w:keepNext w:val="0"/>
              <w:keepLines w:val="0"/>
              <w:pageBreakBefore w:val="0"/>
              <w:widowControl w:val="0"/>
              <w:kinsoku/>
              <w:wordWrap/>
              <w:overflowPunct/>
              <w:topLinePunct w:val="0"/>
              <w:autoSpaceDE/>
              <w:autoSpaceDN/>
              <w:bidi w:val="0"/>
              <w:adjustRightInd w:val="0"/>
              <w:snapToGrid w:val="0"/>
              <w:spacing w:line="312" w:lineRule="auto"/>
              <w:ind w:firstLine="422" w:firstLineChars="200"/>
              <w:jc w:val="left"/>
              <w:textAlignment w:val="auto"/>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8、售后服务内容、要求和期限</w:t>
            </w:r>
          </w:p>
          <w:p>
            <w:pPr>
              <w:pStyle w:val="21"/>
              <w:keepNext w:val="0"/>
              <w:keepLines w:val="0"/>
              <w:pageBreakBefore w:val="0"/>
              <w:widowControl w:val="0"/>
              <w:kinsoku/>
              <w:wordWrap/>
              <w:overflowPunct/>
              <w:topLinePunct w:val="0"/>
              <w:autoSpaceDE/>
              <w:autoSpaceDN/>
              <w:bidi w:val="0"/>
              <w:adjustRightInd w:val="0"/>
              <w:snapToGrid w:val="0"/>
              <w:spacing w:line="312" w:lineRule="auto"/>
              <w:ind w:firstLine="420" w:firstLineChars="200"/>
              <w:textAlignment w:val="auto"/>
              <w:rPr>
                <w:rFonts w:hint="eastAsia" w:ascii="仿宋" w:hAnsi="仿宋" w:eastAsia="仿宋" w:cs="仿宋"/>
                <w:sz w:val="21"/>
                <w:szCs w:val="21"/>
              </w:rPr>
            </w:pPr>
            <w:r>
              <w:rPr>
                <w:rFonts w:hint="eastAsia" w:ascii="仿宋" w:hAnsi="仿宋" w:eastAsia="仿宋" w:cs="仿宋"/>
                <w:color w:val="000000" w:themeColor="text1"/>
                <w:sz w:val="21"/>
                <w:szCs w:val="21"/>
                <w:highlight w:val="none"/>
                <w:lang w:eastAsia="zh-CN"/>
                <w14:textFill>
                  <w14:solidFill>
                    <w14:schemeClr w14:val="tx1"/>
                  </w14:solidFill>
                </w14:textFill>
              </w:rPr>
              <w:t>投标人</w:t>
            </w:r>
            <w:r>
              <w:rPr>
                <w:rFonts w:hint="eastAsia" w:ascii="仿宋" w:hAnsi="仿宋" w:eastAsia="仿宋" w:cs="仿宋"/>
                <w:color w:val="000000" w:themeColor="text1"/>
                <w:sz w:val="21"/>
                <w:szCs w:val="21"/>
                <w:highlight w:val="none"/>
                <w14:textFill>
                  <w14:solidFill>
                    <w14:schemeClr w14:val="tx1"/>
                  </w14:solidFill>
                </w14:textFill>
              </w:rPr>
              <w:t>应配合</w:t>
            </w:r>
            <w:r>
              <w:rPr>
                <w:rFonts w:hint="eastAsia" w:ascii="仿宋" w:hAnsi="仿宋" w:eastAsia="仿宋" w:cs="仿宋"/>
                <w:color w:val="000000" w:themeColor="text1"/>
                <w:sz w:val="21"/>
                <w:szCs w:val="21"/>
                <w:highlight w:val="none"/>
                <w:lang w:eastAsia="zh-CN"/>
                <w14:textFill>
                  <w14:solidFill>
                    <w14:schemeClr w14:val="tx1"/>
                  </w14:solidFill>
                </w14:textFill>
              </w:rPr>
              <w:t>采购人</w:t>
            </w:r>
            <w:r>
              <w:rPr>
                <w:rFonts w:hint="eastAsia" w:ascii="仿宋" w:hAnsi="仿宋" w:eastAsia="仿宋" w:cs="仿宋"/>
                <w:color w:val="000000" w:themeColor="text1"/>
                <w:sz w:val="21"/>
                <w:szCs w:val="21"/>
                <w:highlight w:val="none"/>
                <w14:textFill>
                  <w14:solidFill>
                    <w14:schemeClr w14:val="tx1"/>
                  </w14:solidFill>
                </w14:textFill>
              </w:rPr>
              <w:t>组织、举办本</w:t>
            </w:r>
            <w:r>
              <w:rPr>
                <w:rFonts w:hint="eastAsia" w:ascii="仿宋" w:hAnsi="仿宋" w:eastAsia="仿宋" w:cs="仿宋"/>
                <w:color w:val="000000" w:themeColor="text1"/>
                <w:sz w:val="21"/>
                <w:szCs w:val="21"/>
                <w:highlight w:val="none"/>
                <w:lang w:eastAsia="zh-CN"/>
                <w14:textFill>
                  <w14:solidFill>
                    <w14:schemeClr w14:val="tx1"/>
                  </w14:solidFill>
                </w14:textFill>
              </w:rPr>
              <w:t>项目</w:t>
            </w:r>
            <w:r>
              <w:rPr>
                <w:rFonts w:hint="eastAsia" w:ascii="仿宋" w:hAnsi="仿宋" w:eastAsia="仿宋" w:cs="仿宋"/>
                <w:color w:val="000000" w:themeColor="text1"/>
                <w:sz w:val="21"/>
                <w:szCs w:val="21"/>
                <w:highlight w:val="none"/>
                <w14:textFill>
                  <w14:solidFill>
                    <w14:schemeClr w14:val="tx1"/>
                  </w14:solidFill>
                </w14:textFill>
              </w:rPr>
              <w:t>项目各工作阶段的汇报、审查、研讨、公开展示及公众咨询等工作，并负责解答相应的技术问题。本项目最终成果验收后2年以内，</w:t>
            </w:r>
            <w:r>
              <w:rPr>
                <w:rFonts w:hint="eastAsia" w:ascii="仿宋" w:hAnsi="仿宋" w:eastAsia="仿宋" w:cs="仿宋"/>
                <w:color w:val="000000" w:themeColor="text1"/>
                <w:sz w:val="21"/>
                <w:szCs w:val="21"/>
                <w:highlight w:val="none"/>
                <w:lang w:eastAsia="zh-CN"/>
                <w14:textFill>
                  <w14:solidFill>
                    <w14:schemeClr w14:val="tx1"/>
                  </w14:solidFill>
                </w14:textFill>
              </w:rPr>
              <w:t>投标人</w:t>
            </w:r>
            <w:r>
              <w:rPr>
                <w:rFonts w:hint="eastAsia" w:ascii="仿宋" w:hAnsi="仿宋" w:eastAsia="仿宋" w:cs="仿宋"/>
                <w:color w:val="000000" w:themeColor="text1"/>
                <w:sz w:val="21"/>
                <w:szCs w:val="21"/>
                <w:highlight w:val="none"/>
                <w14:textFill>
                  <w14:solidFill>
                    <w14:schemeClr w14:val="tx1"/>
                  </w14:solidFill>
                </w14:textFill>
              </w:rPr>
              <w:t>仍应配合</w:t>
            </w:r>
            <w:r>
              <w:rPr>
                <w:rFonts w:hint="eastAsia" w:ascii="仿宋" w:hAnsi="仿宋" w:eastAsia="仿宋" w:cs="仿宋"/>
                <w:color w:val="000000" w:themeColor="text1"/>
                <w:sz w:val="21"/>
                <w:szCs w:val="21"/>
                <w:highlight w:val="none"/>
                <w:lang w:eastAsia="zh-CN"/>
                <w14:textFill>
                  <w14:solidFill>
                    <w14:schemeClr w14:val="tx1"/>
                  </w14:solidFill>
                </w14:textFill>
              </w:rPr>
              <w:t>采购人</w:t>
            </w:r>
            <w:r>
              <w:rPr>
                <w:rFonts w:hint="eastAsia" w:ascii="仿宋" w:hAnsi="仿宋" w:eastAsia="仿宋" w:cs="仿宋"/>
                <w:color w:val="000000" w:themeColor="text1"/>
                <w:sz w:val="21"/>
                <w:szCs w:val="21"/>
                <w:highlight w:val="none"/>
                <w14:textFill>
                  <w14:solidFill>
                    <w14:schemeClr w14:val="tx1"/>
                  </w14:solidFill>
                </w14:textFill>
              </w:rPr>
              <w:t>就本项目提供必要的解释和咨询。</w:t>
            </w:r>
          </w:p>
          <w:p>
            <w:pPr>
              <w:keepNext w:val="0"/>
              <w:keepLines w:val="0"/>
              <w:pageBreakBefore w:val="0"/>
              <w:widowControl w:val="0"/>
              <w:kinsoku/>
              <w:wordWrap/>
              <w:overflowPunct/>
              <w:topLinePunct w:val="0"/>
              <w:autoSpaceDE/>
              <w:autoSpaceDN/>
              <w:bidi w:val="0"/>
              <w:spacing w:line="312" w:lineRule="auto"/>
              <w:ind w:firstLine="207" w:firstLineChars="98"/>
              <w:jc w:val="left"/>
              <w:textAlignment w:val="auto"/>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（以上内容，可根据实际项目作增减）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560" w:type="dxa"/>
            <w:vMerge w:val="restart"/>
            <w:noWrap w:val="0"/>
            <w:vAlign w:val="top"/>
          </w:tcPr>
          <w:p>
            <w:pPr>
              <w:keepNext w:val="0"/>
              <w:keepLines w:val="0"/>
              <w:pageBreakBefore w:val="0"/>
              <w:widowControl w:val="0"/>
              <w:kinsoku/>
              <w:overflowPunct/>
              <w:topLinePunct w:val="0"/>
              <w:autoSpaceDE/>
              <w:autoSpaceDN/>
              <w:bidi w:val="0"/>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其他要求</w:t>
            </w:r>
          </w:p>
        </w:tc>
        <w:tc>
          <w:tcPr>
            <w:tcW w:w="7407" w:type="dxa"/>
            <w:gridSpan w:val="4"/>
            <w:noWrap w:val="0"/>
            <w:vAlign w:val="top"/>
          </w:tcPr>
          <w:p>
            <w:pPr>
              <w:keepNext w:val="0"/>
              <w:keepLines w:val="0"/>
              <w:pageBreakBefore w:val="0"/>
              <w:widowControl w:val="0"/>
              <w:kinsoku/>
              <w:overflowPunct/>
              <w:topLinePunct w:val="0"/>
              <w:autoSpaceDE/>
              <w:autoSpaceDN/>
              <w:bidi w:val="0"/>
              <w:jc w:val="left"/>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特定供应商的名称、项目负责人及联系方式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60" w:type="dxa"/>
            <w:vMerge w:val="continue"/>
            <w:noWrap w:val="0"/>
            <w:vAlign w:val="top"/>
          </w:tcPr>
          <w:p>
            <w:pPr>
              <w:keepNext w:val="0"/>
              <w:keepLines w:val="0"/>
              <w:pageBreakBefore w:val="0"/>
              <w:widowControl w:val="0"/>
              <w:kinsoku/>
              <w:overflowPunct/>
              <w:topLinePunct w:val="0"/>
              <w:autoSpaceDE/>
              <w:autoSpaceDN/>
              <w:bidi w:val="0"/>
              <w:jc w:val="left"/>
              <w:rPr>
                <w:rFonts w:hint="eastAsia" w:ascii="仿宋" w:hAnsi="仿宋" w:eastAsia="仿宋" w:cs="仿宋"/>
                <w:color w:val="000000" w:themeColor="text1"/>
                <w:kern w:val="0"/>
                <w:szCs w:val="21"/>
                <w:highlight w:val="none"/>
                <w14:textFill>
                  <w14:solidFill>
                    <w14:schemeClr w14:val="tx1"/>
                  </w14:solidFill>
                </w14:textFill>
              </w:rPr>
            </w:pPr>
          </w:p>
        </w:tc>
        <w:tc>
          <w:tcPr>
            <w:tcW w:w="850" w:type="dxa"/>
            <w:vMerge w:val="restart"/>
            <w:noWrap w:val="0"/>
            <w:vAlign w:val="top"/>
          </w:tcPr>
          <w:p>
            <w:pPr>
              <w:keepNext w:val="0"/>
              <w:keepLines w:val="0"/>
              <w:pageBreakBefore w:val="0"/>
              <w:widowControl w:val="0"/>
              <w:kinsoku/>
              <w:overflowPunct/>
              <w:topLinePunct w:val="0"/>
              <w:autoSpaceDE/>
              <w:autoSpaceDN/>
              <w:bidi w:val="0"/>
              <w:jc w:val="left"/>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特定供应商</w:t>
            </w:r>
          </w:p>
        </w:tc>
        <w:tc>
          <w:tcPr>
            <w:tcW w:w="6557" w:type="dxa"/>
            <w:gridSpan w:val="3"/>
            <w:noWrap w:val="0"/>
            <w:vAlign w:val="top"/>
          </w:tcPr>
          <w:p>
            <w:pPr>
              <w:keepNext w:val="0"/>
              <w:keepLines w:val="0"/>
              <w:pageBreakBefore w:val="0"/>
              <w:widowControl w:val="0"/>
              <w:kinsoku/>
              <w:overflowPunct/>
              <w:topLinePunct w:val="0"/>
              <w:autoSpaceDE/>
              <w:autoSpaceDN/>
              <w:bidi w:val="0"/>
              <w:jc w:val="left"/>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单位名称：深圳市自然资源和不动产评估发展研究中心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560" w:type="dxa"/>
            <w:vMerge w:val="continue"/>
            <w:noWrap w:val="0"/>
            <w:vAlign w:val="top"/>
          </w:tcPr>
          <w:p>
            <w:pPr>
              <w:keepNext w:val="0"/>
              <w:keepLines w:val="0"/>
              <w:pageBreakBefore w:val="0"/>
              <w:widowControl w:val="0"/>
              <w:kinsoku/>
              <w:overflowPunct/>
              <w:topLinePunct w:val="0"/>
              <w:autoSpaceDE/>
              <w:autoSpaceDN/>
              <w:bidi w:val="0"/>
              <w:jc w:val="left"/>
              <w:rPr>
                <w:rFonts w:hint="eastAsia" w:ascii="仿宋" w:hAnsi="仿宋" w:eastAsia="仿宋" w:cs="仿宋"/>
                <w:color w:val="000000" w:themeColor="text1"/>
                <w:kern w:val="0"/>
                <w:szCs w:val="21"/>
                <w:highlight w:val="none"/>
                <w14:textFill>
                  <w14:solidFill>
                    <w14:schemeClr w14:val="tx1"/>
                  </w14:solidFill>
                </w14:textFill>
              </w:rPr>
            </w:pPr>
          </w:p>
        </w:tc>
        <w:tc>
          <w:tcPr>
            <w:tcW w:w="850" w:type="dxa"/>
            <w:vMerge w:val="continue"/>
            <w:noWrap w:val="0"/>
            <w:vAlign w:val="top"/>
          </w:tcPr>
          <w:p>
            <w:pPr>
              <w:keepNext w:val="0"/>
              <w:keepLines w:val="0"/>
              <w:pageBreakBefore w:val="0"/>
              <w:widowControl w:val="0"/>
              <w:kinsoku/>
              <w:overflowPunct/>
              <w:topLinePunct w:val="0"/>
              <w:autoSpaceDE/>
              <w:autoSpaceDN/>
              <w:bidi w:val="0"/>
              <w:jc w:val="left"/>
              <w:rPr>
                <w:rFonts w:hint="eastAsia" w:ascii="仿宋" w:hAnsi="仿宋" w:eastAsia="仿宋" w:cs="仿宋"/>
                <w:bCs/>
                <w:color w:val="000000" w:themeColor="text1"/>
                <w:kern w:val="0"/>
                <w:szCs w:val="21"/>
                <w:highlight w:val="none"/>
                <w14:textFill>
                  <w14:solidFill>
                    <w14:schemeClr w14:val="tx1"/>
                  </w14:solidFill>
                </w14:textFill>
              </w:rPr>
            </w:pPr>
          </w:p>
        </w:tc>
        <w:tc>
          <w:tcPr>
            <w:tcW w:w="6557" w:type="dxa"/>
            <w:gridSpan w:val="3"/>
            <w:noWrap w:val="0"/>
            <w:vAlign w:val="top"/>
          </w:tcPr>
          <w:p>
            <w:pPr>
              <w:keepNext w:val="0"/>
              <w:keepLines w:val="0"/>
              <w:pageBreakBefore w:val="0"/>
              <w:widowControl w:val="0"/>
              <w:kinsoku/>
              <w:overflowPunct/>
              <w:topLinePunct w:val="0"/>
              <w:autoSpaceDE/>
              <w:autoSpaceDN/>
              <w:bidi w:val="0"/>
              <w:jc w:val="left"/>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项目经办人：刘颖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60" w:type="dxa"/>
            <w:vMerge w:val="continue"/>
            <w:noWrap w:val="0"/>
            <w:vAlign w:val="top"/>
          </w:tcPr>
          <w:p>
            <w:pPr>
              <w:keepNext w:val="0"/>
              <w:keepLines w:val="0"/>
              <w:pageBreakBefore w:val="0"/>
              <w:widowControl w:val="0"/>
              <w:kinsoku/>
              <w:overflowPunct/>
              <w:topLinePunct w:val="0"/>
              <w:autoSpaceDE/>
              <w:autoSpaceDN/>
              <w:bidi w:val="0"/>
              <w:jc w:val="left"/>
              <w:rPr>
                <w:rFonts w:hint="eastAsia" w:ascii="仿宋" w:hAnsi="仿宋" w:eastAsia="仿宋" w:cs="仿宋"/>
                <w:color w:val="000000" w:themeColor="text1"/>
                <w:kern w:val="0"/>
                <w:szCs w:val="21"/>
                <w:highlight w:val="none"/>
                <w14:textFill>
                  <w14:solidFill>
                    <w14:schemeClr w14:val="tx1"/>
                  </w14:solidFill>
                </w14:textFill>
              </w:rPr>
            </w:pPr>
          </w:p>
        </w:tc>
        <w:tc>
          <w:tcPr>
            <w:tcW w:w="850" w:type="dxa"/>
            <w:vMerge w:val="continue"/>
            <w:noWrap w:val="0"/>
            <w:vAlign w:val="top"/>
          </w:tcPr>
          <w:p>
            <w:pPr>
              <w:keepNext w:val="0"/>
              <w:keepLines w:val="0"/>
              <w:pageBreakBefore w:val="0"/>
              <w:widowControl w:val="0"/>
              <w:kinsoku/>
              <w:overflowPunct/>
              <w:topLinePunct w:val="0"/>
              <w:autoSpaceDE/>
              <w:autoSpaceDN/>
              <w:bidi w:val="0"/>
              <w:jc w:val="left"/>
              <w:rPr>
                <w:rFonts w:hint="eastAsia" w:ascii="仿宋" w:hAnsi="仿宋" w:eastAsia="仿宋" w:cs="仿宋"/>
                <w:bCs/>
                <w:color w:val="000000" w:themeColor="text1"/>
                <w:kern w:val="0"/>
                <w:szCs w:val="21"/>
                <w:highlight w:val="none"/>
                <w14:textFill>
                  <w14:solidFill>
                    <w14:schemeClr w14:val="tx1"/>
                  </w14:solidFill>
                </w14:textFill>
              </w:rPr>
            </w:pPr>
          </w:p>
        </w:tc>
        <w:tc>
          <w:tcPr>
            <w:tcW w:w="6557" w:type="dxa"/>
            <w:gridSpan w:val="3"/>
            <w:noWrap w:val="0"/>
            <w:vAlign w:val="top"/>
          </w:tcPr>
          <w:p>
            <w:pPr>
              <w:keepNext w:val="0"/>
              <w:keepLines w:val="0"/>
              <w:pageBreakBefore w:val="0"/>
              <w:widowControl w:val="0"/>
              <w:kinsoku/>
              <w:overflowPunct/>
              <w:topLinePunct w:val="0"/>
              <w:autoSpaceDE/>
              <w:autoSpaceDN/>
              <w:bidi w:val="0"/>
              <w:jc w:val="left"/>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联系电话：0755-83139032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right w:val="single" w:color="auto" w:sz="4" w:space="0"/>
            </w:tcBorders>
            <w:noWrap w:val="0"/>
            <w:vAlign w:val="top"/>
          </w:tcPr>
          <w:p>
            <w:pPr>
              <w:keepNext w:val="0"/>
              <w:keepLines w:val="0"/>
              <w:pageBreakBefore w:val="0"/>
              <w:widowControl w:val="0"/>
              <w:kinsoku/>
              <w:overflowPunct/>
              <w:topLinePunct w:val="0"/>
              <w:autoSpaceDE/>
              <w:autoSpaceDN/>
              <w:bidi w:val="0"/>
              <w:jc w:val="center"/>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评标信息</w:t>
            </w:r>
          </w:p>
        </w:tc>
        <w:tc>
          <w:tcPr>
            <w:tcW w:w="7407" w:type="dxa"/>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ordWrap/>
              <w:overflowPunct/>
              <w:topLinePunct w:val="0"/>
              <w:bidi w:val="0"/>
              <w:adjustRightInd w:val="0"/>
              <w:snapToGrid w:val="0"/>
              <w:spacing w:line="312" w:lineRule="auto"/>
              <w:ind w:firstLine="422" w:firstLineChars="200"/>
              <w:rPr>
                <w:rFonts w:hint="eastAsia" w:ascii="仿宋" w:hAnsi="仿宋" w:eastAsia="仿宋" w:cs="仿宋"/>
                <w:b/>
                <w:color w:val="000000" w:themeColor="text1"/>
                <w:sz w:val="21"/>
                <w:szCs w:val="21"/>
                <w:highlight w:val="none"/>
                <w:lang w:val="en-US" w:eastAsia="zh-CN"/>
                <w14:textFill>
                  <w14:solidFill>
                    <w14:schemeClr w14:val="tx1"/>
                  </w14:solidFill>
                </w14:textFill>
              </w:rPr>
            </w:pPr>
            <w:r>
              <w:rPr>
                <w:rFonts w:hint="eastAsia" w:ascii="仿宋" w:hAnsi="仿宋" w:eastAsia="仿宋" w:cs="仿宋"/>
                <w:b/>
                <w:color w:val="000000" w:themeColor="text1"/>
                <w:sz w:val="21"/>
                <w:szCs w:val="21"/>
                <w:highlight w:val="none"/>
                <w:lang w:val="en-US" w:eastAsia="zh-CN"/>
                <w14:textFill>
                  <w14:solidFill>
                    <w14:schemeClr w14:val="tx1"/>
                  </w14:solidFill>
                </w14:textFill>
              </w:rPr>
              <w:t>采购方式：单一来源。</w:t>
            </w:r>
          </w:p>
          <w:p>
            <w:pPr>
              <w:keepNext w:val="0"/>
              <w:keepLines w:val="0"/>
              <w:pageBreakBefore w:val="0"/>
              <w:wordWrap/>
              <w:overflowPunct/>
              <w:topLinePunct w:val="0"/>
              <w:bidi w:val="0"/>
              <w:adjustRightInd w:val="0"/>
              <w:snapToGrid w:val="0"/>
              <w:spacing w:line="312" w:lineRule="auto"/>
              <w:ind w:firstLine="422"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评标方法</w:t>
            </w:r>
            <w:r>
              <w:rPr>
                <w:rFonts w:hint="eastAsia" w:ascii="仿宋" w:hAnsi="仿宋" w:eastAsia="仿宋" w:cs="仿宋"/>
                <w:b/>
                <w:color w:val="000000" w:themeColor="text1"/>
                <w:sz w:val="21"/>
                <w:szCs w:val="21"/>
                <w:highlight w:val="none"/>
                <w:lang w:eastAsia="zh-CN"/>
                <w14:textFill>
                  <w14:solidFill>
                    <w14:schemeClr w14:val="tx1"/>
                  </w14:solidFill>
                </w14:textFill>
              </w:rPr>
              <w:t>：</w:t>
            </w:r>
            <w:r>
              <w:rPr>
                <w:rFonts w:hint="eastAsia" w:ascii="仿宋" w:hAnsi="仿宋" w:eastAsia="仿宋" w:cs="仿宋"/>
                <w:b/>
                <w:color w:val="000000" w:themeColor="text1"/>
                <w:sz w:val="21"/>
                <w:szCs w:val="21"/>
                <w:highlight w:val="none"/>
                <w:lang w:val="en-US" w:eastAsia="zh-CN"/>
                <w14:textFill>
                  <w14:solidFill>
                    <w14:schemeClr w14:val="tx1"/>
                  </w14:solidFill>
                </w14:textFill>
              </w:rPr>
              <w:t>最低价法</w:t>
            </w:r>
            <w:r>
              <w:rPr>
                <w:rFonts w:hint="eastAsia" w:ascii="仿宋" w:hAnsi="仿宋" w:eastAsia="仿宋" w:cs="仿宋"/>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312" w:lineRule="auto"/>
              <w:ind w:firstLine="422" w:firstLineChars="200"/>
              <w:jc w:val="left"/>
              <w:rPr>
                <w:rFonts w:hint="eastAsia" w:ascii="仿宋" w:hAnsi="仿宋" w:eastAsia="仿宋" w:cs="仿宋"/>
                <w:b w:val="0"/>
                <w:bCs/>
                <w:color w:val="000000" w:themeColor="text1"/>
                <w:sz w:val="21"/>
                <w:szCs w:val="21"/>
                <w:highlight w:val="none"/>
                <w14:textFill>
                  <w14:solidFill>
                    <w14:schemeClr w14:val="tx1"/>
                  </w14:solidFill>
                </w14:textFill>
              </w:rPr>
            </w:pPr>
            <w:r>
              <w:rPr>
                <w:rFonts w:hint="eastAsia" w:ascii="仿宋" w:hAnsi="仿宋" w:eastAsia="仿宋" w:cs="仿宋"/>
                <w:b/>
                <w:bCs w:val="0"/>
                <w:color w:val="000000" w:themeColor="text1"/>
                <w:sz w:val="21"/>
                <w:szCs w:val="21"/>
                <w:highlight w:val="none"/>
                <w14:textFill>
                  <w14:solidFill>
                    <w14:schemeClr w14:val="tx1"/>
                  </w14:solidFill>
                </w14:textFill>
              </w:rPr>
              <w:t>该项目符合《深圳经济特区政府采购条例》第二十一条第（四）款情形，“其他具有复杂性、专门性、特殊性的项目，且只有唯一供应商的”。</w:t>
            </w:r>
            <w:r>
              <w:rPr>
                <w:rFonts w:hint="eastAsia" w:ascii="仿宋" w:hAnsi="仿宋" w:eastAsia="仿宋" w:cs="仿宋"/>
                <w:b w:val="0"/>
                <w:bCs/>
                <w:color w:val="000000" w:themeColor="text1"/>
                <w:sz w:val="21"/>
                <w:szCs w:val="21"/>
                <w:highlight w:val="none"/>
                <w14:textFill>
                  <w14:solidFill>
                    <w14:schemeClr w14:val="tx1"/>
                  </w14:solidFill>
                </w14:textFill>
              </w:rPr>
              <w:t>目前，我局已实行《深圳市地价测算规则》，规则将土地出让、城市更新、土地整备等各类地价政策统一到新的土地市场价格体系内，且规定我市土地的市场价格由市自然资源行政主管部门组织市非盈利性评估机构评估确定。土地的市场价格建立在标定地价和剩余法整体估价的评估成果基础上，评估过程复杂、专业性强，需要大量的基础数据支撑，同时，地价既要体现政府的管理需求和导向，又要与政策紧密联系，地价形成的过程及成果，地价政策的评估敏感且具有特殊性、保密性。并且，非盈利性机构指组织的经营、运作目的不是获取利润的组织，深圳市自然资源和不动产评估发展研究中心归属我局事业单位，不承接市场业务，符合非盈利性机构定义，是非盈利性评估机构。根据我市法定机构的性质和市编办赋予的职能，深圳市自然资源和不动产评估发展研究中心是我市唯一能够开展该类业务的非盈利性评估机构，各区政府均无同类非盈利性评估机构，是能够实施该项目的唯一供应商。因此该项目适用单一来源方式采购。</w:t>
            </w:r>
          </w:p>
          <w:p>
            <w:pPr>
              <w:keepNext w:val="0"/>
              <w:keepLines w:val="0"/>
              <w:pageBreakBefore w:val="0"/>
              <w:widowControl w:val="0"/>
              <w:kinsoku/>
              <w:wordWrap/>
              <w:overflowPunct/>
              <w:topLinePunct w:val="0"/>
              <w:autoSpaceDE/>
              <w:autoSpaceDN/>
              <w:bidi w:val="0"/>
              <w:adjustRightInd w:val="0"/>
              <w:snapToGrid w:val="0"/>
              <w:spacing w:line="312" w:lineRule="auto"/>
              <w:ind w:firstLine="422" w:firstLineChars="200"/>
              <w:jc w:val="left"/>
              <w:rPr>
                <w:rFonts w:hint="eastAsia" w:ascii="仿宋" w:hAnsi="仿宋" w:eastAsia="仿宋" w:cs="仿宋"/>
                <w:b w:val="0"/>
                <w:bCs/>
                <w:color w:val="000000" w:themeColor="text1"/>
                <w:sz w:val="21"/>
                <w:szCs w:val="21"/>
                <w:highlight w:val="none"/>
                <w14:textFill>
                  <w14:solidFill>
                    <w14:schemeClr w14:val="tx1"/>
                  </w14:solidFill>
                </w14:textFill>
              </w:rPr>
            </w:pPr>
            <w:r>
              <w:rPr>
                <w:rFonts w:hint="eastAsia" w:ascii="仿宋" w:hAnsi="仿宋" w:eastAsia="仿宋" w:cs="仿宋"/>
                <w:b/>
                <w:bCs w:val="0"/>
                <w:color w:val="000000" w:themeColor="text1"/>
                <w:sz w:val="21"/>
                <w:szCs w:val="21"/>
                <w:highlight w:val="none"/>
                <w14:textFill>
                  <w14:solidFill>
                    <w14:schemeClr w14:val="tx1"/>
                  </w14:solidFill>
                </w14:textFill>
              </w:rPr>
              <w:t>该项目符合《深圳经济特区政府采购条例》第二十一条第（三）款情形，“为保证与原有政府采购项目的一致性或者服务配套的要求，需要向原供应商添购”。</w:t>
            </w:r>
            <w:r>
              <w:rPr>
                <w:rFonts w:hint="eastAsia" w:ascii="仿宋" w:hAnsi="仿宋" w:eastAsia="仿宋" w:cs="仿宋"/>
                <w:b w:val="0"/>
                <w:bCs/>
                <w:color w:val="000000" w:themeColor="text1"/>
                <w:sz w:val="21"/>
                <w:szCs w:val="21"/>
                <w:highlight w:val="none"/>
                <w14:textFill>
                  <w14:solidFill>
                    <w14:schemeClr w14:val="tx1"/>
                  </w14:solidFill>
                </w14:textFill>
              </w:rPr>
              <w:t>我局一直以来都是直接委托深圳市自然资源和不动产评估发展研究中心开展全市基准地价更新评估、标定地价评估、地价动态监测、出让底价评估、补地价评估、土地置换评估等工作，充分保障了我市国土基金收入的完成量和完成进度，为全市经济社会持续健康发展提供了有力支撑。近五年来，我局每年都组织深圳市自然资源和不动产评估发展研究中心开展标定地价、剩余法整体估价等前期研究工作，在土地的市场价格评估及应用服务支撑方面进行了积极探索和积累，已在全国取得领先地位。并且，深圳市自然资源和不动产评估发展研究中心承担了《2019年度深圳市土地的市场价格评估及应用技术服务支撑》、《2020年度深圳市土地的市场价格评估及应用技术服务支撑》、《2021年度深圳市土地的市场价格评估及应用技术服务支撑》、《2022年度深圳市土地的市场价格评估及应用技术服务支撑》、《2024年度深圳市土地的市场价格评估及应用》项目，并都采用单一来源方式采购。为保证土地的市场价格评估及应用工作的“一致性”要求，建议采用原供应商。</w:t>
            </w:r>
          </w:p>
          <w:p>
            <w:pPr>
              <w:keepNext w:val="0"/>
              <w:keepLines w:val="0"/>
              <w:pageBreakBefore w:val="0"/>
              <w:widowControl w:val="0"/>
              <w:kinsoku/>
              <w:wordWrap/>
              <w:overflowPunct/>
              <w:topLinePunct w:val="0"/>
              <w:autoSpaceDE/>
              <w:autoSpaceDN/>
              <w:bidi w:val="0"/>
              <w:adjustRightInd w:val="0"/>
              <w:snapToGrid w:val="0"/>
              <w:spacing w:line="312" w:lineRule="auto"/>
              <w:ind w:firstLine="420" w:firstLineChars="200"/>
              <w:jc w:val="left"/>
              <w:rPr>
                <w:rFonts w:hint="eastAsia" w:ascii="仿宋" w:hAnsi="仿宋" w:eastAsia="仿宋" w:cs="仿宋"/>
                <w:b w:val="0"/>
                <w:bCs/>
                <w:color w:val="000000" w:themeColor="text1"/>
                <w:sz w:val="21"/>
                <w:szCs w:val="21"/>
                <w:highlight w:val="none"/>
                <w14:textFill>
                  <w14:solidFill>
                    <w14:schemeClr w14:val="tx1"/>
                  </w14:solidFill>
                </w14:textFill>
              </w:rPr>
            </w:pPr>
            <w:r>
              <w:rPr>
                <w:rFonts w:hint="eastAsia" w:ascii="仿宋" w:hAnsi="仿宋" w:eastAsia="仿宋" w:cs="仿宋"/>
                <w:b w:val="0"/>
                <w:bCs/>
                <w:color w:val="000000" w:themeColor="text1"/>
                <w:sz w:val="21"/>
                <w:szCs w:val="21"/>
                <w:highlight w:val="none"/>
                <w14:textFill>
                  <w14:solidFill>
                    <w14:schemeClr w14:val="tx1"/>
                  </w14:solidFill>
                </w14:textFill>
              </w:rPr>
              <w:t>供应商资质、业绩情况。根据深编办〔2009〕81号、深编办〔2016〕10号、深编办〔2019〕58号等文件,深圳市自然资源和不动产评估发展研究中心承担了我市地价标准制定及地价评估等方面的多项职能，包括：负责政府各类土地招标拍卖挂牌出让底价、特殊用地价格的评估，以及收回、收购、置换中涉及土地房产及相关资产价格的评估等；负责国有建设用地使用权出让合同变更涉及的地价评估；负责全市公告基准地价的建立维护及数据更新；承担土地市场运行状况的动态监测、预警预报及调查评估等工作；承担土地资产资本评估职责等。</w:t>
            </w:r>
          </w:p>
          <w:p>
            <w:pPr>
              <w:keepNext w:val="0"/>
              <w:keepLines w:val="0"/>
              <w:pageBreakBefore w:val="0"/>
              <w:widowControl w:val="0"/>
              <w:kinsoku/>
              <w:wordWrap/>
              <w:overflowPunct/>
              <w:topLinePunct w:val="0"/>
              <w:autoSpaceDE/>
              <w:autoSpaceDN/>
              <w:bidi w:val="0"/>
              <w:adjustRightInd w:val="0"/>
              <w:snapToGrid w:val="0"/>
              <w:spacing w:line="312" w:lineRule="auto"/>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b w:val="0"/>
                <w:bCs/>
                <w:color w:val="000000" w:themeColor="text1"/>
                <w:sz w:val="21"/>
                <w:szCs w:val="21"/>
                <w:highlight w:val="none"/>
                <w14:textFill>
                  <w14:solidFill>
                    <w14:schemeClr w14:val="tx1"/>
                  </w14:solidFill>
                </w14:textFill>
              </w:rPr>
              <w:t>综合考虑到深圳市自然资源和不动产评估发展研究中心历年来承担我市不动产评估和标定地价体系的建立和维护工作，专业性强，专业基础扎实，人才队伍素质高，有利于工作的顺利开展，拟按单一来源采购的方式由深圳市自然资源和不动产评估发展研究中心承担本项目。</w:t>
            </w:r>
          </w:p>
        </w:tc>
      </w:tr>
    </w:tbl>
    <w:p>
      <w:pPr>
        <w:keepNext w:val="0"/>
        <w:keepLines w:val="0"/>
        <w:pageBreakBefore w:val="0"/>
        <w:widowControl w:val="0"/>
        <w:kinsoku/>
        <w:overflowPunct/>
        <w:topLinePunct w:val="0"/>
        <w:autoSpaceDE/>
        <w:autoSpaceDN/>
        <w:bidi w:val="0"/>
        <w:spacing w:line="360" w:lineRule="exact"/>
        <w:jc w:val="left"/>
        <w:rPr>
          <w:rFonts w:hint="eastAsia" w:ascii="仿宋" w:hAnsi="仿宋" w:eastAsia="仿宋"/>
          <w:bCs/>
          <w:color w:val="000000" w:themeColor="text1"/>
          <w:szCs w:val="21"/>
          <w:highlight w:val="none"/>
          <w14:textFill>
            <w14:solidFill>
              <w14:schemeClr w14:val="tx1"/>
            </w14:solidFill>
          </w14:textFill>
        </w:rPr>
      </w:pPr>
      <w:r>
        <w:rPr>
          <w:rFonts w:hint="eastAsia" w:ascii="仿宋" w:hAnsi="仿宋" w:eastAsia="仿宋"/>
          <w:bCs/>
          <w:color w:val="000000" w:themeColor="text1"/>
          <w:szCs w:val="21"/>
          <w:highlight w:val="none"/>
          <w14:textFill>
            <w14:solidFill>
              <w14:schemeClr w14:val="tx1"/>
            </w14:solidFill>
          </w14:textFill>
        </w:rPr>
        <w:t>注：</w:t>
      </w:r>
    </w:p>
    <w:p>
      <w:pPr>
        <w:keepNext w:val="0"/>
        <w:keepLines w:val="0"/>
        <w:pageBreakBefore w:val="0"/>
        <w:widowControl w:val="0"/>
        <w:kinsoku/>
        <w:overflowPunct/>
        <w:topLinePunct w:val="0"/>
        <w:autoSpaceDE/>
        <w:autoSpaceDN/>
        <w:bidi w:val="0"/>
        <w:spacing w:line="360" w:lineRule="exact"/>
        <w:jc w:val="left"/>
        <w:rPr>
          <w:rFonts w:ascii="仿宋" w:hAnsi="仿宋" w:eastAsia="仿宋"/>
          <w:bCs/>
          <w:color w:val="000000" w:themeColor="text1"/>
          <w:szCs w:val="21"/>
          <w:highlight w:val="none"/>
          <w14:textFill>
            <w14:solidFill>
              <w14:schemeClr w14:val="tx1"/>
            </w14:solidFill>
          </w14:textFill>
        </w:rPr>
      </w:pPr>
      <w:r>
        <w:rPr>
          <w:rFonts w:hint="eastAsia" w:ascii="仿宋" w:hAnsi="仿宋" w:eastAsia="仿宋"/>
          <w:bCs/>
          <w:color w:val="000000" w:themeColor="text1"/>
          <w:szCs w:val="21"/>
          <w:highlight w:val="none"/>
          <w14:textFill>
            <w14:solidFill>
              <w14:schemeClr w14:val="tx1"/>
            </w14:solidFill>
          </w14:textFill>
        </w:rPr>
        <w:t>1、带“*”号的为必填表内容，其他内容可根据项目作适当增减。</w:t>
      </w:r>
    </w:p>
    <w:p>
      <w:pPr>
        <w:keepNext w:val="0"/>
        <w:keepLines w:val="0"/>
        <w:pageBreakBefore w:val="0"/>
        <w:widowControl w:val="0"/>
        <w:kinsoku/>
        <w:overflowPunct/>
        <w:topLinePunct w:val="0"/>
        <w:autoSpaceDE/>
        <w:autoSpaceDN/>
        <w:bidi w:val="0"/>
        <w:spacing w:line="360" w:lineRule="exact"/>
        <w:jc w:val="left"/>
        <w:rPr>
          <w:rFonts w:ascii="仿宋" w:hAnsi="仿宋" w:eastAsia="仿宋"/>
          <w:bCs/>
          <w:color w:val="000000" w:themeColor="text1"/>
          <w:szCs w:val="21"/>
          <w:highlight w:val="none"/>
          <w14:textFill>
            <w14:solidFill>
              <w14:schemeClr w14:val="tx1"/>
            </w14:solidFill>
          </w14:textFill>
        </w:rPr>
      </w:pPr>
      <w:r>
        <w:rPr>
          <w:rFonts w:hint="eastAsia" w:ascii="仿宋" w:hAnsi="仿宋" w:eastAsia="仿宋"/>
          <w:bCs/>
          <w:color w:val="000000" w:themeColor="text1"/>
          <w:szCs w:val="21"/>
          <w:highlight w:val="none"/>
          <w14:textFill>
            <w14:solidFill>
              <w14:schemeClr w14:val="tx1"/>
            </w14:solidFill>
          </w14:textFill>
        </w:rPr>
        <w:t>2、其他要求栏目仅适用非公开招标采购方式项目，采购推荐供应商名单必须经过主管部门报批，并将主管部门批复材料提交至采购中心。根据采购条例第十九条规定适用非公开招标方式需要公示的，应同时向采购中心提交公示的证明材料。</w:t>
      </w:r>
    </w:p>
    <w:p>
      <w:pPr>
        <w:keepNext w:val="0"/>
        <w:keepLines w:val="0"/>
        <w:pageBreakBefore w:val="0"/>
        <w:widowControl w:val="0"/>
        <w:kinsoku/>
        <w:overflowPunct/>
        <w:topLinePunct w:val="0"/>
        <w:autoSpaceDE/>
        <w:autoSpaceDN/>
        <w:bidi w:val="0"/>
        <w:spacing w:line="360" w:lineRule="exact"/>
        <w:rPr>
          <w:rFonts w:ascii="仿宋" w:hAnsi="仿宋" w:eastAsia="仿宋"/>
          <w:bCs/>
          <w:color w:val="000000" w:themeColor="text1"/>
          <w:szCs w:val="21"/>
          <w:highlight w:val="none"/>
          <w14:textFill>
            <w14:solidFill>
              <w14:schemeClr w14:val="tx1"/>
            </w14:solidFill>
          </w14:textFill>
        </w:rPr>
      </w:pPr>
      <w:r>
        <w:rPr>
          <w:rFonts w:hint="eastAsia" w:ascii="仿宋" w:hAnsi="仿宋" w:eastAsia="仿宋"/>
          <w:bCs/>
          <w:color w:val="000000" w:themeColor="text1"/>
          <w:szCs w:val="21"/>
          <w:highlight w:val="none"/>
          <w14:textFill>
            <w14:solidFill>
              <w14:schemeClr w14:val="tx1"/>
            </w14:solidFill>
          </w14:textFill>
        </w:rPr>
        <w:t>3、采购单位以上填报的商务条款、技术条款若存在倾向性或不公正性条款，由此引起的不良后果将由采购单位自行承担。</w:t>
      </w:r>
    </w:p>
    <w:p>
      <w:pPr>
        <w:keepNext w:val="0"/>
        <w:keepLines w:val="0"/>
        <w:pageBreakBefore w:val="0"/>
        <w:widowControl w:val="0"/>
        <w:numPr>
          <w:ilvl w:val="0"/>
          <w:numId w:val="0"/>
        </w:numPr>
        <w:kinsoku/>
        <w:overflowPunct/>
        <w:topLinePunct w:val="0"/>
        <w:autoSpaceDE/>
        <w:autoSpaceDN/>
        <w:bidi w:val="0"/>
        <w:jc w:val="left"/>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4、项目需要提供带车服务的，需核查中标单位提供的车型，避免违规出现豪华或超标准车型。</w:t>
      </w:r>
    </w:p>
    <w:p>
      <w:pPr>
        <w:keepNext w:val="0"/>
        <w:keepLines w:val="0"/>
        <w:pageBreakBefore w:val="0"/>
        <w:widowControl w:val="0"/>
        <w:kinsoku/>
        <w:overflowPunct/>
        <w:topLinePunct w:val="0"/>
        <w:autoSpaceDE/>
        <w:autoSpaceDN/>
        <w:bidi w:val="0"/>
        <w:jc w:val="left"/>
        <w:rPr>
          <w:rFonts w:hint="eastAsia" w:ascii="仿宋_GB2312" w:hAnsi="仿宋_GB2312" w:eastAsia="仿宋_GB2312" w:cs="仿宋_GB2312"/>
          <w:bCs/>
          <w:color w:val="000000" w:themeColor="text1"/>
          <w:sz w:val="32"/>
          <w:szCs w:val="32"/>
          <w:highlight w:val="none"/>
          <w14:textFill>
            <w14:solidFill>
              <w14:schemeClr w14:val="tx1"/>
            </w14:solidFill>
          </w14:textFill>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宋黑简体">
    <w:altName w:val="宋体"/>
    <w:panose1 w:val="03000509000000000000"/>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392FC9"/>
    <w:multiLevelType w:val="singleLevel"/>
    <w:tmpl w:val="96392FC9"/>
    <w:lvl w:ilvl="0" w:tentative="0">
      <w:start w:val="1"/>
      <w:numFmt w:val="decimal"/>
      <w:suff w:val="nothing"/>
      <w:lvlText w:val="%1、"/>
      <w:lvlJc w:val="left"/>
      <w:rPr>
        <w:rFonts w:hint="default"/>
        <w:b/>
        <w:bCs/>
      </w:rPr>
    </w:lvl>
  </w:abstractNum>
  <w:abstractNum w:abstractNumId="1">
    <w:nsid w:val="00000003"/>
    <w:multiLevelType w:val="multilevel"/>
    <w:tmpl w:val="00000003"/>
    <w:lvl w:ilvl="0" w:tentative="0">
      <w:start w:val="1"/>
      <w:numFmt w:val="decimal"/>
      <w:lvlText w:val="%1"/>
      <w:lvlJc w:val="left"/>
      <w:pPr>
        <w:tabs>
          <w:tab w:val="left" w:pos="567"/>
        </w:tabs>
        <w:ind w:left="0" w:firstLine="0"/>
      </w:pPr>
    </w:lvl>
    <w:lvl w:ilvl="1" w:tentative="0">
      <w:start w:val="1"/>
      <w:numFmt w:val="decimal"/>
      <w:lvlText w:val="%1.%2"/>
      <w:lvlJc w:val="left"/>
      <w:pPr>
        <w:tabs>
          <w:tab w:val="left" w:pos="567"/>
        </w:tabs>
        <w:ind w:left="0" w:firstLine="0"/>
      </w:pPr>
    </w:lvl>
    <w:lvl w:ilvl="2" w:tentative="0">
      <w:start w:val="1"/>
      <w:numFmt w:val="decimal"/>
      <w:lvlText w:val="%1.%2.%3"/>
      <w:lvlJc w:val="left"/>
      <w:pPr>
        <w:tabs>
          <w:tab w:val="left" w:pos="720"/>
        </w:tabs>
        <w:ind w:left="720" w:hanging="720"/>
      </w:pPr>
    </w:lvl>
    <w:lvl w:ilvl="3" w:tentative="0">
      <w:start w:val="1"/>
      <w:numFmt w:val="decimal"/>
      <w:pStyle w:val="2"/>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
    <w:nsid w:val="0000000A"/>
    <w:multiLevelType w:val="singleLevel"/>
    <w:tmpl w:val="0000000A"/>
    <w:lvl w:ilvl="0" w:tentative="0">
      <w:start w:val="1"/>
      <w:numFmt w:val="decimal"/>
      <w:suff w:val="nothing"/>
      <w:lvlText w:val="%1、"/>
      <w:lvlJc w:val="left"/>
    </w:lvl>
  </w:abstractNum>
  <w:abstractNum w:abstractNumId="3">
    <w:nsid w:val="660776E9"/>
    <w:multiLevelType w:val="singleLevel"/>
    <w:tmpl w:val="660776E9"/>
    <w:lvl w:ilvl="0" w:tentative="0">
      <w:start w:val="5"/>
      <w:numFmt w:val="decimal"/>
      <w:suff w:val="nothing"/>
      <w:lvlText w:val="%1、"/>
      <w:lvlJc w:val="left"/>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C16FB7"/>
    <w:rsid w:val="01E4070C"/>
    <w:rsid w:val="02C63993"/>
    <w:rsid w:val="08351CC0"/>
    <w:rsid w:val="0BF37DBA"/>
    <w:rsid w:val="0C9E6841"/>
    <w:rsid w:val="14AD3132"/>
    <w:rsid w:val="1CC23D13"/>
    <w:rsid w:val="2242568B"/>
    <w:rsid w:val="23226FDE"/>
    <w:rsid w:val="276A5EB9"/>
    <w:rsid w:val="29143B49"/>
    <w:rsid w:val="296609FB"/>
    <w:rsid w:val="2BB56DA4"/>
    <w:rsid w:val="32EB2BB5"/>
    <w:rsid w:val="33823C91"/>
    <w:rsid w:val="3A021FD1"/>
    <w:rsid w:val="3A76432D"/>
    <w:rsid w:val="3A9E7B40"/>
    <w:rsid w:val="3E133770"/>
    <w:rsid w:val="3E1533E8"/>
    <w:rsid w:val="3EB554EF"/>
    <w:rsid w:val="412E1C82"/>
    <w:rsid w:val="425E5AC9"/>
    <w:rsid w:val="455201F4"/>
    <w:rsid w:val="47BB5942"/>
    <w:rsid w:val="4FAA5F43"/>
    <w:rsid w:val="58F8789B"/>
    <w:rsid w:val="5BBF6D5B"/>
    <w:rsid w:val="5DE45E93"/>
    <w:rsid w:val="66876516"/>
    <w:rsid w:val="699E378A"/>
    <w:rsid w:val="71616098"/>
    <w:rsid w:val="762531C9"/>
    <w:rsid w:val="79D315E1"/>
    <w:rsid w:val="7CC16F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keepNext/>
      <w:keepLines/>
      <w:numPr>
        <w:ilvl w:val="3"/>
        <w:numId w:val="1"/>
      </w:numPr>
      <w:spacing w:before="280" w:after="290" w:line="374" w:lineRule="auto"/>
      <w:outlineLvl w:val="3"/>
    </w:pPr>
    <w:rPr>
      <w:rFonts w:ascii="Arial" w:hAnsi="Arial" w:eastAsia="黑体" w:cs="Times New Roman"/>
      <w:b/>
      <w:bCs/>
      <w:sz w:val="28"/>
      <w:szCs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spacing w:line="360" w:lineRule="auto"/>
      <w:ind w:firstLine="560" w:firstLineChars="200"/>
    </w:pPr>
    <w:rPr>
      <w:rFonts w:ascii="宋体" w:hAnsi="宋体" w:eastAsia="宋体" w:cs="宋体"/>
      <w:bCs/>
      <w:kern w:val="0"/>
      <w:sz w:val="28"/>
      <w:szCs w:val="28"/>
    </w:rPr>
  </w:style>
  <w:style w:type="paragraph" w:styleId="4">
    <w:name w:val="annotation text"/>
    <w:basedOn w:val="1"/>
    <w:qFormat/>
    <w:uiPriority w:val="0"/>
    <w:pPr>
      <w:spacing w:after="160" w:line="259" w:lineRule="auto"/>
    </w:pPr>
    <w:rPr>
      <w:rFonts w:ascii="等线" w:hAnsi="等线" w:eastAsia="等线" w:cs="Times New Roman"/>
      <w:kern w:val="0"/>
      <w:sz w:val="22"/>
    </w:rPr>
  </w:style>
  <w:style w:type="paragraph" w:styleId="5">
    <w:name w:val="Body Text"/>
    <w:basedOn w:val="1"/>
    <w:next w:val="6"/>
    <w:qFormat/>
    <w:uiPriority w:val="0"/>
    <w:pPr>
      <w:widowControl w:val="0"/>
      <w:spacing w:before="61"/>
      <w:ind w:left="102"/>
    </w:pPr>
    <w:rPr>
      <w:rFonts w:ascii="宋体" w:hAnsi="宋体" w:eastAsia="宋体"/>
      <w:kern w:val="0"/>
      <w:sz w:val="28"/>
      <w:szCs w:val="28"/>
      <w:lang w:eastAsia="en-US"/>
    </w:rPr>
  </w:style>
  <w:style w:type="paragraph" w:styleId="6">
    <w:name w:val="Title"/>
    <w:basedOn w:val="1"/>
    <w:next w:val="1"/>
    <w:qFormat/>
    <w:uiPriority w:val="0"/>
    <w:pPr>
      <w:spacing w:before="240" w:after="60"/>
      <w:jc w:val="center"/>
      <w:outlineLvl w:val="0"/>
    </w:pPr>
    <w:rPr>
      <w:rFonts w:ascii="Cambria" w:hAnsi="Cambria" w:eastAsia="宋体"/>
      <w:b/>
      <w:bCs/>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footnote text"/>
    <w:basedOn w:val="1"/>
    <w:qFormat/>
    <w:uiPriority w:val="0"/>
    <w:pPr>
      <w:snapToGrid w:val="0"/>
      <w:jc w:val="left"/>
    </w:pPr>
    <w:rPr>
      <w:sz w:val="18"/>
    </w:rPr>
  </w:style>
  <w:style w:type="paragraph" w:customStyle="1" w:styleId="12">
    <w:name w:val="二级标题"/>
    <w:basedOn w:val="1"/>
    <w:next w:val="1"/>
    <w:qFormat/>
    <w:uiPriority w:val="0"/>
    <w:pPr>
      <w:keepNext/>
      <w:keepLines/>
      <w:snapToGrid w:val="0"/>
      <w:spacing w:before="50" w:beforeLines="50" w:after="50" w:afterLines="50" w:line="312" w:lineRule="auto"/>
      <w:ind w:firstLine="516" w:firstLineChars="172"/>
      <w:outlineLvl w:val="1"/>
    </w:pPr>
    <w:rPr>
      <w:rFonts w:hint="eastAsia" w:ascii="方正宋黑简体" w:hAnsi="方正宋黑简体" w:eastAsia="方正宋黑简体" w:cs="Times New Roman"/>
      <w:bCs/>
      <w:sz w:val="30"/>
      <w:szCs w:val="30"/>
    </w:rPr>
  </w:style>
  <w:style w:type="paragraph" w:customStyle="1" w:styleId="13">
    <w:name w:val="正文1"/>
    <w:basedOn w:val="1"/>
    <w:qFormat/>
    <w:uiPriority w:val="0"/>
    <w:pPr>
      <w:spacing w:line="300" w:lineRule="auto"/>
      <w:ind w:firstLine="420"/>
    </w:pPr>
    <w:rPr>
      <w:rFonts w:hint="eastAsia" w:ascii="华文仿宋" w:hAnsi="华文仿宋" w:eastAsia="华文仿宋" w:cs="Times New Roman"/>
      <w:color w:val="000000"/>
      <w:sz w:val="24"/>
      <w:szCs w:val="24"/>
    </w:rPr>
  </w:style>
  <w:style w:type="paragraph" w:customStyle="1" w:styleId="14">
    <w:name w:val="标定正文"/>
    <w:basedOn w:val="1"/>
    <w:qFormat/>
    <w:uiPriority w:val="0"/>
    <w:pPr>
      <w:spacing w:line="300" w:lineRule="auto"/>
      <w:ind w:firstLine="480" w:firstLineChars="200"/>
    </w:pPr>
    <w:rPr>
      <w:rFonts w:hint="eastAsia" w:ascii="华文仿宋" w:hAnsi="华文仿宋" w:eastAsia="华文仿宋" w:cs="Times New Roman"/>
      <w:color w:val="000000"/>
      <w:sz w:val="24"/>
      <w:szCs w:val="24"/>
    </w:rPr>
  </w:style>
  <w:style w:type="paragraph" w:customStyle="1" w:styleId="15">
    <w:name w:val="标定三级标题"/>
    <w:basedOn w:val="1"/>
    <w:qFormat/>
    <w:uiPriority w:val="0"/>
    <w:pPr>
      <w:keepNext/>
      <w:keepLines/>
      <w:snapToGrid w:val="0"/>
      <w:spacing w:before="50" w:beforeLines="50" w:after="50" w:afterLines="50" w:line="300" w:lineRule="auto"/>
      <w:ind w:firstLine="529" w:firstLineChars="203"/>
      <w:outlineLvl w:val="2"/>
    </w:pPr>
    <w:rPr>
      <w:rFonts w:hint="eastAsia" w:cs="Times New Roman" w:asciiTheme="minorAscii" w:hAnsiTheme="minorAscii" w:eastAsiaTheme="minorEastAsia"/>
      <w:b/>
      <w:bCs/>
      <w:sz w:val="26"/>
      <w:szCs w:val="26"/>
    </w:rPr>
  </w:style>
  <w:style w:type="paragraph" w:customStyle="1" w:styleId="16">
    <w:name w:val="标定4级"/>
    <w:basedOn w:val="1"/>
    <w:qFormat/>
    <w:uiPriority w:val="0"/>
    <w:pPr>
      <w:ind w:left="420" w:firstLine="420"/>
    </w:pPr>
    <w:rPr>
      <w:rFonts w:hint="eastAsia" w:ascii="Calibri" w:hAnsi="Calibri" w:eastAsia="宋体" w:cs="Times New Roman"/>
      <w:b/>
      <w:color w:val="auto"/>
      <w:szCs w:val="22"/>
    </w:rPr>
  </w:style>
  <w:style w:type="paragraph" w:customStyle="1" w:styleId="17">
    <w:name w:val="标定四级标题"/>
    <w:basedOn w:val="1"/>
    <w:qFormat/>
    <w:uiPriority w:val="0"/>
    <w:pPr>
      <w:keepNext/>
      <w:keepLines/>
      <w:snapToGrid w:val="0"/>
      <w:spacing w:before="50" w:beforeLines="50" w:after="50" w:afterLines="50" w:line="300" w:lineRule="auto"/>
      <w:ind w:leftChars="200" w:firstLine="428" w:firstLineChars="203"/>
      <w:outlineLvl w:val="3"/>
    </w:pPr>
    <w:rPr>
      <w:rFonts w:hint="eastAsia" w:ascii="Calibri" w:hAnsi="Calibri" w:eastAsia="宋体" w:cs="Times New Roman"/>
      <w:b/>
      <w:szCs w:val="22"/>
    </w:rPr>
  </w:style>
  <w:style w:type="paragraph" w:customStyle="1" w:styleId="18">
    <w:name w:val="标定5级"/>
    <w:basedOn w:val="1"/>
    <w:next w:val="1"/>
    <w:qFormat/>
    <w:uiPriority w:val="0"/>
    <w:pPr>
      <w:keepNext/>
      <w:keepLines/>
      <w:snapToGrid w:val="0"/>
      <w:spacing w:beforeLines="0" w:afterLines="0" w:line="300" w:lineRule="auto"/>
      <w:ind w:firstLine="420"/>
      <w:outlineLvl w:val="4"/>
    </w:pPr>
    <w:rPr>
      <w:rFonts w:hint="eastAsia" w:ascii="仿宋" w:hAnsi="仿宋" w:eastAsia="仿宋" w:cs="仿宋"/>
      <w:b/>
      <w:sz w:val="24"/>
      <w:szCs w:val="24"/>
    </w:rPr>
  </w:style>
  <w:style w:type="paragraph" w:customStyle="1" w:styleId="19">
    <w:name w:val="一级"/>
    <w:basedOn w:val="1"/>
    <w:qFormat/>
    <w:uiPriority w:val="0"/>
    <w:pPr>
      <w:jc w:val="center"/>
      <w:outlineLvl w:val="0"/>
    </w:pPr>
    <w:rPr>
      <w:rFonts w:hint="eastAsia" w:ascii="仿宋" w:hAnsi="仿宋" w:eastAsia="宋体" w:cs="仿宋"/>
      <w:b/>
      <w:color w:val="auto"/>
      <w:sz w:val="24"/>
      <w:szCs w:val="28"/>
    </w:rPr>
  </w:style>
  <w:style w:type="paragraph" w:customStyle="1" w:styleId="20">
    <w:name w:val="二级"/>
    <w:basedOn w:val="1"/>
    <w:qFormat/>
    <w:uiPriority w:val="0"/>
    <w:pPr>
      <w:tabs>
        <w:tab w:val="left" w:pos="562"/>
        <w:tab w:val="left" w:pos="3372"/>
        <w:tab w:val="left" w:pos="3653"/>
      </w:tabs>
      <w:spacing w:line="360" w:lineRule="auto"/>
    </w:pPr>
    <w:rPr>
      <w:rFonts w:hint="eastAsia" w:ascii="Calibri" w:hAnsi="Calibri" w:eastAsia="宋体" w:cs="Times New Roman"/>
      <w:b/>
      <w:bCs/>
      <w:sz w:val="24"/>
    </w:rPr>
  </w:style>
  <w:style w:type="paragraph" w:styleId="21">
    <w:name w:val="List Paragraph"/>
    <w:basedOn w:val="22"/>
    <w:unhideWhenUsed/>
    <w:qFormat/>
    <w:uiPriority w:val="99"/>
    <w:pPr>
      <w:ind w:firstLine="420"/>
    </w:pPr>
    <w:rPr>
      <w:rFonts w:asciiTheme="minorHAnsi" w:hAnsiTheme="minorHAnsi" w:eastAsiaTheme="minorEastAsia" w:cstheme="minorBidi"/>
      <w:szCs w:val="24"/>
    </w:rPr>
  </w:style>
  <w:style w:type="paragraph" w:customStyle="1" w:styleId="22">
    <w:name w:val="星耀正文"/>
    <w:basedOn w:val="1"/>
    <w:qFormat/>
    <w:uiPriority w:val="3"/>
    <w:pPr>
      <w:ind w:firstLine="422" w:firstLineChars="200"/>
    </w:pPr>
    <w:rPr>
      <w:rFonts w:ascii="宋体" w:hAnsi="宋体" w:eastAsia="仿宋_GB2312" w:cs="宋体"/>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2025-05-22T06:20:00Z</dcterms:created>
  <dc:creator>szpgzx</dc:creator>
  <cp:lastModifiedBy>szpgzx</cp:lastModifiedBy>
  <dcterms:modified xsi:type="dcterms:W3CDTF">2025-06-16T02:23:11Z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94D170A7CFC647D598735771CA16D380</vt:lpwstr>
  </property>
</Properties>
</file>