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C8C4C3">
      <w:pPr>
        <w:jc w:val="center"/>
        <w:rPr>
          <w:rFonts w:ascii="黑体" w:hAnsi="黑体" w:eastAsia="黑体" w:cs="黑体"/>
          <w:b/>
          <w:color w:val="000000" w:themeColor="text1"/>
          <w:sz w:val="32"/>
          <w:szCs w:val="32"/>
          <w14:textFill>
            <w14:solidFill>
              <w14:schemeClr w14:val="tx1"/>
            </w14:solidFill>
          </w14:textFill>
        </w:rPr>
      </w:pPr>
      <w:r>
        <w:rPr>
          <w:rFonts w:hint="eastAsia" w:ascii="黑体" w:hAnsi="黑体" w:eastAsia="黑体" w:cs="黑体"/>
          <w:b/>
          <w:color w:val="000000" w:themeColor="text1"/>
          <w:sz w:val="44"/>
          <w:szCs w:val="44"/>
          <w14:textFill>
            <w14:solidFill>
              <w14:schemeClr w14:val="tx1"/>
            </w14:solidFill>
          </w14:textFill>
        </w:rPr>
        <w:t xml:space="preserve">    服务类项目采购需求模板（通用）</w:t>
      </w:r>
    </w:p>
    <w:tbl>
      <w:tblPr>
        <w:tblStyle w:val="8"/>
        <w:tblW w:w="896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850"/>
        <w:gridCol w:w="2930"/>
        <w:gridCol w:w="1366"/>
        <w:gridCol w:w="2261"/>
      </w:tblGrid>
      <w:tr w14:paraId="00918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560" w:type="dxa"/>
            <w:vAlign w:val="center"/>
          </w:tcPr>
          <w:p w14:paraId="54300793">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w:t>
            </w:r>
            <w:r>
              <w:rPr>
                <w:rFonts w:hint="eastAsia" w:ascii="仿宋" w:hAnsi="仿宋" w:eastAsia="仿宋" w:cs="仿宋"/>
                <w:color w:val="000000" w:themeColor="text1"/>
                <w:szCs w:val="21"/>
                <w14:textFill>
                  <w14:solidFill>
                    <w14:schemeClr w14:val="tx1"/>
                  </w14:solidFill>
                </w14:textFill>
              </w:rPr>
              <w:t>项目名称</w:t>
            </w:r>
          </w:p>
        </w:tc>
        <w:tc>
          <w:tcPr>
            <w:tcW w:w="7407" w:type="dxa"/>
            <w:gridSpan w:val="4"/>
            <w:vAlign w:val="center"/>
          </w:tcPr>
          <w:p w14:paraId="4396F5DB">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szCs w:val="21"/>
              </w:rPr>
              <w:t>深圳市2025年度建设项目用地预审、土地供应报批及监测统计分析</w:t>
            </w:r>
          </w:p>
        </w:tc>
      </w:tr>
      <w:tr w14:paraId="25EBC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560" w:type="dxa"/>
            <w:vAlign w:val="center"/>
          </w:tcPr>
          <w:p w14:paraId="156A638C">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w:t>
            </w:r>
            <w:r>
              <w:rPr>
                <w:rFonts w:hint="eastAsia" w:ascii="仿宋" w:hAnsi="仿宋" w:eastAsia="仿宋" w:cs="仿宋"/>
                <w:color w:val="000000" w:themeColor="text1"/>
                <w:szCs w:val="21"/>
                <w14:textFill>
                  <w14:solidFill>
                    <w14:schemeClr w14:val="tx1"/>
                  </w14:solidFill>
                </w14:textFill>
              </w:rPr>
              <w:t>采购人名称</w:t>
            </w:r>
          </w:p>
        </w:tc>
        <w:tc>
          <w:tcPr>
            <w:tcW w:w="3780" w:type="dxa"/>
            <w:gridSpan w:val="2"/>
            <w:vAlign w:val="center"/>
          </w:tcPr>
          <w:p w14:paraId="27FC8383">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szCs w:val="21"/>
              </w:rPr>
              <w:t>深圳市规划和自然资源局</w:t>
            </w:r>
          </w:p>
        </w:tc>
        <w:tc>
          <w:tcPr>
            <w:tcW w:w="1366" w:type="dxa"/>
            <w:vAlign w:val="center"/>
          </w:tcPr>
          <w:p w14:paraId="5651C070">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w:t>
            </w:r>
            <w:r>
              <w:rPr>
                <w:rFonts w:hint="eastAsia" w:ascii="仿宋" w:hAnsi="仿宋" w:eastAsia="仿宋" w:cs="仿宋"/>
                <w:color w:val="000000" w:themeColor="text1"/>
                <w:szCs w:val="21"/>
                <w14:textFill>
                  <w14:solidFill>
                    <w14:schemeClr w14:val="tx1"/>
                  </w14:solidFill>
                </w14:textFill>
              </w:rPr>
              <w:t>采购方式</w:t>
            </w:r>
          </w:p>
        </w:tc>
        <w:tc>
          <w:tcPr>
            <w:tcW w:w="2261" w:type="dxa"/>
            <w:vAlign w:val="center"/>
          </w:tcPr>
          <w:p w14:paraId="55A2FAC9">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szCs w:val="21"/>
              </w:rPr>
              <w:t>集中采购（单一来源采购）</w:t>
            </w:r>
          </w:p>
        </w:tc>
      </w:tr>
      <w:tr w14:paraId="32D34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560" w:type="dxa"/>
            <w:vAlign w:val="center"/>
          </w:tcPr>
          <w:p w14:paraId="47A3D1BF">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计划立项批文号</w:t>
            </w:r>
          </w:p>
        </w:tc>
        <w:tc>
          <w:tcPr>
            <w:tcW w:w="3780" w:type="dxa"/>
            <w:gridSpan w:val="2"/>
            <w:vAlign w:val="center"/>
          </w:tcPr>
          <w:p w14:paraId="21F2ABD7">
            <w:pPr>
              <w:jc w:val="left"/>
              <w:rPr>
                <w:rFonts w:ascii="仿宋" w:hAnsi="仿宋" w:eastAsia="仿宋" w:cs="仿宋"/>
                <w:color w:val="000000" w:themeColor="text1"/>
                <w:szCs w:val="21"/>
                <w14:textFill>
                  <w14:solidFill>
                    <w14:schemeClr w14:val="tx1"/>
                  </w14:solidFill>
                </w14:textFill>
              </w:rPr>
            </w:pPr>
          </w:p>
        </w:tc>
        <w:tc>
          <w:tcPr>
            <w:tcW w:w="1366" w:type="dxa"/>
            <w:vAlign w:val="center"/>
          </w:tcPr>
          <w:p w14:paraId="07B95706">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w:t>
            </w:r>
            <w:r>
              <w:rPr>
                <w:rFonts w:hint="eastAsia" w:ascii="仿宋" w:hAnsi="仿宋" w:eastAsia="仿宋" w:cs="仿宋"/>
                <w:color w:val="000000" w:themeColor="text1"/>
                <w:szCs w:val="21"/>
                <w14:textFill>
                  <w14:solidFill>
                    <w14:schemeClr w14:val="tx1"/>
                  </w14:solidFill>
                </w14:textFill>
              </w:rPr>
              <w:t>资金来源</w:t>
            </w:r>
          </w:p>
        </w:tc>
        <w:tc>
          <w:tcPr>
            <w:tcW w:w="2261" w:type="dxa"/>
            <w:vAlign w:val="center"/>
          </w:tcPr>
          <w:p w14:paraId="118F6AC2">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szCs w:val="21"/>
              </w:rPr>
              <w:t>一般公共预算</w:t>
            </w:r>
          </w:p>
        </w:tc>
      </w:tr>
      <w:tr w14:paraId="25D6F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560" w:type="dxa"/>
            <w:vAlign w:val="center"/>
          </w:tcPr>
          <w:p w14:paraId="7C9C82B4">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w:t>
            </w:r>
            <w:r>
              <w:rPr>
                <w:rFonts w:hint="eastAsia" w:ascii="仿宋" w:hAnsi="仿宋" w:eastAsia="仿宋" w:cs="仿宋"/>
                <w:color w:val="000000" w:themeColor="text1"/>
                <w:szCs w:val="21"/>
                <w14:textFill>
                  <w14:solidFill>
                    <w14:schemeClr w14:val="tx1"/>
                  </w14:solidFill>
                </w14:textFill>
              </w:rPr>
              <w:t>财政预算限额（元）</w:t>
            </w:r>
          </w:p>
        </w:tc>
        <w:tc>
          <w:tcPr>
            <w:tcW w:w="3780" w:type="dxa"/>
            <w:gridSpan w:val="2"/>
            <w:vAlign w:val="center"/>
          </w:tcPr>
          <w:p w14:paraId="27B6B942">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szCs w:val="21"/>
              </w:rPr>
              <w:t>1</w:t>
            </w:r>
            <w:r>
              <w:rPr>
                <w:rFonts w:ascii="仿宋" w:hAnsi="仿宋" w:eastAsia="仿宋" w:cs="仿宋"/>
                <w:szCs w:val="21"/>
              </w:rPr>
              <w:t>,</w:t>
            </w:r>
            <w:r>
              <w:rPr>
                <w:rFonts w:hint="eastAsia" w:ascii="仿宋" w:hAnsi="仿宋" w:eastAsia="仿宋" w:cs="仿宋"/>
                <w:szCs w:val="21"/>
              </w:rPr>
              <w:t>105</w:t>
            </w:r>
            <w:r>
              <w:rPr>
                <w:rFonts w:ascii="仿宋" w:hAnsi="仿宋" w:eastAsia="仿宋" w:cs="仿宋"/>
                <w:szCs w:val="21"/>
              </w:rPr>
              <w:t>,</w:t>
            </w:r>
            <w:r>
              <w:rPr>
                <w:rFonts w:hint="eastAsia" w:ascii="仿宋" w:hAnsi="仿宋" w:eastAsia="仿宋" w:cs="仿宋"/>
                <w:szCs w:val="21"/>
              </w:rPr>
              <w:t>000</w:t>
            </w:r>
          </w:p>
        </w:tc>
        <w:tc>
          <w:tcPr>
            <w:tcW w:w="1366" w:type="dxa"/>
            <w:vAlign w:val="center"/>
          </w:tcPr>
          <w:p w14:paraId="61AE9653">
            <w:pPr>
              <w:jc w:val="left"/>
              <w:rPr>
                <w:rFonts w:ascii="仿宋" w:hAnsi="仿宋" w:eastAsia="仿宋" w:cs="仿宋"/>
                <w:color w:val="000000" w:themeColor="text1"/>
                <w:szCs w:val="21"/>
                <w14:textFill>
                  <w14:solidFill>
                    <w14:schemeClr w14:val="tx1"/>
                  </w14:solidFill>
                </w14:textFill>
              </w:rPr>
            </w:pPr>
          </w:p>
        </w:tc>
        <w:tc>
          <w:tcPr>
            <w:tcW w:w="2261" w:type="dxa"/>
            <w:vAlign w:val="center"/>
          </w:tcPr>
          <w:p w14:paraId="799BBE33">
            <w:pPr>
              <w:jc w:val="left"/>
              <w:rPr>
                <w:rFonts w:ascii="仿宋" w:hAnsi="仿宋" w:eastAsia="仿宋" w:cs="仿宋"/>
                <w:color w:val="000000" w:themeColor="text1"/>
                <w:szCs w:val="21"/>
                <w14:textFill>
                  <w14:solidFill>
                    <w14:schemeClr w14:val="tx1"/>
                  </w14:solidFill>
                </w14:textFill>
              </w:rPr>
            </w:pPr>
          </w:p>
        </w:tc>
      </w:tr>
      <w:tr w14:paraId="3C4FE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560" w:type="dxa"/>
            <w:vAlign w:val="center"/>
          </w:tcPr>
          <w:p w14:paraId="23B36EF3">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项目背景</w:t>
            </w:r>
          </w:p>
        </w:tc>
        <w:tc>
          <w:tcPr>
            <w:tcW w:w="7407" w:type="dxa"/>
            <w:gridSpan w:val="4"/>
            <w:vAlign w:val="center"/>
          </w:tcPr>
          <w:p w14:paraId="7C58066D">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szCs w:val="21"/>
              </w:rPr>
              <w:t>建设项目用地预审和土地供应不仅是国土空间用途管制的重要环节，也是落实国土空间规划的主要实施手段。同时建设项目用地预审是自然资源部门对建设项目在自然资源的规划、利用、保护等方面的审查意见，土地供应报批是自然资源部门在建设项目用地供应前进行的空间管控、合法性等方面审查，二者均为项目建设重要的前期工作之一。因此，要加强建设用地预审和土地供应报批工作，以保障我市民生的重大重点建设项目的顺利推进，支撑我市的社会经济全面发展。</w:t>
            </w:r>
          </w:p>
        </w:tc>
      </w:tr>
      <w:tr w14:paraId="2F88D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60" w:type="dxa"/>
            <w:vAlign w:val="center"/>
          </w:tcPr>
          <w:p w14:paraId="660D0F36">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项目前期设计、规划论证单位</w:t>
            </w:r>
          </w:p>
        </w:tc>
        <w:tc>
          <w:tcPr>
            <w:tcW w:w="7407" w:type="dxa"/>
            <w:gridSpan w:val="4"/>
            <w:vAlign w:val="center"/>
          </w:tcPr>
          <w:p w14:paraId="6EC0822F">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szCs w:val="21"/>
              </w:rPr>
              <w:t>深圳市规划国土发展研究中心</w:t>
            </w:r>
          </w:p>
        </w:tc>
      </w:tr>
      <w:tr w14:paraId="70595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560" w:type="dxa"/>
            <w:vAlign w:val="center"/>
          </w:tcPr>
          <w:p w14:paraId="6C5CC551">
            <w:pPr>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投标人资质要求</w:t>
            </w:r>
          </w:p>
        </w:tc>
        <w:tc>
          <w:tcPr>
            <w:tcW w:w="7407" w:type="dxa"/>
            <w:gridSpan w:val="4"/>
          </w:tcPr>
          <w:p w14:paraId="05BC116E">
            <w:pPr>
              <w:jc w:val="left"/>
              <w:rPr>
                <w:rFonts w:ascii="仿宋" w:hAnsi="仿宋" w:eastAsia="仿宋" w:cs="仿宋"/>
                <w:b/>
                <w:color w:val="000000" w:themeColor="text1"/>
                <w:kern w:val="0"/>
                <w:szCs w:val="21"/>
                <w14:textFill>
                  <w14:solidFill>
                    <w14:schemeClr w14:val="tx1"/>
                  </w14:solidFill>
                </w14:textFill>
              </w:rPr>
            </w:pPr>
            <w:r>
              <w:rPr>
                <w:rFonts w:hint="eastAsia" w:ascii="仿宋" w:hAnsi="仿宋" w:eastAsia="仿宋" w:cs="仿宋"/>
                <w:b/>
                <w:color w:val="000000" w:themeColor="text1"/>
                <w:kern w:val="0"/>
                <w:szCs w:val="21"/>
                <w14:textFill>
                  <w14:solidFill>
                    <w14:schemeClr w14:val="tx1"/>
                  </w14:solidFill>
                </w14:textFill>
              </w:rPr>
              <w:t>注意：采购人根据项目所需提供明确、具体的资质要求，资质要求的内容必须与项目等级相匹配且符合相关法律规定。（设置的投标人资格要求必须提交有法律法规依据的证明文件，且不具备倾向性）</w:t>
            </w:r>
          </w:p>
          <w:p w14:paraId="488AEA9E">
            <w:pPr>
              <w:jc w:val="left"/>
              <w:rPr>
                <w:rFonts w:ascii="仿宋" w:hAnsi="仿宋" w:eastAsia="仿宋" w:cs="仿宋"/>
                <w:kern w:val="0"/>
                <w:szCs w:val="21"/>
              </w:rPr>
            </w:pPr>
            <w:r>
              <w:rPr>
                <w:rFonts w:hint="eastAsia" w:ascii="仿宋" w:hAnsi="仿宋" w:eastAsia="仿宋" w:cs="仿宋"/>
                <w:kern w:val="0"/>
                <w:szCs w:val="21"/>
              </w:rPr>
              <w:t>1）具有独立法人资格；</w:t>
            </w:r>
          </w:p>
          <w:p w14:paraId="329ED658">
            <w:pPr>
              <w:jc w:val="left"/>
              <w:rPr>
                <w:rFonts w:ascii="仿宋" w:hAnsi="仿宋" w:eastAsia="仿宋" w:cs="仿宋"/>
                <w:kern w:val="0"/>
                <w:szCs w:val="21"/>
              </w:rPr>
            </w:pPr>
            <w:r>
              <w:rPr>
                <w:rFonts w:hint="eastAsia" w:ascii="仿宋" w:hAnsi="仿宋" w:eastAsia="仿宋" w:cs="仿宋"/>
                <w:kern w:val="0"/>
                <w:szCs w:val="21"/>
              </w:rPr>
              <w:t>2）本项目不接受联合体投标，不允许分包、转包。</w:t>
            </w:r>
          </w:p>
          <w:p w14:paraId="2FF7D438">
            <w:pPr>
              <w:jc w:val="left"/>
              <w:rPr>
                <w:rFonts w:ascii="仿宋" w:hAnsi="仿宋" w:eastAsia="仿宋" w:cs="仿宋"/>
                <w:kern w:val="0"/>
                <w:szCs w:val="21"/>
              </w:rPr>
            </w:pPr>
            <w:r>
              <w:rPr>
                <w:rFonts w:hint="eastAsia" w:ascii="仿宋" w:hAnsi="仿宋" w:eastAsia="仿宋" w:cs="仿宋"/>
                <w:kern w:val="0"/>
                <w:szCs w:val="21"/>
              </w:rPr>
              <w:t>3）参与本项目投标前三年内，在经营活动中没有重大违法记录（由供应商在《政府采购投标及履约承诺函》中作出声明）。</w:t>
            </w:r>
          </w:p>
          <w:p w14:paraId="5CFAD0B5">
            <w:pPr>
              <w:jc w:val="left"/>
              <w:rPr>
                <w:rFonts w:ascii="仿宋" w:hAnsi="仿宋" w:eastAsia="仿宋" w:cs="仿宋"/>
                <w:kern w:val="0"/>
                <w:szCs w:val="21"/>
              </w:rPr>
            </w:pPr>
            <w:r>
              <w:rPr>
                <w:rFonts w:hint="eastAsia" w:ascii="仿宋" w:hAnsi="仿宋" w:eastAsia="仿宋" w:cs="仿宋"/>
                <w:kern w:val="0"/>
                <w:szCs w:val="21"/>
              </w:rPr>
              <w:t>4）参与本项目政府采购活动时不存在被有关部门禁止参与政府采购活动且在有效期内的情况（由供应商在《政府采购投标及履约承诺函》中作出声明）。</w:t>
            </w:r>
          </w:p>
          <w:p w14:paraId="5AFADC99">
            <w:pPr>
              <w:jc w:val="left"/>
              <w:rPr>
                <w:rFonts w:ascii="仿宋" w:hAnsi="仿宋" w:eastAsia="仿宋" w:cs="仿宋"/>
                <w:kern w:val="0"/>
                <w:szCs w:val="21"/>
              </w:rPr>
            </w:pPr>
            <w:r>
              <w:rPr>
                <w:rFonts w:hint="eastAsia" w:ascii="仿宋" w:hAnsi="仿宋" w:eastAsia="仿宋" w:cs="仿宋"/>
                <w:kern w:val="0"/>
                <w:szCs w:val="21"/>
              </w:rPr>
              <w:t>5）具备《中华人民共和国政府采购法》第二十二条第一款的条件（由供应商在《政府采购投标及履约承诺函》中作出声明）。</w:t>
            </w:r>
          </w:p>
          <w:p w14:paraId="00BD4EFE">
            <w:pPr>
              <w:jc w:val="left"/>
              <w:rPr>
                <w:rFonts w:ascii="仿宋" w:hAnsi="仿宋" w:eastAsia="仿宋" w:cs="仿宋"/>
                <w:kern w:val="0"/>
                <w:szCs w:val="21"/>
              </w:rPr>
            </w:pPr>
            <w:r>
              <w:rPr>
                <w:rFonts w:hint="eastAsia" w:ascii="仿宋" w:hAnsi="仿宋" w:eastAsia="仿宋" w:cs="仿宋"/>
                <w:kern w:val="0"/>
                <w:szCs w:val="21"/>
              </w:rPr>
              <w:t>6）未被列入失信被执行人、重大税收违法案件当事人名单、政府采购严重违法失信行为记录名单（由供应商在《政府采购投标及履约承诺函》中作出声明）。</w:t>
            </w:r>
          </w:p>
          <w:p w14:paraId="706E28C9">
            <w:pPr>
              <w:jc w:val="left"/>
              <w:rPr>
                <w:rFonts w:ascii="仿宋" w:hAnsi="仿宋" w:eastAsia="仿宋" w:cs="仿宋"/>
                <w:b/>
                <w:color w:val="000000" w:themeColor="text1"/>
                <w:kern w:val="0"/>
                <w:szCs w:val="21"/>
                <w14:textFill>
                  <w14:solidFill>
                    <w14:schemeClr w14:val="tx1"/>
                  </w14:solidFill>
                </w14:textFill>
              </w:rPr>
            </w:pPr>
            <w:r>
              <w:rPr>
                <w:rFonts w:hint="eastAsia" w:ascii="仿宋" w:hAnsi="仿宋" w:eastAsia="仿宋" w:cs="仿宋"/>
                <w:kern w:val="0"/>
                <w:szCs w:val="21"/>
              </w:rPr>
              <w:t>注：“信用中国”、“中国政府采购网”、“深圳信用网”以及“深圳市政府采购监管网”为供应商信用信息的查询渠道，相关信息以开标当日的查询结果为准。</w:t>
            </w:r>
          </w:p>
        </w:tc>
      </w:tr>
      <w:tr w14:paraId="28F11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560" w:type="dxa"/>
            <w:vAlign w:val="center"/>
          </w:tcPr>
          <w:p w14:paraId="4642DC46">
            <w:pPr>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需求内容</w:t>
            </w:r>
          </w:p>
        </w:tc>
        <w:tc>
          <w:tcPr>
            <w:tcW w:w="7407" w:type="dxa"/>
            <w:gridSpan w:val="4"/>
          </w:tcPr>
          <w:p w14:paraId="5BB015C4">
            <w:pPr>
              <w:jc w:val="left"/>
              <w:rPr>
                <w:rFonts w:ascii="仿宋" w:hAnsi="仿宋" w:eastAsia="仿宋" w:cs="仿宋"/>
                <w:b/>
                <w:szCs w:val="21"/>
              </w:rPr>
            </w:pPr>
            <w:r>
              <w:rPr>
                <w:rFonts w:hint="eastAsia" w:ascii="仿宋" w:hAnsi="仿宋" w:eastAsia="仿宋" w:cs="仿宋"/>
                <w:b/>
                <w:szCs w:val="21"/>
              </w:rPr>
              <w:t>*</w:t>
            </w:r>
            <w:r>
              <w:rPr>
                <w:rFonts w:hint="eastAsia" w:ascii="仿宋" w:hAnsi="仿宋" w:eastAsia="仿宋" w:cs="仿宋"/>
                <w:b/>
                <w:bCs/>
                <w:szCs w:val="21"/>
              </w:rPr>
              <w:t>1、</w:t>
            </w:r>
            <w:r>
              <w:rPr>
                <w:rFonts w:hint="eastAsia" w:ascii="仿宋" w:hAnsi="仿宋" w:eastAsia="仿宋" w:cs="仿宋"/>
                <w:b/>
                <w:szCs w:val="21"/>
              </w:rPr>
              <w:t>报价要求（明确分项报价要求）</w:t>
            </w:r>
          </w:p>
          <w:p w14:paraId="5DE00894">
            <w:pPr>
              <w:widowControl/>
              <w:spacing w:line="340" w:lineRule="exact"/>
              <w:jc w:val="left"/>
              <w:rPr>
                <w:rFonts w:ascii="仿宋" w:hAnsi="仿宋" w:eastAsia="仿宋" w:cs="宋体"/>
                <w:szCs w:val="21"/>
              </w:rPr>
            </w:pPr>
            <w:r>
              <w:rPr>
                <w:rFonts w:hint="eastAsia" w:ascii="仿宋" w:hAnsi="仿宋" w:eastAsia="仿宋" w:cs="宋体"/>
                <w:kern w:val="0"/>
                <w:szCs w:val="21"/>
              </w:rPr>
              <w:t>（1）本项目服务费采用包干制，应包括服务成本、法定税费和企业的利润。由企业根据招标文件所提供的资料自行测算投标报价；一经中标，投标报价总价作为中标单位与采购人签定的合同金额，合同期限内不做调整。</w:t>
            </w:r>
          </w:p>
          <w:p w14:paraId="0D86687D">
            <w:pPr>
              <w:widowControl/>
              <w:spacing w:line="340" w:lineRule="exact"/>
              <w:jc w:val="left"/>
              <w:rPr>
                <w:rFonts w:ascii="仿宋" w:hAnsi="仿宋" w:eastAsia="仿宋" w:cs="宋体"/>
                <w:szCs w:val="21"/>
              </w:rPr>
            </w:pPr>
            <w:r>
              <w:rPr>
                <w:rFonts w:hint="eastAsia" w:ascii="仿宋" w:hAnsi="仿宋" w:eastAsia="仿宋" w:cs="宋体"/>
                <w:kern w:val="0"/>
                <w:szCs w:val="21"/>
              </w:rPr>
              <w:t>（2）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47397625">
            <w:pPr>
              <w:widowControl/>
              <w:spacing w:line="340" w:lineRule="exact"/>
              <w:jc w:val="left"/>
              <w:rPr>
                <w:rFonts w:ascii="仿宋" w:hAnsi="仿宋" w:eastAsia="仿宋" w:cs="宋体"/>
                <w:szCs w:val="21"/>
              </w:rPr>
            </w:pPr>
            <w:r>
              <w:rPr>
                <w:rFonts w:hint="eastAsia" w:ascii="仿宋" w:hAnsi="仿宋" w:eastAsia="仿宋" w:cs="宋体"/>
                <w:kern w:val="0"/>
                <w:szCs w:val="21"/>
              </w:rPr>
              <w:t>（3）投标单位提供报价详细清单。</w:t>
            </w:r>
          </w:p>
          <w:p w14:paraId="086113C3">
            <w:pPr>
              <w:widowControl/>
              <w:spacing w:line="340" w:lineRule="exact"/>
              <w:jc w:val="left"/>
              <w:rPr>
                <w:rFonts w:ascii="仿宋" w:hAnsi="仿宋" w:eastAsia="仿宋" w:cs="宋体"/>
                <w:szCs w:val="21"/>
              </w:rPr>
            </w:pPr>
            <w:r>
              <w:rPr>
                <w:rFonts w:hint="eastAsia" w:ascii="仿宋" w:hAnsi="仿宋" w:eastAsia="仿宋"/>
                <w:bCs/>
                <w:szCs w:val="21"/>
              </w:rPr>
              <w:t>（</w:t>
            </w:r>
            <w:r>
              <w:rPr>
                <w:rFonts w:hint="eastAsia" w:ascii="仿宋" w:hAnsi="仿宋" w:eastAsia="仿宋" w:cs="宋体"/>
                <w:kern w:val="0"/>
                <w:szCs w:val="21"/>
              </w:rPr>
              <w:t>4</w:t>
            </w:r>
            <w:r>
              <w:rPr>
                <w:rFonts w:hint="eastAsia" w:ascii="仿宋" w:hAnsi="仿宋" w:eastAsia="仿宋"/>
                <w:bCs/>
                <w:szCs w:val="21"/>
              </w:rPr>
              <w:t>）在合同实施期间，服务费用不随国家政策或法规、标准及市场因素的变化而进行调整。</w:t>
            </w:r>
          </w:p>
          <w:p w14:paraId="202F7107">
            <w:pPr>
              <w:widowControl/>
              <w:spacing w:line="340" w:lineRule="exact"/>
              <w:jc w:val="left"/>
              <w:rPr>
                <w:rFonts w:ascii="仿宋" w:hAnsi="仿宋" w:eastAsia="仿宋" w:cs="宋体"/>
                <w:szCs w:val="21"/>
              </w:rPr>
            </w:pPr>
            <w:r>
              <w:rPr>
                <w:rFonts w:hint="eastAsia" w:ascii="仿宋" w:hAnsi="仿宋" w:eastAsia="仿宋" w:cs="宋体"/>
                <w:kern w:val="0"/>
                <w:szCs w:val="21"/>
              </w:rPr>
              <w:t>（5）投标人的投标报价，应是本项目招标范围和招标文件及合同条款上所列的各项内容中所述的全部，不得以任何理由予以重复，并以投标人在投标文件中提出的综合单价或总价为依据。</w:t>
            </w:r>
          </w:p>
          <w:p w14:paraId="4D303BE0">
            <w:pPr>
              <w:widowControl/>
              <w:spacing w:line="340" w:lineRule="exact"/>
              <w:jc w:val="left"/>
              <w:rPr>
                <w:rFonts w:ascii="仿宋" w:hAnsi="仿宋" w:eastAsia="仿宋" w:cs="宋体"/>
                <w:szCs w:val="21"/>
              </w:rPr>
            </w:pPr>
            <w:r>
              <w:rPr>
                <w:rFonts w:hint="eastAsia" w:ascii="仿宋" w:hAnsi="仿宋" w:eastAsia="仿宋" w:cs="宋体"/>
                <w:kern w:val="0"/>
                <w:szCs w:val="21"/>
              </w:rPr>
              <w:t>（6）例外地按招标文件所列的清单中项目和数量填报综合单价或总价。投标人未填综合单价或总价的项目，在实施后，将不得以支付，并视作该项费用已包括在其它有价款的综合单价或总价内。</w:t>
            </w:r>
          </w:p>
          <w:p w14:paraId="5763A556">
            <w:pPr>
              <w:widowControl/>
              <w:spacing w:line="340" w:lineRule="exact"/>
              <w:jc w:val="left"/>
              <w:rPr>
                <w:rFonts w:ascii="仿宋" w:hAnsi="仿宋" w:eastAsia="仿宋" w:cs="宋体"/>
                <w:szCs w:val="21"/>
              </w:rPr>
            </w:pPr>
            <w:r>
              <w:rPr>
                <w:rFonts w:hint="eastAsia" w:ascii="仿宋" w:hAnsi="仿宋" w:eastAsia="仿宋" w:cs="宋体"/>
                <w:kern w:val="0"/>
                <w:szCs w:val="21"/>
              </w:rPr>
              <w:t>（7）投标人应充分了解项目的位置、情况、道路及任何其它足以影响投标报价的情况，任何因忽视或误解项目情况而导致的索赔或服务期限延长申请将不获批准。</w:t>
            </w:r>
          </w:p>
          <w:p w14:paraId="1516A6ED">
            <w:pPr>
              <w:jc w:val="left"/>
              <w:rPr>
                <w:rFonts w:ascii="仿宋" w:hAnsi="仿宋" w:eastAsia="仿宋" w:cs="仿宋"/>
                <w:szCs w:val="21"/>
              </w:rPr>
            </w:pPr>
            <w:r>
              <w:rPr>
                <w:rFonts w:hint="eastAsia" w:ascii="仿宋" w:hAnsi="仿宋" w:eastAsia="仿宋" w:cs="宋体"/>
                <w:kern w:val="0"/>
                <w:szCs w:val="21"/>
              </w:rPr>
              <w:t>（8）投标人不得期望通过索赔等方式获取补偿，否则，除可能遭到拒绝外，还可能将被作为不良行为记录在案，并可能影响其以后参加政府采购的项目投标。各投标人在投标报价时，应充分考虑投标报价的风险。</w:t>
            </w:r>
          </w:p>
          <w:p w14:paraId="0D66C10F">
            <w:pPr>
              <w:jc w:val="left"/>
              <w:rPr>
                <w:rFonts w:ascii="仿宋" w:hAnsi="仿宋" w:eastAsia="仿宋" w:cs="仿宋"/>
                <w:b/>
                <w:szCs w:val="21"/>
              </w:rPr>
            </w:pPr>
            <w:r>
              <w:rPr>
                <w:rFonts w:hint="eastAsia" w:ascii="仿宋" w:hAnsi="仿宋" w:eastAsia="仿宋" w:cs="仿宋"/>
                <w:b/>
                <w:szCs w:val="21"/>
              </w:rPr>
              <w:t>*2、付款方式</w:t>
            </w:r>
          </w:p>
          <w:p w14:paraId="6B564BA6">
            <w:pPr>
              <w:ind w:firstLine="420" w:firstLineChars="200"/>
              <w:rPr>
                <w:rFonts w:ascii="仿宋_GB2312" w:hAnsi="仿宋_GB2312" w:eastAsia="仿宋_GB2312" w:cs="仿宋_GB2312"/>
                <w:kern w:val="0"/>
                <w:szCs w:val="21"/>
              </w:rPr>
            </w:pPr>
            <w:r>
              <w:rPr>
                <w:rFonts w:hint="eastAsia" w:ascii="仿宋_GB2312" w:hAnsi="仿宋_GB2312" w:eastAsia="仿宋_GB2312" w:cs="仿宋_GB2312"/>
                <w:kern w:val="0"/>
                <w:szCs w:val="21"/>
              </w:rPr>
              <w:t>本项目分三期支付合同款。</w:t>
            </w:r>
          </w:p>
          <w:p w14:paraId="49671C76">
            <w:pPr>
              <w:ind w:firstLine="420" w:firstLineChars="200"/>
              <w:rPr>
                <w:rFonts w:ascii="仿宋_GB2312" w:hAnsi="仿宋_GB2312" w:eastAsia="仿宋_GB2312" w:cs="仿宋_GB2312"/>
                <w:kern w:val="0"/>
                <w:szCs w:val="21"/>
              </w:rPr>
            </w:pPr>
            <w:r>
              <w:rPr>
                <w:rFonts w:hint="eastAsia" w:ascii="仿宋_GB2312" w:hAnsi="仿宋_GB2312" w:eastAsia="仿宋_GB2312" w:cs="仿宋_GB2312"/>
                <w:kern w:val="0"/>
                <w:szCs w:val="21"/>
              </w:rPr>
              <w:t>首期款：自双方签订合同之日起20个工作日内，根据中标方提出的付款申请，采购方按照合同要求支付中标方合同总价款的40%；</w:t>
            </w:r>
          </w:p>
          <w:p w14:paraId="238752A6">
            <w:pPr>
              <w:ind w:firstLine="420" w:firstLineChars="200"/>
              <w:rPr>
                <w:rFonts w:ascii="仿宋_GB2312" w:hAnsi="仿宋_GB2312" w:eastAsia="仿宋_GB2312" w:cs="仿宋_GB2312"/>
                <w:kern w:val="0"/>
                <w:szCs w:val="21"/>
              </w:rPr>
            </w:pPr>
            <w:r>
              <w:rPr>
                <w:rFonts w:hint="eastAsia" w:ascii="仿宋_GB2312" w:hAnsi="仿宋_GB2312" w:eastAsia="仿宋_GB2312" w:cs="仿宋_GB2312"/>
                <w:kern w:val="0"/>
                <w:szCs w:val="21"/>
              </w:rPr>
              <w:t>二期款：中标方提交完成初步成果，经采购方负责处室审查通过后20个工作日内支付，采购方按照合同要求支付中标方合同总价款的40%；</w:t>
            </w:r>
          </w:p>
          <w:p w14:paraId="11FAE748">
            <w:pPr>
              <w:ind w:firstLine="420" w:firstLineChars="200"/>
              <w:rPr>
                <w:rFonts w:ascii="仿宋_GB2312" w:hAnsi="仿宋_GB2312" w:eastAsia="仿宋_GB2312" w:cs="仿宋_GB2312"/>
                <w:kern w:val="0"/>
                <w:szCs w:val="21"/>
              </w:rPr>
            </w:pPr>
            <w:r>
              <w:rPr>
                <w:rFonts w:hint="eastAsia" w:ascii="仿宋_GB2312" w:hAnsi="仿宋_GB2312" w:eastAsia="仿宋_GB2312" w:cs="仿宋_GB2312"/>
                <w:kern w:val="0"/>
                <w:szCs w:val="21"/>
              </w:rPr>
              <w:t>尾款：中标方提交完成本项目全部成果，并通过采购方成果验收后20个工作日内，采购方按照合同要求支付中标方合同总价款的20%。</w:t>
            </w:r>
          </w:p>
          <w:p w14:paraId="48271C71">
            <w:pPr>
              <w:jc w:val="left"/>
              <w:rPr>
                <w:rFonts w:ascii="仿宋" w:hAnsi="仿宋" w:eastAsia="仿宋" w:cs="仿宋"/>
                <w:b/>
                <w:szCs w:val="21"/>
              </w:rPr>
            </w:pPr>
            <w:r>
              <w:rPr>
                <w:rFonts w:hint="eastAsia" w:ascii="仿宋" w:hAnsi="仿宋" w:eastAsia="仿宋" w:cs="仿宋"/>
                <w:b/>
                <w:szCs w:val="21"/>
              </w:rPr>
              <w:t>*3、履约保证金</w:t>
            </w:r>
          </w:p>
          <w:p w14:paraId="3386E991">
            <w:pPr>
              <w:ind w:firstLine="420" w:firstLineChars="200"/>
              <w:jc w:val="left"/>
              <w:rPr>
                <w:rFonts w:ascii="仿宋" w:hAnsi="仿宋" w:eastAsia="仿宋" w:cs="仿宋"/>
                <w:b/>
                <w:szCs w:val="21"/>
              </w:rPr>
            </w:pPr>
            <w:r>
              <w:rPr>
                <w:rFonts w:hint="eastAsia" w:ascii="仿宋" w:hAnsi="仿宋" w:eastAsia="仿宋"/>
                <w:szCs w:val="21"/>
              </w:rPr>
              <w:t>无。</w:t>
            </w:r>
          </w:p>
          <w:p w14:paraId="545A6192">
            <w:pPr>
              <w:jc w:val="left"/>
              <w:rPr>
                <w:rFonts w:ascii="仿宋" w:hAnsi="仿宋" w:eastAsia="仿宋" w:cs="仿宋"/>
                <w:b/>
                <w:szCs w:val="21"/>
              </w:rPr>
            </w:pPr>
            <w:r>
              <w:rPr>
                <w:rFonts w:hint="eastAsia" w:ascii="仿宋" w:hAnsi="仿宋" w:eastAsia="仿宋" w:cs="仿宋"/>
                <w:b/>
                <w:szCs w:val="21"/>
              </w:rPr>
              <w:t>*4、违约责任</w:t>
            </w:r>
          </w:p>
          <w:p w14:paraId="0610643C">
            <w:pPr>
              <w:ind w:firstLine="420" w:firstLineChars="200"/>
              <w:jc w:val="left"/>
              <w:rPr>
                <w:rFonts w:ascii="仿宋_GB2312" w:hAnsi="仿宋_GB2312" w:eastAsia="仿宋_GB2312" w:cs="仿宋_GB2312"/>
                <w:szCs w:val="21"/>
              </w:rPr>
            </w:pPr>
            <w:r>
              <w:rPr>
                <w:rFonts w:hint="eastAsia" w:ascii="仿宋_GB2312" w:hAnsi="仿宋_GB2312" w:eastAsia="仿宋_GB2312" w:cs="仿宋_GB2312"/>
                <w:szCs w:val="21"/>
              </w:rPr>
              <w:t xml:space="preserve">合同生效后，双方不得任意终止合同，否则赔偿对方合同总价款的10%作为违约金。 </w:t>
            </w:r>
          </w:p>
          <w:p w14:paraId="1090F643">
            <w:pPr>
              <w:pStyle w:val="10"/>
              <w:adjustRightInd w:val="0"/>
              <w:rPr>
                <w:rFonts w:ascii="仿宋_GB2312" w:hAnsi="仿宋_GB2312" w:eastAsia="仿宋_GB2312" w:cs="仿宋_GB2312"/>
                <w:szCs w:val="21"/>
              </w:rPr>
            </w:pPr>
            <w:r>
              <w:rPr>
                <w:rFonts w:hint="eastAsia" w:ascii="仿宋_GB2312" w:hAnsi="仿宋_GB2312" w:eastAsia="仿宋_GB2312" w:cs="仿宋_GB2312"/>
                <w:szCs w:val="21"/>
              </w:rPr>
              <w:t>4.1 采购方的责任</w:t>
            </w:r>
          </w:p>
          <w:p w14:paraId="5200CD49">
            <w:pPr>
              <w:pStyle w:val="10"/>
              <w:adjustRightInd w:val="0"/>
              <w:rPr>
                <w:rFonts w:ascii="仿宋_GB2312" w:hAnsi="仿宋_GB2312" w:eastAsia="仿宋_GB2312" w:cs="仿宋_GB2312"/>
                <w:szCs w:val="21"/>
              </w:rPr>
            </w:pPr>
            <w:r>
              <w:rPr>
                <w:rFonts w:hint="eastAsia" w:ascii="仿宋_GB2312" w:hAnsi="仿宋_GB2312" w:eastAsia="仿宋_GB2312" w:cs="仿宋_GB2312"/>
                <w:szCs w:val="21"/>
              </w:rPr>
              <w:t>（1）合同签订后，中标方未展开工作前，由于采购方项目停止或其他自身原因而终止合同的，采购方偿付中标方合同总价款的10%；中标方已展开工作的，采购方应按完成的实际工作量支付项目价款，并按合同总价款的10%向中标方支付有违约金。</w:t>
            </w:r>
          </w:p>
          <w:p w14:paraId="44741E7F">
            <w:pPr>
              <w:pStyle w:val="10"/>
              <w:adjustRightInd w:val="0"/>
              <w:rPr>
                <w:rFonts w:ascii="仿宋_GB2312" w:hAnsi="仿宋_GB2312" w:eastAsia="仿宋_GB2312" w:cs="仿宋_GB2312"/>
                <w:szCs w:val="21"/>
              </w:rPr>
            </w:pPr>
            <w:r>
              <w:rPr>
                <w:rFonts w:hint="eastAsia" w:ascii="仿宋_GB2312" w:hAnsi="仿宋_GB2312" w:eastAsia="仿宋_GB2312" w:cs="仿宋_GB2312"/>
                <w:szCs w:val="21"/>
              </w:rPr>
              <w:t>（2）采购方无正当理由拒不接受服务、拒付合同价款，中标方有权要求采购方接受服务并支付应付的合同价款。采购方应向中标方支付合同约定的合同总价款的10%作为违约金。</w:t>
            </w:r>
          </w:p>
          <w:p w14:paraId="3B5880B5">
            <w:pPr>
              <w:pStyle w:val="10"/>
              <w:adjustRightInd w:val="0"/>
              <w:rPr>
                <w:rFonts w:ascii="仿宋_GB2312" w:hAnsi="仿宋_GB2312" w:eastAsia="仿宋_GB2312" w:cs="仿宋_GB2312"/>
                <w:szCs w:val="21"/>
              </w:rPr>
            </w:pPr>
            <w:r>
              <w:rPr>
                <w:rFonts w:hint="eastAsia" w:ascii="仿宋_GB2312" w:hAnsi="仿宋_GB2312" w:eastAsia="仿宋_GB2312" w:cs="仿宋_GB2312"/>
                <w:szCs w:val="21"/>
              </w:rPr>
              <w:t>（3）采购方变更委托项目内容、规模、条件，或对所提供资料作较大修改时，应于确定修改之日起5个工作日内告知中标方。因以上原因造成中标方返工，工作量按合同规定的计费标准计算未超过合同总价款的10%时，中标方予以免费返工；工作量按合同规定的计费标准计算超过合同总价款的10%但未超过20%时，采购方应按中标方返工所耗工作量向中标方支付返工费；工作量按合同规定的计费标准计算达到或超过合同总价款的20%时，双方应协商签订补充协议或另行签订合同，重新明确有关条款。</w:t>
            </w:r>
          </w:p>
          <w:p w14:paraId="4B96EA85">
            <w:pPr>
              <w:pStyle w:val="10"/>
              <w:adjustRightInd w:val="0"/>
              <w:rPr>
                <w:rFonts w:ascii="仿宋_GB2312" w:hAnsi="仿宋_GB2312" w:eastAsia="仿宋_GB2312" w:cs="仿宋_GB2312"/>
                <w:szCs w:val="21"/>
              </w:rPr>
            </w:pPr>
            <w:r>
              <w:rPr>
                <w:rFonts w:hint="eastAsia" w:ascii="仿宋_GB2312" w:hAnsi="仿宋_GB2312" w:eastAsia="仿宋_GB2312" w:cs="仿宋_GB2312"/>
                <w:szCs w:val="21"/>
              </w:rPr>
              <w:t>（4）采购方未按合同约定，延迟或未足额支付合同价款的，中标方有权要求采购方支付该阶段未付合同价款每日2‰的逾期违约金，逾期违约金总额不超过合同总价款的10%，且中标方提交成果的时间顺延。逾期超过5个工作日（含5个工作日）以上时，中标方有权暂停履行下阶段工作，并书面通知采购方。因政府内部付款审批原因导致采购方迟延付款的，不视为采购方逾期付款。</w:t>
            </w:r>
          </w:p>
          <w:p w14:paraId="56342368">
            <w:pPr>
              <w:pStyle w:val="10"/>
              <w:adjustRightInd w:val="0"/>
              <w:rPr>
                <w:rFonts w:ascii="仿宋_GB2312" w:hAnsi="仿宋_GB2312" w:eastAsia="仿宋_GB2312" w:cs="仿宋_GB2312"/>
                <w:szCs w:val="21"/>
              </w:rPr>
            </w:pPr>
            <w:r>
              <w:rPr>
                <w:rFonts w:hint="eastAsia" w:ascii="仿宋_GB2312" w:hAnsi="仿宋_GB2312" w:eastAsia="仿宋_GB2312" w:cs="仿宋_GB2312"/>
                <w:szCs w:val="21"/>
              </w:rPr>
              <w:t>4.2 中标方的责任</w:t>
            </w:r>
          </w:p>
          <w:p w14:paraId="62E81365">
            <w:pPr>
              <w:pStyle w:val="10"/>
              <w:adjustRightInd w:val="0"/>
              <w:rPr>
                <w:rFonts w:ascii="仿宋_GB2312" w:hAnsi="仿宋_GB2312" w:eastAsia="仿宋_GB2312" w:cs="仿宋_GB2312"/>
                <w:szCs w:val="21"/>
              </w:rPr>
            </w:pPr>
            <w:r>
              <w:rPr>
                <w:rFonts w:hint="eastAsia" w:ascii="仿宋_GB2312" w:hAnsi="仿宋_GB2312" w:eastAsia="仿宋_GB2312" w:cs="仿宋_GB2312"/>
                <w:szCs w:val="21"/>
              </w:rPr>
              <w:t>（1）合同签订后，如中标方擅自中途终止或解除合同，中标方向采购方赔偿合同总价款的10%，并归还采购方预付的全部项目款。</w:t>
            </w:r>
          </w:p>
          <w:p w14:paraId="43B41FB6">
            <w:pPr>
              <w:pStyle w:val="10"/>
              <w:adjustRightInd w:val="0"/>
              <w:rPr>
                <w:rFonts w:ascii="仿宋_GB2312" w:hAnsi="仿宋_GB2312" w:eastAsia="仿宋_GB2312" w:cs="仿宋_GB2312"/>
                <w:szCs w:val="21"/>
              </w:rPr>
            </w:pPr>
            <w:r>
              <w:rPr>
                <w:rFonts w:hint="eastAsia" w:ascii="仿宋_GB2312" w:hAnsi="仿宋_GB2312" w:eastAsia="仿宋_GB2312" w:cs="仿宋_GB2312"/>
                <w:szCs w:val="21"/>
              </w:rPr>
              <w:t>（2）未经采购方许可，中标方将合同项目与第三方合作，或将合同标的的全部或部分擅自转包给第三方的，采购方有权要求中标方终止与第三方的合同。中标方应承担因此而产生的相关责任，并应向采购方支付合同总价款的10%的违约金。</w:t>
            </w:r>
          </w:p>
          <w:p w14:paraId="21CDEDFB">
            <w:pPr>
              <w:pStyle w:val="10"/>
              <w:adjustRightInd w:val="0"/>
              <w:rPr>
                <w:rFonts w:ascii="仿宋_GB2312" w:hAnsi="仿宋_GB2312" w:eastAsia="仿宋_GB2312" w:cs="仿宋_GB2312"/>
                <w:szCs w:val="21"/>
              </w:rPr>
            </w:pPr>
            <w:r>
              <w:rPr>
                <w:rFonts w:hint="eastAsia" w:ascii="仿宋_GB2312" w:hAnsi="仿宋_GB2312" w:eastAsia="仿宋_GB2312" w:cs="仿宋_GB2312"/>
                <w:szCs w:val="21"/>
              </w:rPr>
              <w:t>（3）如中标方因自身原因不能履行合同义务或无法按照合同的约定提供服务，采购方有权终止合同，损失由中标方承担，中标方应向采购方支付合同总价款的10%的违约金，同时要求中标方退回全部已收合同款项。</w:t>
            </w:r>
          </w:p>
          <w:p w14:paraId="64E73AF0">
            <w:pPr>
              <w:pStyle w:val="10"/>
              <w:adjustRightInd w:val="0"/>
              <w:rPr>
                <w:rFonts w:ascii="仿宋_GB2312" w:hAnsi="仿宋_GB2312" w:eastAsia="仿宋_GB2312" w:cs="仿宋_GB2312"/>
                <w:szCs w:val="21"/>
              </w:rPr>
            </w:pPr>
            <w:r>
              <w:rPr>
                <w:rFonts w:hint="eastAsia" w:ascii="仿宋_GB2312" w:hAnsi="仿宋_GB2312" w:eastAsia="仿宋_GB2312" w:cs="仿宋_GB2312"/>
                <w:szCs w:val="21"/>
              </w:rPr>
              <w:t>（4）中标方无正当理由不按照合同的约定提供服务或者违反规定的义务，采购方有权要求中标方退还部分或者全部已付的合同款项，并应向采购方支付合同总价款的10%的违约金。</w:t>
            </w:r>
          </w:p>
          <w:p w14:paraId="505D1E4D">
            <w:pPr>
              <w:pStyle w:val="10"/>
              <w:adjustRightInd w:val="0"/>
              <w:rPr>
                <w:rFonts w:ascii="仿宋_GB2312" w:hAnsi="仿宋_GB2312" w:eastAsia="仿宋_GB2312" w:cs="仿宋_GB2312"/>
                <w:szCs w:val="21"/>
              </w:rPr>
            </w:pPr>
            <w:r>
              <w:rPr>
                <w:rFonts w:hint="eastAsia" w:ascii="仿宋_GB2312" w:hAnsi="仿宋_GB2312" w:eastAsia="仿宋_GB2312" w:cs="仿宋_GB2312"/>
                <w:szCs w:val="21"/>
              </w:rPr>
              <w:t>（5）合同履行期间，中标方因自身原因未能按合同约定的日期(含协商延缓的日期)提交项目成果和造成验收时间延后，检测、验收中的产品更改费由中标方承担。给采购方造成损失的，损害由中标方承担，每逾期一天须支付给采购方合同总价款的2‰作为违约金，逾期违约金总额不超过合同总价款的10%。</w:t>
            </w:r>
          </w:p>
          <w:p w14:paraId="5308D38E">
            <w:pPr>
              <w:pStyle w:val="10"/>
              <w:adjustRightInd w:val="0"/>
              <w:rPr>
                <w:rFonts w:ascii="仿宋_GB2312" w:hAnsi="仿宋_GB2312" w:eastAsia="仿宋_GB2312" w:cs="仿宋_GB2312"/>
                <w:szCs w:val="21"/>
              </w:rPr>
            </w:pPr>
            <w:r>
              <w:rPr>
                <w:rFonts w:hint="eastAsia" w:ascii="仿宋_GB2312" w:hAnsi="仿宋_GB2312" w:eastAsia="仿宋_GB2312" w:cs="仿宋_GB2312"/>
                <w:szCs w:val="21"/>
              </w:rPr>
              <w:t>（6）由于中标方工作的错误或遗漏造成项目成果验收不合格的，采购方给予中标方一定的宽限期，中标方应在宽限期内无偿予以重新开展工作或采取补救措施，以达到质量要求，且应免收受损失部分的合同价款，并支付合同总价款10%的违约金。如采购方提出异议后中标方不作答复或者无理由推脱的或中标方无法在宽限期内完成整改的，采购方有权终止合同，损失由中标方承担，中标方须退回合同全额费用，并要求中标方支付合同总价款10%的违约金。因项目成果不符合合同要求给采购方造成损失的，中标方应负全部责任。</w:t>
            </w:r>
          </w:p>
          <w:p w14:paraId="69698C8F">
            <w:pPr>
              <w:pStyle w:val="10"/>
              <w:adjustRightInd w:val="0"/>
              <w:rPr>
                <w:rFonts w:ascii="仿宋_GB2312" w:hAnsi="仿宋_GB2312" w:eastAsia="仿宋_GB2312" w:cs="仿宋_GB2312"/>
                <w:szCs w:val="21"/>
              </w:rPr>
            </w:pPr>
            <w:r>
              <w:rPr>
                <w:rFonts w:hint="eastAsia" w:ascii="仿宋_GB2312" w:hAnsi="仿宋_GB2312" w:eastAsia="仿宋_GB2312" w:cs="仿宋_GB2312"/>
                <w:szCs w:val="21"/>
              </w:rPr>
              <w:t>（7）中标方未按合同的约定，擅自修改已经提交验收的成果文件的，应承担因此产生的一切后果，并赔偿采购方合同总价款20%的违约金。</w:t>
            </w:r>
          </w:p>
          <w:p w14:paraId="27EA07F1">
            <w:pPr>
              <w:pStyle w:val="10"/>
              <w:adjustRightInd w:val="0"/>
              <w:rPr>
                <w:rFonts w:ascii="仿宋_GB2312" w:hAnsi="仿宋_GB2312" w:eastAsia="仿宋_GB2312" w:cs="仿宋_GB2312"/>
                <w:szCs w:val="21"/>
              </w:rPr>
            </w:pPr>
            <w:r>
              <w:rPr>
                <w:rFonts w:hint="eastAsia" w:ascii="仿宋_GB2312" w:hAnsi="仿宋_GB2312" w:eastAsia="仿宋_GB2312" w:cs="仿宋_GB2312"/>
                <w:szCs w:val="21"/>
              </w:rPr>
              <w:t>（8）中标方组织的项目组成员不符合合同约定的工作内容和技术要求，或未经采购方同意，中标方擅自变更约定的项目组主要成员，采购方有权责成中标方采取补救措施或调整项目组主要成员构成。</w:t>
            </w:r>
          </w:p>
          <w:p w14:paraId="201D4757">
            <w:pPr>
              <w:pStyle w:val="10"/>
              <w:adjustRightInd w:val="0"/>
              <w:rPr>
                <w:rFonts w:ascii="仿宋_GB2312" w:hAnsi="仿宋_GB2312" w:eastAsia="仿宋_GB2312" w:cs="仿宋_GB2312"/>
                <w:szCs w:val="21"/>
              </w:rPr>
            </w:pPr>
            <w:r>
              <w:rPr>
                <w:rFonts w:hint="eastAsia" w:ascii="仿宋_GB2312" w:hAnsi="仿宋_GB2312" w:eastAsia="仿宋_GB2312" w:cs="仿宋_GB2312"/>
                <w:szCs w:val="21"/>
              </w:rPr>
              <w:t>（9）本项目最终成果验收后1年以内，中标方未按采购方要求就本项目提供必要解释和接受咨询的，采购方可要求中标方承担合同总价款10%的违约金，上述违约金可以在支付合同款项时优先予以扣除。</w:t>
            </w:r>
          </w:p>
          <w:p w14:paraId="40CF9C09">
            <w:pPr>
              <w:pStyle w:val="10"/>
              <w:adjustRightInd w:val="0"/>
              <w:rPr>
                <w:rFonts w:ascii="仿宋_GB2312" w:hAnsi="仿宋_GB2312" w:eastAsia="仿宋_GB2312" w:cs="仿宋_GB2312"/>
                <w:szCs w:val="21"/>
              </w:rPr>
            </w:pPr>
            <w:r>
              <w:rPr>
                <w:rFonts w:hint="eastAsia" w:ascii="仿宋_GB2312" w:hAnsi="仿宋_GB2312" w:eastAsia="仿宋_GB2312" w:cs="仿宋_GB2312"/>
                <w:szCs w:val="21"/>
              </w:rPr>
              <w:t>（10）合同履行期间，中标方承担第三方委托的本项目范围内有利益冲突的其他项目，一经发现，无论合同正在履行或已履行完毕，采购方均有权追究中标方责任，并要求中标方支付合同总价款10%的违约金。</w:t>
            </w:r>
          </w:p>
          <w:p w14:paraId="0B8C1432">
            <w:pPr>
              <w:pStyle w:val="10"/>
              <w:adjustRightInd w:val="0"/>
              <w:rPr>
                <w:rFonts w:ascii="仿宋_GB2312" w:hAnsi="仿宋_GB2312" w:eastAsia="仿宋_GB2312" w:cs="仿宋_GB2312"/>
                <w:szCs w:val="21"/>
              </w:rPr>
            </w:pPr>
            <w:r>
              <w:rPr>
                <w:rFonts w:hint="eastAsia" w:ascii="仿宋_GB2312" w:hAnsi="仿宋_GB2312" w:eastAsia="仿宋_GB2312" w:cs="仿宋_GB2312"/>
                <w:szCs w:val="21"/>
              </w:rPr>
              <w:t>（11）如中标方提交的服务成果侵犯第三方合法权益的，一切法律责任均由中标方承担，同时中标方保证采购方在第三方主张权益时免受损失，并赔偿采购方合同总价款10%的违约金。</w:t>
            </w:r>
          </w:p>
          <w:p w14:paraId="20D83587">
            <w:pPr>
              <w:pStyle w:val="10"/>
              <w:adjustRightInd w:val="0"/>
              <w:rPr>
                <w:rFonts w:ascii="仿宋_GB2312" w:hAnsi="仿宋_GB2312" w:eastAsia="仿宋_GB2312" w:cs="仿宋_GB2312"/>
                <w:szCs w:val="21"/>
              </w:rPr>
            </w:pPr>
            <w:r>
              <w:rPr>
                <w:rFonts w:hint="eastAsia" w:ascii="仿宋_GB2312" w:hAnsi="仿宋_GB2312" w:eastAsia="仿宋_GB2312" w:cs="仿宋_GB2312"/>
                <w:szCs w:val="21"/>
              </w:rPr>
              <w:t>（12）中标方因过错导致采购方蒙受重大经济损失，中标方应当承担赔偿责任。</w:t>
            </w:r>
          </w:p>
          <w:p w14:paraId="7BE649E3">
            <w:pPr>
              <w:jc w:val="left"/>
              <w:rPr>
                <w:rFonts w:ascii="仿宋" w:hAnsi="仿宋" w:eastAsia="仿宋" w:cs="仿宋"/>
                <w:b/>
                <w:szCs w:val="21"/>
              </w:rPr>
            </w:pPr>
            <w:r>
              <w:rPr>
                <w:rFonts w:hint="eastAsia" w:ascii="仿宋" w:hAnsi="仿宋" w:eastAsia="仿宋" w:cs="仿宋"/>
                <w:b/>
                <w:szCs w:val="21"/>
              </w:rPr>
              <w:t>*5、服务质量监督和项目验收要求</w:t>
            </w:r>
          </w:p>
          <w:p w14:paraId="473A3DE0">
            <w:pPr>
              <w:ind w:firstLine="420" w:firstLineChars="200"/>
              <w:jc w:val="left"/>
              <w:rPr>
                <w:rFonts w:ascii="仿宋" w:hAnsi="仿宋" w:eastAsia="仿宋" w:cs="仿宋"/>
                <w:szCs w:val="21"/>
              </w:rPr>
            </w:pPr>
            <w:r>
              <w:rPr>
                <w:rFonts w:hint="eastAsia" w:ascii="仿宋" w:hAnsi="仿宋" w:eastAsia="仿宋" w:cs="仿宋"/>
                <w:szCs w:val="21"/>
              </w:rPr>
              <w:t>5.1服务质量监督要求</w:t>
            </w:r>
          </w:p>
          <w:p w14:paraId="68EFA97E">
            <w:pPr>
              <w:ind w:firstLine="420" w:firstLineChars="200"/>
              <w:jc w:val="left"/>
              <w:rPr>
                <w:rFonts w:ascii="仿宋" w:hAnsi="仿宋" w:eastAsia="仿宋" w:cs="仿宋"/>
                <w:szCs w:val="21"/>
              </w:rPr>
            </w:pPr>
            <w:r>
              <w:rPr>
                <w:rFonts w:hint="eastAsia" w:ascii="仿宋" w:hAnsi="仿宋" w:eastAsia="仿宋" w:cs="仿宋"/>
                <w:szCs w:val="21"/>
              </w:rPr>
              <w:t>（1）售后服务期限从最后成果提交采购人之日起一年。</w:t>
            </w:r>
          </w:p>
          <w:p w14:paraId="04819961">
            <w:pPr>
              <w:ind w:firstLine="420" w:firstLineChars="200"/>
              <w:jc w:val="left"/>
              <w:rPr>
                <w:rFonts w:ascii="仿宋" w:hAnsi="仿宋" w:eastAsia="仿宋" w:cs="仿宋"/>
                <w:szCs w:val="21"/>
              </w:rPr>
            </w:pPr>
            <w:r>
              <w:rPr>
                <w:rFonts w:hint="eastAsia" w:ascii="仿宋" w:hAnsi="仿宋" w:eastAsia="仿宋" w:cs="仿宋"/>
                <w:szCs w:val="21"/>
              </w:rPr>
              <w:t>（2）在售后服务期限内提供相关咨询、协调、项目审查和报告更新等技术支持。</w:t>
            </w:r>
          </w:p>
          <w:p w14:paraId="24D3D3BF">
            <w:pPr>
              <w:ind w:firstLine="420" w:firstLineChars="200"/>
              <w:jc w:val="left"/>
              <w:rPr>
                <w:rFonts w:ascii="仿宋" w:hAnsi="仿宋" w:eastAsia="仿宋" w:cs="仿宋"/>
                <w:szCs w:val="21"/>
              </w:rPr>
            </w:pPr>
            <w:r>
              <w:rPr>
                <w:rFonts w:hint="eastAsia" w:ascii="仿宋" w:hAnsi="仿宋" w:eastAsia="仿宋" w:cs="仿宋"/>
                <w:szCs w:val="21"/>
              </w:rPr>
              <w:t>（3）安排专人负责售后技术支持，并提供其联系手机、电话、传真、email；如人员需要调整应及时通知采购人。</w:t>
            </w:r>
          </w:p>
          <w:p w14:paraId="77261DEF">
            <w:pPr>
              <w:ind w:firstLine="420" w:firstLineChars="200"/>
              <w:jc w:val="left"/>
              <w:rPr>
                <w:rFonts w:ascii="仿宋" w:hAnsi="仿宋" w:eastAsia="仿宋" w:cs="仿宋"/>
                <w:szCs w:val="21"/>
              </w:rPr>
            </w:pPr>
            <w:r>
              <w:rPr>
                <w:rFonts w:hint="eastAsia" w:ascii="仿宋" w:hAnsi="仿宋" w:eastAsia="仿宋" w:cs="仿宋"/>
                <w:szCs w:val="21"/>
              </w:rPr>
              <w:t>5.2项目验收要求</w:t>
            </w:r>
          </w:p>
          <w:p w14:paraId="693B6E4B">
            <w:pPr>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szCs w:val="21"/>
              </w:rPr>
              <w:t>初步成果验收要求为采购方项目负责人签字，最终成果验收需经市规划和自然资源局局专题会验收通过。</w:t>
            </w:r>
          </w:p>
        </w:tc>
      </w:tr>
      <w:tr w14:paraId="79F7A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1560" w:type="dxa"/>
            <w:vAlign w:val="center"/>
          </w:tcPr>
          <w:p w14:paraId="26E82634">
            <w:pPr>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具体技术要求</w:t>
            </w:r>
          </w:p>
        </w:tc>
        <w:tc>
          <w:tcPr>
            <w:tcW w:w="7407" w:type="dxa"/>
            <w:gridSpan w:val="4"/>
          </w:tcPr>
          <w:p w14:paraId="3204F545">
            <w:pPr>
              <w:ind w:firstLine="420" w:firstLineChars="200"/>
              <w:jc w:val="left"/>
              <w:rPr>
                <w:rFonts w:ascii="仿宋" w:hAnsi="仿宋" w:eastAsia="仿宋" w:cs="仿宋"/>
                <w:szCs w:val="21"/>
              </w:rPr>
            </w:pPr>
            <w:r>
              <w:rPr>
                <w:rFonts w:hint="eastAsia" w:ascii="仿宋" w:hAnsi="仿宋" w:eastAsia="仿宋" w:cs="仿宋"/>
                <w:szCs w:val="21"/>
              </w:rPr>
              <w:t>1、总体要求</w:t>
            </w:r>
          </w:p>
          <w:p w14:paraId="5B1F51BA">
            <w:pPr>
              <w:ind w:firstLine="420" w:firstLineChars="200"/>
              <w:jc w:val="left"/>
              <w:rPr>
                <w:rFonts w:ascii="仿宋" w:hAnsi="仿宋" w:eastAsia="仿宋" w:cs="仿宋"/>
                <w:szCs w:val="21"/>
              </w:rPr>
            </w:pPr>
            <w:r>
              <w:rPr>
                <w:rFonts w:hint="eastAsia" w:ascii="仿宋" w:hAnsi="仿宋" w:eastAsia="仿宋" w:cs="仿宋"/>
                <w:szCs w:val="21"/>
              </w:rPr>
              <w:t>（1）项目成果要严格依照国家颁布的有关法律、法规及政策要求，符合相关的技术规范和标准；</w:t>
            </w:r>
          </w:p>
          <w:p w14:paraId="4AA941B1">
            <w:pPr>
              <w:ind w:firstLine="420" w:firstLineChars="200"/>
              <w:jc w:val="left"/>
              <w:rPr>
                <w:rFonts w:ascii="仿宋" w:hAnsi="仿宋" w:eastAsia="仿宋" w:cs="仿宋"/>
                <w:szCs w:val="21"/>
              </w:rPr>
            </w:pPr>
            <w:r>
              <w:rPr>
                <w:rFonts w:hint="eastAsia" w:ascii="仿宋" w:hAnsi="仿宋" w:eastAsia="仿宋" w:cs="仿宋"/>
                <w:szCs w:val="21"/>
              </w:rPr>
              <w:t>（2）中标方需具备有多年的国土行业管理、研究经验，了解和熟悉建设项目用地预审和土地供应报批相关政策要求。</w:t>
            </w:r>
          </w:p>
          <w:p w14:paraId="3FA7B2CC">
            <w:pPr>
              <w:ind w:firstLine="420" w:firstLineChars="200"/>
              <w:jc w:val="left"/>
              <w:rPr>
                <w:rFonts w:ascii="仿宋" w:hAnsi="仿宋" w:eastAsia="仿宋" w:cs="仿宋"/>
                <w:szCs w:val="21"/>
              </w:rPr>
            </w:pPr>
            <w:r>
              <w:rPr>
                <w:rFonts w:hint="eastAsia" w:ascii="仿宋" w:hAnsi="仿宋" w:eastAsia="仿宋" w:cs="仿宋"/>
                <w:szCs w:val="21"/>
              </w:rPr>
              <w:t>2、工作内容</w:t>
            </w:r>
          </w:p>
          <w:p w14:paraId="18487CBE">
            <w:pPr>
              <w:ind w:firstLine="420" w:firstLineChars="200"/>
              <w:jc w:val="left"/>
              <w:rPr>
                <w:rFonts w:ascii="仿宋" w:hAnsi="仿宋" w:eastAsia="仿宋" w:cs="仿宋"/>
                <w:szCs w:val="21"/>
              </w:rPr>
            </w:pPr>
            <w:r>
              <w:rPr>
                <w:rFonts w:hint="eastAsia" w:ascii="仿宋" w:hAnsi="仿宋" w:eastAsia="仿宋" w:cs="仿宋"/>
                <w:szCs w:val="21"/>
              </w:rPr>
              <w:t>（1）深圳市2025年度国家和省级建设项目用地预审符合性/合规性评估</w:t>
            </w:r>
          </w:p>
          <w:p w14:paraId="78692CE6">
            <w:pPr>
              <w:ind w:firstLine="420" w:firstLineChars="200"/>
              <w:jc w:val="left"/>
              <w:rPr>
                <w:rFonts w:ascii="仿宋" w:hAnsi="仿宋" w:eastAsia="仿宋" w:cs="仿宋"/>
                <w:szCs w:val="21"/>
              </w:rPr>
            </w:pPr>
            <w:r>
              <w:rPr>
                <w:rFonts w:hint="eastAsia" w:ascii="仿宋" w:hAnsi="仿宋" w:eastAsia="仿宋" w:cs="仿宋"/>
                <w:szCs w:val="21"/>
              </w:rPr>
              <w:t>需开展下列工作内容：</w:t>
            </w:r>
          </w:p>
          <w:p w14:paraId="4F4471A4">
            <w:pPr>
              <w:ind w:firstLine="420" w:firstLineChars="200"/>
              <w:jc w:val="left"/>
              <w:rPr>
                <w:rFonts w:ascii="仿宋" w:hAnsi="仿宋" w:eastAsia="仿宋" w:cs="仿宋"/>
                <w:szCs w:val="21"/>
              </w:rPr>
            </w:pPr>
            <w:r>
              <w:rPr>
                <w:rFonts w:hint="eastAsia" w:ascii="仿宋" w:hAnsi="仿宋" w:eastAsia="仿宋" w:cs="仿宋"/>
                <w:szCs w:val="21"/>
              </w:rPr>
              <w:t>①国家和省级建设项目用地预审技术审查。包括国家和省级建设项目用地预审技术审查、编制建设项目用地预审意见。</w:t>
            </w:r>
          </w:p>
          <w:p w14:paraId="1AFDDDF3">
            <w:pPr>
              <w:ind w:firstLine="420" w:firstLineChars="200"/>
              <w:jc w:val="left"/>
              <w:rPr>
                <w:rFonts w:ascii="仿宋" w:hAnsi="仿宋" w:eastAsia="仿宋" w:cs="仿宋"/>
                <w:szCs w:val="21"/>
              </w:rPr>
            </w:pPr>
            <w:r>
              <w:rPr>
                <w:rFonts w:hint="eastAsia" w:ascii="仿宋" w:hAnsi="仿宋" w:eastAsia="仿宋" w:cs="仿宋"/>
                <w:szCs w:val="21"/>
              </w:rPr>
              <w:t>②国家和省级建设项目用地预审工作技术支持。包括对管理局开展国家和省级建设项目用地预审工作中相关审查要点、组卷材料要求、系统录入等方面提供全流程的技术支持服务。</w:t>
            </w:r>
          </w:p>
          <w:p w14:paraId="61E53880">
            <w:pPr>
              <w:ind w:firstLine="420" w:firstLineChars="200"/>
              <w:jc w:val="left"/>
              <w:rPr>
                <w:rFonts w:ascii="仿宋" w:hAnsi="仿宋" w:eastAsia="仿宋" w:cs="仿宋"/>
                <w:szCs w:val="21"/>
              </w:rPr>
            </w:pPr>
            <w:r>
              <w:rPr>
                <w:rFonts w:hint="eastAsia" w:ascii="仿宋" w:hAnsi="仿宋" w:eastAsia="仿宋" w:cs="仿宋"/>
                <w:szCs w:val="21"/>
              </w:rPr>
              <w:t>（2）深圳市2025年度市区级建设项目用地预审监测与评估</w:t>
            </w:r>
          </w:p>
          <w:p w14:paraId="391DB542">
            <w:pPr>
              <w:ind w:firstLine="420" w:firstLineChars="200"/>
              <w:jc w:val="left"/>
              <w:rPr>
                <w:rFonts w:ascii="仿宋" w:hAnsi="仿宋" w:eastAsia="仿宋" w:cs="仿宋"/>
                <w:szCs w:val="21"/>
              </w:rPr>
            </w:pPr>
            <w:r>
              <w:rPr>
                <w:rFonts w:hint="eastAsia" w:ascii="仿宋" w:hAnsi="仿宋" w:eastAsia="仿宋" w:cs="仿宋"/>
                <w:szCs w:val="21"/>
              </w:rPr>
              <w:t>需开展下列工作内容：</w:t>
            </w:r>
          </w:p>
          <w:p w14:paraId="21FCC499">
            <w:pPr>
              <w:ind w:firstLine="420" w:firstLineChars="200"/>
              <w:jc w:val="left"/>
              <w:rPr>
                <w:rFonts w:ascii="仿宋" w:hAnsi="仿宋" w:eastAsia="仿宋" w:cs="仿宋"/>
                <w:szCs w:val="21"/>
              </w:rPr>
            </w:pPr>
            <w:r>
              <w:rPr>
                <w:rFonts w:hint="eastAsia" w:ascii="仿宋" w:hAnsi="仿宋" w:eastAsia="仿宋" w:cs="仿宋"/>
                <w:szCs w:val="21"/>
              </w:rPr>
              <w:t>①用地预审备案工作技术支持。建设项目用地预审批复后5个工作日内，通过建设项目用地预审备案系统将预审项目逐级上报，为各管理局开展用地预审备案工作提供技术支持。</w:t>
            </w:r>
          </w:p>
          <w:p w14:paraId="062C0DCF">
            <w:pPr>
              <w:ind w:firstLine="420" w:firstLineChars="200"/>
              <w:jc w:val="left"/>
              <w:rPr>
                <w:rFonts w:ascii="仿宋" w:hAnsi="仿宋" w:eastAsia="仿宋" w:cs="仿宋"/>
                <w:szCs w:val="21"/>
              </w:rPr>
            </w:pPr>
            <w:r>
              <w:rPr>
                <w:rFonts w:hint="eastAsia" w:ascii="仿宋" w:hAnsi="仿宋" w:eastAsia="仿宋" w:cs="仿宋"/>
                <w:szCs w:val="21"/>
              </w:rPr>
              <w:t>②季度评估工作。每月预审填报情况、数据质量情况及相关工作要求，对建设项目用地预审与选址意见书核发工作的规范性、准确性、完备性进行跟踪评估，形成季度评估报告。</w:t>
            </w:r>
          </w:p>
          <w:p w14:paraId="195EA5FD">
            <w:pPr>
              <w:ind w:firstLine="420" w:firstLineChars="200"/>
              <w:jc w:val="left"/>
              <w:rPr>
                <w:rFonts w:ascii="仿宋" w:hAnsi="仿宋" w:eastAsia="仿宋" w:cs="仿宋"/>
                <w:szCs w:val="21"/>
              </w:rPr>
            </w:pPr>
            <w:r>
              <w:rPr>
                <w:rFonts w:hint="eastAsia" w:ascii="仿宋" w:hAnsi="仿宋" w:eastAsia="仿宋" w:cs="仿宋"/>
                <w:szCs w:val="21"/>
              </w:rPr>
              <w:t>（3）深圳市2025年度市投市建类建设项目土地供应方案报批符合性/合规性评估</w:t>
            </w:r>
          </w:p>
          <w:p w14:paraId="40C7A55C">
            <w:pPr>
              <w:ind w:firstLine="420" w:firstLineChars="200"/>
              <w:jc w:val="left"/>
              <w:rPr>
                <w:rFonts w:ascii="仿宋" w:hAnsi="仿宋" w:eastAsia="仿宋" w:cs="仿宋"/>
                <w:szCs w:val="21"/>
              </w:rPr>
            </w:pPr>
            <w:r>
              <w:rPr>
                <w:rFonts w:hint="eastAsia" w:ascii="仿宋" w:hAnsi="仿宋" w:eastAsia="仿宋" w:cs="仿宋"/>
                <w:szCs w:val="21"/>
              </w:rPr>
              <w:t xml:space="preserve">每个项目需开展下列工作内容： </w:t>
            </w:r>
          </w:p>
          <w:p w14:paraId="7EDF8A1D">
            <w:pPr>
              <w:ind w:firstLine="420" w:firstLineChars="200"/>
              <w:jc w:val="left"/>
              <w:rPr>
                <w:rFonts w:ascii="仿宋" w:hAnsi="仿宋" w:eastAsia="仿宋" w:cs="仿宋"/>
                <w:szCs w:val="21"/>
              </w:rPr>
            </w:pPr>
            <w:r>
              <w:rPr>
                <w:rFonts w:hint="eastAsia" w:ascii="仿宋" w:hAnsi="仿宋" w:eastAsia="仿宋" w:cs="仿宋"/>
                <w:szCs w:val="21"/>
              </w:rPr>
              <w:t>①工作准备：与项目建设单位协调沟通、资料收集与分析、宣传动员等。</w:t>
            </w:r>
          </w:p>
          <w:p w14:paraId="42936CA0">
            <w:pPr>
              <w:ind w:firstLine="420" w:firstLineChars="200"/>
              <w:jc w:val="left"/>
              <w:rPr>
                <w:rFonts w:ascii="仿宋" w:hAnsi="仿宋" w:eastAsia="仿宋" w:cs="仿宋"/>
                <w:szCs w:val="21"/>
              </w:rPr>
            </w:pPr>
            <w:r>
              <w:rPr>
                <w:rFonts w:hint="eastAsia" w:ascii="仿宋" w:hAnsi="仿宋" w:eastAsia="仿宋" w:cs="仿宋"/>
                <w:szCs w:val="21"/>
              </w:rPr>
              <w:t>②技术准备：技术设计、工作图层准备、土地供应项目的数据整理分析及数据转化，收集各管理局上报建设项目相关文本材料及图件，以及其他相关资料等。</w:t>
            </w:r>
          </w:p>
          <w:p w14:paraId="3DA69D5D">
            <w:pPr>
              <w:ind w:firstLine="420" w:firstLineChars="200"/>
              <w:jc w:val="left"/>
              <w:rPr>
                <w:rFonts w:ascii="仿宋" w:hAnsi="仿宋" w:eastAsia="仿宋" w:cs="仿宋"/>
                <w:szCs w:val="21"/>
              </w:rPr>
            </w:pPr>
            <w:r>
              <w:rPr>
                <w:rFonts w:hint="eastAsia" w:ascii="仿宋" w:hAnsi="仿宋" w:eastAsia="仿宋" w:cs="仿宋"/>
                <w:szCs w:val="21"/>
              </w:rPr>
              <w:t>③空间管控要素评估：对建设项目相关信息进行评估，包括现状情况、规划管控情况、生态环境保护情况、自然资源保护情况、历史文化保护情况、城市支撑体系等六大类50余项空间管控要素。</w:t>
            </w:r>
          </w:p>
          <w:p w14:paraId="23CF06AB">
            <w:pPr>
              <w:ind w:firstLine="420" w:firstLineChars="200"/>
              <w:jc w:val="left"/>
              <w:rPr>
                <w:rFonts w:ascii="仿宋" w:hAnsi="仿宋" w:eastAsia="仿宋" w:cs="仿宋"/>
                <w:szCs w:val="21"/>
              </w:rPr>
            </w:pPr>
            <w:r>
              <w:rPr>
                <w:rFonts w:hint="eastAsia" w:ascii="仿宋" w:hAnsi="仿宋" w:eastAsia="仿宋" w:cs="仿宋"/>
                <w:szCs w:val="21"/>
              </w:rPr>
              <w:t>④出具管控要素评估意见：针对每项空间管控要素出具评估意见。</w:t>
            </w:r>
          </w:p>
          <w:p w14:paraId="587FC8FD">
            <w:pPr>
              <w:ind w:firstLine="420" w:firstLineChars="200"/>
              <w:jc w:val="left"/>
              <w:rPr>
                <w:rFonts w:ascii="仿宋" w:hAnsi="仿宋" w:eastAsia="仿宋" w:cs="仿宋"/>
                <w:szCs w:val="21"/>
              </w:rPr>
            </w:pPr>
            <w:r>
              <w:rPr>
                <w:rFonts w:hint="eastAsia" w:ascii="仿宋" w:hAnsi="仿宋" w:eastAsia="仿宋" w:cs="仿宋"/>
                <w:szCs w:val="21"/>
              </w:rPr>
              <w:t>⑤为各管理局开展建设项目土地供应（不含城市更新）工作提供技术支持。</w:t>
            </w:r>
          </w:p>
          <w:p w14:paraId="70E539DF">
            <w:pPr>
              <w:ind w:firstLine="420" w:firstLineChars="200"/>
              <w:jc w:val="left"/>
              <w:rPr>
                <w:rFonts w:ascii="仿宋" w:hAnsi="仿宋" w:eastAsia="仿宋" w:cs="仿宋"/>
                <w:szCs w:val="21"/>
              </w:rPr>
            </w:pPr>
            <w:r>
              <w:rPr>
                <w:rFonts w:hint="eastAsia" w:ascii="仿宋" w:hAnsi="仿宋" w:eastAsia="仿宋" w:cs="仿宋"/>
                <w:szCs w:val="21"/>
              </w:rPr>
              <w:t>（4）深圳市2025年度建设项目土地供应方案审批监测与评估（不包含城市更新）</w:t>
            </w:r>
          </w:p>
          <w:p w14:paraId="30AAA1BD">
            <w:pPr>
              <w:ind w:firstLine="420" w:firstLineChars="200"/>
              <w:jc w:val="left"/>
              <w:rPr>
                <w:rFonts w:ascii="仿宋" w:hAnsi="仿宋" w:eastAsia="仿宋" w:cs="仿宋"/>
                <w:szCs w:val="21"/>
              </w:rPr>
            </w:pPr>
            <w:r>
              <w:rPr>
                <w:rFonts w:hint="eastAsia" w:ascii="仿宋" w:hAnsi="仿宋" w:eastAsia="仿宋" w:cs="仿宋"/>
                <w:szCs w:val="21"/>
              </w:rPr>
              <w:t>需开展下列工作内容：</w:t>
            </w:r>
          </w:p>
          <w:p w14:paraId="3D8CA49D">
            <w:pPr>
              <w:ind w:firstLine="420" w:firstLineChars="200"/>
              <w:jc w:val="left"/>
              <w:rPr>
                <w:rFonts w:ascii="仿宋" w:hAnsi="仿宋" w:eastAsia="仿宋" w:cs="仿宋"/>
                <w:szCs w:val="21"/>
              </w:rPr>
            </w:pPr>
            <w:r>
              <w:rPr>
                <w:rFonts w:hint="eastAsia" w:ascii="仿宋" w:hAnsi="仿宋" w:eastAsia="仿宋" w:cs="仿宋"/>
                <w:szCs w:val="21"/>
              </w:rPr>
              <w:t>①深圳市2025年度建设项目土地供应方案审批监测，包括项目清单质量检查和项目清单月度更新。</w:t>
            </w:r>
          </w:p>
          <w:p w14:paraId="1BE3CB4F">
            <w:pPr>
              <w:ind w:firstLine="420" w:firstLineChars="200"/>
              <w:jc w:val="left"/>
              <w:rPr>
                <w:rFonts w:ascii="仿宋" w:hAnsi="仿宋" w:eastAsia="仿宋" w:cs="仿宋"/>
                <w:szCs w:val="21"/>
              </w:rPr>
            </w:pPr>
            <w:r>
              <w:rPr>
                <w:rFonts w:hint="eastAsia" w:ascii="仿宋" w:hAnsi="仿宋" w:eastAsia="仿宋" w:cs="仿宋"/>
                <w:szCs w:val="21"/>
              </w:rPr>
              <w:t>②深圳市2025年度区级土地供应报批工作评估</w:t>
            </w:r>
          </w:p>
          <w:p w14:paraId="743218D0">
            <w:pPr>
              <w:ind w:firstLine="420" w:firstLineChars="200"/>
              <w:jc w:val="left"/>
              <w:rPr>
                <w:rFonts w:ascii="仿宋" w:hAnsi="仿宋" w:eastAsia="仿宋" w:cs="仿宋"/>
                <w:szCs w:val="21"/>
              </w:rPr>
            </w:pPr>
            <w:r>
              <w:rPr>
                <w:rFonts w:hint="eastAsia" w:ascii="仿宋" w:hAnsi="仿宋" w:eastAsia="仿宋" w:cs="仿宋"/>
                <w:szCs w:val="21"/>
              </w:rPr>
              <w:t>每年梳理整理区政府审批的土地供应材料及清单等，对区政府审批情况从规范性、准确性等方面进行评估。</w:t>
            </w:r>
          </w:p>
          <w:p w14:paraId="2D43DA56">
            <w:pPr>
              <w:ind w:firstLine="420" w:firstLineChars="200"/>
              <w:jc w:val="left"/>
              <w:rPr>
                <w:rFonts w:ascii="仿宋" w:hAnsi="仿宋" w:eastAsia="仿宋" w:cs="仿宋"/>
                <w:szCs w:val="21"/>
              </w:rPr>
            </w:pPr>
            <w:r>
              <w:rPr>
                <w:rFonts w:hint="eastAsia" w:ascii="仿宋" w:hAnsi="仿宋" w:eastAsia="仿宋" w:cs="仿宋"/>
                <w:szCs w:val="21"/>
              </w:rPr>
              <w:t>3、成果要求</w:t>
            </w:r>
          </w:p>
          <w:p w14:paraId="4DD4220D">
            <w:pPr>
              <w:ind w:firstLine="420" w:firstLineChars="200"/>
              <w:jc w:val="left"/>
              <w:rPr>
                <w:rFonts w:hint="eastAsia" w:ascii="仿宋" w:hAnsi="仿宋" w:eastAsia="仿宋" w:cs="仿宋"/>
                <w:szCs w:val="21"/>
              </w:rPr>
            </w:pPr>
            <w:r>
              <w:rPr>
                <w:rFonts w:hint="eastAsia" w:ascii="仿宋" w:hAnsi="仿宋" w:eastAsia="仿宋" w:cs="仿宋"/>
                <w:szCs w:val="21"/>
              </w:rPr>
              <w:t>（1）《深圳市2025年度建设项目用地预审监测评估报告》（word格式, 电子、纸质，数量1）。</w:t>
            </w:r>
          </w:p>
          <w:p w14:paraId="5E2B33E6">
            <w:pPr>
              <w:ind w:firstLine="420" w:firstLineChars="200"/>
              <w:jc w:val="left"/>
              <w:rPr>
                <w:rFonts w:hint="eastAsia" w:ascii="仿宋" w:hAnsi="仿宋" w:eastAsia="仿宋" w:cs="仿宋"/>
                <w:szCs w:val="21"/>
              </w:rPr>
            </w:pPr>
            <w:r>
              <w:rPr>
                <w:rFonts w:hint="eastAsia" w:ascii="仿宋" w:hAnsi="仿宋" w:eastAsia="仿宋" w:cs="仿宋"/>
                <w:szCs w:val="21"/>
              </w:rPr>
              <w:t>（2）《深圳市2025年度建设项目土地供应方案报批监测评估报告》（word格式, 电子、纸质，数量1）。</w:t>
            </w:r>
          </w:p>
          <w:p w14:paraId="36F846E6">
            <w:pPr>
              <w:ind w:firstLine="420" w:firstLineChars="200"/>
              <w:jc w:val="left"/>
              <w:rPr>
                <w:rFonts w:ascii="仿宋" w:hAnsi="仿宋" w:eastAsia="仿宋" w:cs="仿宋"/>
                <w:szCs w:val="21"/>
              </w:rPr>
            </w:pPr>
            <w:r>
              <w:rPr>
                <w:rFonts w:hint="eastAsia" w:ascii="仿宋" w:hAnsi="仿宋" w:eastAsia="仿宋" w:cs="仿宋"/>
                <w:szCs w:val="21"/>
              </w:rPr>
              <w:t>成果交付形式及数量：按深圳市规划和自然资源局的具体要求交付。</w:t>
            </w:r>
          </w:p>
          <w:p w14:paraId="3ABEB668">
            <w:pPr>
              <w:ind w:firstLine="420" w:firstLineChars="200"/>
              <w:jc w:val="left"/>
              <w:rPr>
                <w:rFonts w:ascii="仿宋" w:hAnsi="仿宋" w:eastAsia="仿宋" w:cs="仿宋"/>
                <w:szCs w:val="21"/>
              </w:rPr>
            </w:pPr>
            <w:r>
              <w:rPr>
                <w:rFonts w:hint="eastAsia" w:ascii="仿宋" w:hAnsi="仿宋" w:eastAsia="仿宋" w:cs="仿宋"/>
                <w:szCs w:val="21"/>
              </w:rPr>
              <w:t>成果交付时间及地点：项目按照合同要求的时间节点完成。提交地点为深圳市规划和自然资源局。</w:t>
            </w:r>
          </w:p>
          <w:p w14:paraId="1F379A1D">
            <w:pPr>
              <w:ind w:firstLine="420" w:firstLineChars="200"/>
              <w:jc w:val="left"/>
              <w:rPr>
                <w:rFonts w:ascii="仿宋" w:hAnsi="仿宋" w:eastAsia="仿宋" w:cs="仿宋"/>
                <w:szCs w:val="21"/>
              </w:rPr>
            </w:pPr>
            <w:r>
              <w:rPr>
                <w:rFonts w:hint="eastAsia" w:ascii="仿宋" w:hAnsi="仿宋" w:eastAsia="仿宋" w:cs="仿宋"/>
                <w:szCs w:val="21"/>
              </w:rPr>
              <w:t>4、人员安排</w:t>
            </w:r>
          </w:p>
          <w:p w14:paraId="2DE6B8A4">
            <w:pPr>
              <w:ind w:firstLine="420" w:firstLineChars="200"/>
              <w:jc w:val="left"/>
              <w:rPr>
                <w:rFonts w:ascii="仿宋" w:hAnsi="仿宋" w:eastAsia="仿宋" w:cs="仿宋"/>
                <w:szCs w:val="21"/>
              </w:rPr>
            </w:pPr>
            <w:r>
              <w:rPr>
                <w:rFonts w:hint="eastAsia" w:ascii="仿宋" w:hAnsi="仿宋" w:eastAsia="仿宋" w:cs="仿宋"/>
                <w:szCs w:val="21"/>
              </w:rPr>
              <w:t>（1）中标单位必须独立设置项目组，有固定的项目负责人和联系人。</w:t>
            </w:r>
          </w:p>
          <w:p w14:paraId="3DA81F25">
            <w:pPr>
              <w:ind w:firstLine="420" w:firstLineChars="200"/>
              <w:jc w:val="left"/>
              <w:rPr>
                <w:rFonts w:ascii="仿宋" w:hAnsi="仿宋" w:eastAsia="仿宋" w:cs="仿宋"/>
                <w:szCs w:val="21"/>
              </w:rPr>
            </w:pPr>
            <w:r>
              <w:rPr>
                <w:rFonts w:hint="eastAsia" w:ascii="仿宋" w:hAnsi="仿宋" w:eastAsia="仿宋" w:cs="仿宋"/>
                <w:szCs w:val="21"/>
              </w:rPr>
              <w:t>（2）项目负责人需具备国土专业正高级职称。</w:t>
            </w:r>
          </w:p>
          <w:p w14:paraId="7824569D">
            <w:pPr>
              <w:ind w:firstLine="420" w:firstLineChars="200"/>
              <w:jc w:val="left"/>
              <w:rPr>
                <w:rFonts w:ascii="仿宋" w:hAnsi="仿宋" w:eastAsia="仿宋" w:cs="仿宋"/>
                <w:szCs w:val="21"/>
              </w:rPr>
            </w:pPr>
            <w:r>
              <w:rPr>
                <w:rFonts w:hint="eastAsia" w:ascii="仿宋" w:hAnsi="仿宋" w:eastAsia="仿宋" w:cs="仿宋"/>
                <w:szCs w:val="21"/>
              </w:rPr>
              <w:t>（3）项目团队成员不能少于6人。</w:t>
            </w:r>
          </w:p>
          <w:p w14:paraId="77447178">
            <w:pPr>
              <w:ind w:firstLine="420" w:firstLineChars="200"/>
              <w:jc w:val="left"/>
              <w:rPr>
                <w:rFonts w:ascii="仿宋" w:hAnsi="仿宋" w:eastAsia="仿宋" w:cs="仿宋"/>
                <w:szCs w:val="21"/>
              </w:rPr>
            </w:pPr>
            <w:r>
              <w:rPr>
                <w:rFonts w:hint="eastAsia" w:ascii="仿宋" w:hAnsi="仿宋" w:eastAsia="仿宋" w:cs="仿宋"/>
                <w:szCs w:val="21"/>
              </w:rPr>
              <w:t>（4）未经采购方同意，中标方不得随意更换项目负责人。</w:t>
            </w:r>
          </w:p>
        </w:tc>
      </w:tr>
      <w:tr w14:paraId="759D6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7" w:hRule="atLeast"/>
        </w:trPr>
        <w:tc>
          <w:tcPr>
            <w:tcW w:w="1560" w:type="dxa"/>
          </w:tcPr>
          <w:p w14:paraId="5CC101C6">
            <w:pPr>
              <w:jc w:val="left"/>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商务需求</w:t>
            </w:r>
          </w:p>
        </w:tc>
        <w:tc>
          <w:tcPr>
            <w:tcW w:w="7407" w:type="dxa"/>
            <w:gridSpan w:val="4"/>
          </w:tcPr>
          <w:p w14:paraId="42F829AB">
            <w:pPr>
              <w:jc w:val="left"/>
              <w:rPr>
                <w:rFonts w:ascii="仿宋" w:hAnsi="仿宋" w:eastAsia="仿宋" w:cs="仿宋"/>
                <w:b/>
                <w:szCs w:val="21"/>
              </w:rPr>
            </w:pPr>
            <w:r>
              <w:rPr>
                <w:rFonts w:hint="eastAsia" w:ascii="仿宋" w:hAnsi="仿宋" w:eastAsia="仿宋" w:cs="仿宋"/>
                <w:b/>
                <w:szCs w:val="21"/>
              </w:rPr>
              <w:t>1、项目概况（介绍项目的背景及项目整体情况、项目目的及建设目标）</w:t>
            </w:r>
          </w:p>
          <w:p w14:paraId="4F15E664">
            <w:pPr>
              <w:ind w:firstLine="420" w:firstLineChars="200"/>
              <w:jc w:val="left"/>
              <w:rPr>
                <w:rFonts w:ascii="仿宋" w:hAnsi="仿宋" w:eastAsia="仿宋" w:cs="仿宋"/>
                <w:szCs w:val="21"/>
              </w:rPr>
            </w:pPr>
            <w:r>
              <w:rPr>
                <w:rFonts w:hint="eastAsia" w:ascii="仿宋" w:hAnsi="仿宋" w:eastAsia="仿宋" w:cs="仿宋"/>
                <w:szCs w:val="21"/>
              </w:rPr>
              <w:t>建设项目用地预审和土地供应不仅是国土空间用途管制的重要环节，也是落实国土空间规划的主要实施手段。同时建设项目用地预审是自然资源部门对建设项目在自然资源的规划、利用、保护等方面的审查意见，土地供应报批是自然资源部门在建设项目用地供应前进行的空间管控、合法性等方面审查，二者均为项目建设重要的前期工作之一。因此，要加强建设用地预审和土地供应报批工作，以保障我市民生的重大重点建设项目的顺利推进，支撑我市的社会经济全面发展。</w:t>
            </w:r>
          </w:p>
          <w:p w14:paraId="20F6F11C">
            <w:pPr>
              <w:jc w:val="left"/>
              <w:rPr>
                <w:rFonts w:ascii="仿宋" w:hAnsi="仿宋" w:eastAsia="仿宋" w:cs="仿宋"/>
                <w:b/>
                <w:szCs w:val="21"/>
              </w:rPr>
            </w:pPr>
            <w:r>
              <w:rPr>
                <w:rFonts w:hint="eastAsia" w:ascii="仿宋" w:hAnsi="仿宋" w:eastAsia="仿宋" w:cs="仿宋"/>
                <w:b/>
                <w:szCs w:val="21"/>
              </w:rPr>
              <w:t>2、项目所依据及参考的标准</w:t>
            </w:r>
          </w:p>
          <w:p w14:paraId="1A46199E">
            <w:pPr>
              <w:ind w:firstLine="420" w:firstLineChars="200"/>
              <w:jc w:val="left"/>
              <w:rPr>
                <w:rFonts w:ascii="仿宋" w:hAnsi="仿宋" w:eastAsia="仿宋" w:cs="仿宋"/>
                <w:szCs w:val="21"/>
              </w:rPr>
            </w:pPr>
            <w:r>
              <w:rPr>
                <w:rFonts w:hint="eastAsia" w:ascii="仿宋" w:hAnsi="仿宋" w:eastAsia="仿宋" w:cs="仿宋"/>
                <w:szCs w:val="21"/>
              </w:rPr>
              <w:t>（1）《中华人民共和国土地管理法》（2019年修正）；</w:t>
            </w:r>
          </w:p>
          <w:p w14:paraId="12D3F414">
            <w:pPr>
              <w:ind w:firstLine="420" w:firstLineChars="200"/>
              <w:jc w:val="left"/>
              <w:rPr>
                <w:rFonts w:ascii="仿宋" w:hAnsi="仿宋" w:eastAsia="仿宋" w:cs="仿宋"/>
                <w:szCs w:val="21"/>
              </w:rPr>
            </w:pPr>
            <w:r>
              <w:rPr>
                <w:rFonts w:hint="eastAsia" w:ascii="仿宋" w:hAnsi="仿宋" w:eastAsia="仿宋" w:cs="仿宋"/>
                <w:szCs w:val="21"/>
              </w:rPr>
              <w:t>（2）《中华人民共和国城乡规划法》（2019年修正）；</w:t>
            </w:r>
          </w:p>
          <w:p w14:paraId="1219A731">
            <w:pPr>
              <w:ind w:firstLine="420" w:firstLineChars="200"/>
              <w:jc w:val="left"/>
              <w:rPr>
                <w:rFonts w:ascii="仿宋" w:hAnsi="仿宋" w:eastAsia="仿宋" w:cs="仿宋"/>
                <w:szCs w:val="21"/>
              </w:rPr>
            </w:pPr>
            <w:r>
              <w:rPr>
                <w:rFonts w:hint="eastAsia" w:ascii="仿宋" w:hAnsi="仿宋" w:eastAsia="仿宋" w:cs="仿宋"/>
                <w:szCs w:val="21"/>
              </w:rPr>
              <w:t>（3）《建设项目用地预审管理办法》（国土资源部令第68号）；</w:t>
            </w:r>
          </w:p>
          <w:p w14:paraId="230C5B49">
            <w:pPr>
              <w:ind w:firstLine="420" w:firstLineChars="200"/>
              <w:jc w:val="left"/>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4</w:t>
            </w:r>
            <w:r>
              <w:rPr>
                <w:rFonts w:hint="eastAsia" w:ascii="仿宋" w:hAnsi="仿宋" w:eastAsia="仿宋" w:cs="仿宋"/>
                <w:szCs w:val="21"/>
              </w:rPr>
              <w:t>）《建设部 国家计委关于印发&lt;建设项目选址规划管理办法&gt;的通知》；</w:t>
            </w:r>
          </w:p>
          <w:p w14:paraId="331FB9B3">
            <w:pPr>
              <w:ind w:firstLine="420" w:firstLineChars="200"/>
              <w:jc w:val="left"/>
              <w:rPr>
                <w:rFonts w:ascii="仿宋" w:hAnsi="仿宋" w:eastAsia="仿宋" w:cs="仿宋"/>
                <w:szCs w:val="21"/>
              </w:rPr>
            </w:pPr>
            <w:r>
              <w:rPr>
                <w:rFonts w:hint="eastAsia" w:ascii="仿宋" w:hAnsi="仿宋" w:eastAsia="仿宋" w:cs="仿宋"/>
                <w:szCs w:val="21"/>
              </w:rPr>
              <w:t>（5）《自然资源部关于以“多规合一”为基础推进规划用地“多审合一、多证合一”改革的通知》（自然资规〔2019〕2号）。</w:t>
            </w:r>
          </w:p>
          <w:p w14:paraId="6D097527">
            <w:pPr>
              <w:ind w:firstLine="420" w:firstLineChars="200"/>
              <w:jc w:val="left"/>
              <w:rPr>
                <w:rFonts w:ascii="仿宋" w:hAnsi="仿宋" w:eastAsia="仿宋" w:cs="仿宋"/>
                <w:szCs w:val="21"/>
              </w:rPr>
            </w:pPr>
            <w:r>
              <w:rPr>
                <w:rFonts w:hint="eastAsia" w:ascii="仿宋" w:hAnsi="仿宋" w:eastAsia="仿宋" w:cs="仿宋"/>
                <w:szCs w:val="21"/>
              </w:rPr>
              <w:t>（6）《广东省国土资源厅关于印发﹤委托行使省管权限建设项目用地预审工作方案﹥的通知》（粤国土资规划发〔2018〕15号）；</w:t>
            </w:r>
          </w:p>
          <w:p w14:paraId="6613E21F">
            <w:pPr>
              <w:ind w:firstLine="420" w:firstLineChars="200"/>
              <w:jc w:val="left"/>
              <w:rPr>
                <w:rFonts w:ascii="仿宋" w:hAnsi="仿宋" w:eastAsia="仿宋" w:cs="仿宋"/>
                <w:szCs w:val="21"/>
              </w:rPr>
            </w:pPr>
            <w:r>
              <w:rPr>
                <w:rFonts w:hint="eastAsia" w:ascii="仿宋" w:hAnsi="仿宋" w:eastAsia="仿宋" w:cs="仿宋"/>
                <w:szCs w:val="21"/>
              </w:rPr>
              <w:t>（7）《广东省国土资源厅关于印发﹤广东省建设项目用地预审标准化审查手册﹥的通知》（粤国土资规划发〔2018〕16号）；</w:t>
            </w:r>
          </w:p>
          <w:p w14:paraId="2186FE69">
            <w:pPr>
              <w:ind w:firstLine="420" w:firstLineChars="200"/>
              <w:jc w:val="left"/>
              <w:rPr>
                <w:rFonts w:ascii="仿宋" w:hAnsi="仿宋" w:eastAsia="仿宋" w:cs="仿宋"/>
                <w:szCs w:val="21"/>
              </w:rPr>
            </w:pPr>
            <w:r>
              <w:rPr>
                <w:rFonts w:hint="eastAsia" w:ascii="仿宋" w:hAnsi="仿宋" w:eastAsia="仿宋" w:cs="仿宋"/>
                <w:szCs w:val="21"/>
              </w:rPr>
              <w:t>（8）《广东省自然资源厅关于推进工程建设项目用地和规划许可“多审合一”改革的通知》（粤自然资发〔2019〕43号）；</w:t>
            </w:r>
          </w:p>
          <w:p w14:paraId="18905001">
            <w:pPr>
              <w:ind w:firstLine="420" w:firstLineChars="200"/>
              <w:jc w:val="left"/>
              <w:rPr>
                <w:rFonts w:ascii="仿宋" w:hAnsi="仿宋" w:eastAsia="仿宋" w:cs="仿宋"/>
                <w:szCs w:val="21"/>
              </w:rPr>
            </w:pPr>
            <w:r>
              <w:rPr>
                <w:rFonts w:hint="eastAsia" w:ascii="仿宋" w:hAnsi="仿宋" w:eastAsia="仿宋" w:cs="仿宋"/>
                <w:szCs w:val="21"/>
              </w:rPr>
              <w:t>（9）《广东省自然资源厅关于贯彻落实自然资源部规划用地改革要求有关问题的通知》（粤自然资函〔2019〕1997 号）；</w:t>
            </w:r>
          </w:p>
          <w:p w14:paraId="0E5A5E86">
            <w:pPr>
              <w:ind w:firstLine="420" w:firstLineChars="200"/>
              <w:jc w:val="left"/>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0</w:t>
            </w:r>
            <w:r>
              <w:rPr>
                <w:rFonts w:hint="eastAsia" w:ascii="仿宋" w:hAnsi="仿宋" w:eastAsia="仿宋" w:cs="仿宋"/>
                <w:szCs w:val="21"/>
              </w:rPr>
              <w:t>）《自然资源部关于积极做好用地用海要素保障的通知》（自然资发〔2022〕129号）；</w:t>
            </w:r>
          </w:p>
          <w:p w14:paraId="70F2FA43">
            <w:pPr>
              <w:ind w:firstLine="420" w:firstLineChars="200"/>
              <w:jc w:val="left"/>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1</w:t>
            </w:r>
            <w:r>
              <w:rPr>
                <w:rFonts w:hint="eastAsia" w:ascii="仿宋" w:hAnsi="仿宋" w:eastAsia="仿宋" w:cs="仿宋"/>
                <w:szCs w:val="21"/>
              </w:rPr>
              <w:t>）《自然资源部等7部门关于加强用地审批前期工作积极推进基础设施项目建设的通知》（自然资发〔2022〕130号）；</w:t>
            </w:r>
          </w:p>
          <w:p w14:paraId="223E4969">
            <w:pPr>
              <w:ind w:firstLine="420" w:firstLineChars="200"/>
              <w:jc w:val="left"/>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2</w:t>
            </w:r>
            <w:r>
              <w:rPr>
                <w:rFonts w:hint="eastAsia" w:ascii="仿宋" w:hAnsi="仿宋" w:eastAsia="仿宋" w:cs="仿宋"/>
                <w:szCs w:val="21"/>
              </w:rPr>
              <w:t>）《广东省自然资源厅关于印发2023年重大项目自然资源服务支撑清单的通知》（粤自然资函〔2023〕408 号）；</w:t>
            </w:r>
          </w:p>
          <w:p w14:paraId="2A493176">
            <w:pPr>
              <w:ind w:firstLine="420" w:firstLineChars="200"/>
              <w:jc w:val="left"/>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3</w:t>
            </w:r>
            <w:r>
              <w:rPr>
                <w:rFonts w:hint="eastAsia" w:ascii="仿宋" w:hAnsi="仿宋" w:eastAsia="仿宋" w:cs="仿宋"/>
                <w:szCs w:val="21"/>
              </w:rPr>
              <w:t>）《深圳市人民政府关于规划和自然资源行政职权调整的决定》（深圳市人民政府令第351号）。</w:t>
            </w:r>
          </w:p>
          <w:p w14:paraId="2E0FA057">
            <w:pPr>
              <w:jc w:val="left"/>
              <w:rPr>
                <w:rFonts w:ascii="仿宋" w:hAnsi="仿宋" w:eastAsia="仿宋" w:cs="仿宋"/>
                <w:b/>
                <w:szCs w:val="21"/>
              </w:rPr>
            </w:pPr>
            <w:r>
              <w:rPr>
                <w:rFonts w:hint="eastAsia" w:ascii="仿宋" w:hAnsi="仿宋" w:eastAsia="仿宋" w:cs="仿宋"/>
                <w:b/>
                <w:szCs w:val="21"/>
              </w:rPr>
              <w:t>3、项目采购范围（本次招标的项目范围，包括服务名称、服务地点、服务内容、服务要求等）</w:t>
            </w:r>
          </w:p>
          <w:p w14:paraId="6BFC78CB">
            <w:pPr>
              <w:ind w:firstLine="420" w:firstLineChars="200"/>
              <w:jc w:val="left"/>
              <w:rPr>
                <w:rFonts w:ascii="仿宋" w:hAnsi="仿宋" w:eastAsia="仿宋" w:cs="仿宋"/>
                <w:szCs w:val="21"/>
              </w:rPr>
            </w:pPr>
            <w:r>
              <w:rPr>
                <w:rFonts w:hint="eastAsia" w:ascii="仿宋" w:hAnsi="仿宋" w:eastAsia="仿宋" w:cs="仿宋"/>
                <w:szCs w:val="21"/>
              </w:rPr>
              <w:t>3.1服务名称：《深圳市2025年度建设项目用地预审、土地供应报批及监测统计分析》</w:t>
            </w:r>
          </w:p>
          <w:p w14:paraId="23EFDAD4">
            <w:pPr>
              <w:ind w:firstLine="420" w:firstLineChars="200"/>
              <w:jc w:val="left"/>
              <w:rPr>
                <w:rFonts w:ascii="仿宋" w:hAnsi="仿宋" w:eastAsia="仿宋" w:cs="仿宋"/>
                <w:szCs w:val="21"/>
              </w:rPr>
            </w:pPr>
            <w:r>
              <w:rPr>
                <w:rFonts w:hint="eastAsia" w:ascii="仿宋" w:hAnsi="仿宋" w:eastAsia="仿宋" w:cs="仿宋"/>
                <w:szCs w:val="21"/>
              </w:rPr>
              <w:t>3.2服务地点：深圳市</w:t>
            </w:r>
          </w:p>
          <w:p w14:paraId="102BF8FF">
            <w:pPr>
              <w:ind w:firstLine="420" w:firstLineChars="200"/>
              <w:jc w:val="left"/>
              <w:rPr>
                <w:rFonts w:ascii="仿宋" w:hAnsi="仿宋" w:eastAsia="仿宋" w:cs="仿宋"/>
                <w:szCs w:val="21"/>
              </w:rPr>
            </w:pPr>
            <w:r>
              <w:rPr>
                <w:rFonts w:hint="eastAsia" w:ascii="仿宋" w:hAnsi="仿宋" w:eastAsia="仿宋" w:cs="仿宋"/>
                <w:szCs w:val="21"/>
              </w:rPr>
              <w:t>3.3服务内容：</w:t>
            </w:r>
          </w:p>
          <w:p w14:paraId="635EBF74">
            <w:pPr>
              <w:ind w:firstLine="420" w:firstLineChars="200"/>
              <w:jc w:val="left"/>
              <w:rPr>
                <w:rFonts w:ascii="仿宋" w:hAnsi="仿宋" w:eastAsia="仿宋" w:cs="仿宋"/>
                <w:szCs w:val="21"/>
              </w:rPr>
            </w:pPr>
            <w:r>
              <w:rPr>
                <w:rFonts w:hint="eastAsia" w:ascii="仿宋" w:hAnsi="仿宋" w:eastAsia="仿宋" w:cs="仿宋"/>
                <w:szCs w:val="21"/>
              </w:rPr>
              <w:t>（1）深圳市2025年度国家和省级建设项目用地预审符合性/合规性评估</w:t>
            </w:r>
          </w:p>
          <w:p w14:paraId="6BE4778C">
            <w:pPr>
              <w:ind w:firstLine="420" w:firstLineChars="200"/>
              <w:jc w:val="left"/>
              <w:rPr>
                <w:rFonts w:ascii="仿宋" w:hAnsi="仿宋" w:eastAsia="仿宋" w:cs="仿宋"/>
                <w:szCs w:val="21"/>
              </w:rPr>
            </w:pPr>
            <w:r>
              <w:rPr>
                <w:rFonts w:hint="eastAsia" w:ascii="仿宋" w:hAnsi="仿宋" w:eastAsia="仿宋" w:cs="仿宋"/>
                <w:szCs w:val="21"/>
              </w:rPr>
              <w:t>（2）深圳市2025年度市区级建设项目用地预审监测与评估</w:t>
            </w:r>
          </w:p>
          <w:p w14:paraId="73D31499">
            <w:pPr>
              <w:ind w:firstLine="420" w:firstLineChars="200"/>
              <w:jc w:val="left"/>
              <w:rPr>
                <w:rFonts w:ascii="仿宋" w:hAnsi="仿宋" w:eastAsia="仿宋" w:cs="仿宋"/>
                <w:szCs w:val="21"/>
              </w:rPr>
            </w:pPr>
            <w:r>
              <w:rPr>
                <w:rFonts w:hint="eastAsia" w:ascii="仿宋" w:hAnsi="仿宋" w:eastAsia="仿宋" w:cs="仿宋"/>
                <w:szCs w:val="21"/>
              </w:rPr>
              <w:t>（3）深圳市2025年度市投市建类建设项目土地供应方案报批符合性/合规性评估</w:t>
            </w:r>
          </w:p>
          <w:p w14:paraId="4E598E56">
            <w:pPr>
              <w:ind w:firstLine="420" w:firstLineChars="200"/>
              <w:jc w:val="left"/>
              <w:rPr>
                <w:rFonts w:ascii="仿宋" w:hAnsi="仿宋" w:eastAsia="仿宋" w:cs="仿宋"/>
                <w:szCs w:val="21"/>
              </w:rPr>
            </w:pPr>
            <w:r>
              <w:rPr>
                <w:rFonts w:hint="eastAsia" w:ascii="仿宋" w:hAnsi="仿宋" w:eastAsia="仿宋" w:cs="仿宋"/>
                <w:szCs w:val="21"/>
              </w:rPr>
              <w:t>（4）深圳市2025年度建设项目土地供应方案审批监测与评估（不包含城市更新）</w:t>
            </w:r>
          </w:p>
          <w:p w14:paraId="107A8E54">
            <w:pPr>
              <w:jc w:val="left"/>
              <w:rPr>
                <w:rFonts w:ascii="仿宋" w:hAnsi="仿宋" w:eastAsia="仿宋" w:cs="仿宋"/>
                <w:b/>
                <w:szCs w:val="21"/>
              </w:rPr>
            </w:pPr>
            <w:r>
              <w:rPr>
                <w:rFonts w:hint="eastAsia" w:ascii="仿宋" w:hAnsi="仿宋" w:eastAsia="仿宋" w:cs="仿宋"/>
                <w:b/>
                <w:szCs w:val="21"/>
              </w:rPr>
              <w:t>4、项目服务期限（下达的计划时间和实际服务期限不一致的，需列明实际服务期限）</w:t>
            </w:r>
          </w:p>
          <w:p w14:paraId="427B0105">
            <w:pPr>
              <w:ind w:firstLine="420" w:firstLineChars="200"/>
              <w:jc w:val="left"/>
              <w:rPr>
                <w:rFonts w:ascii="仿宋" w:hAnsi="仿宋" w:eastAsia="仿宋" w:cs="仿宋"/>
                <w:szCs w:val="21"/>
              </w:rPr>
            </w:pPr>
            <w:r>
              <w:rPr>
                <w:rFonts w:hint="eastAsia" w:ascii="仿宋" w:hAnsi="仿宋" w:eastAsia="仿宋" w:cs="仿宋"/>
                <w:szCs w:val="21"/>
              </w:rPr>
              <w:t>本项目计划自合同签订之日起12个月内完成。由于项目属于每年例行开展的常规性项目，实际工作进展和进度安排以当年国家、省、市的相关要求为准，无法明确安排，具体工作进度以实际发生的具体时间进度为准。</w:t>
            </w:r>
          </w:p>
          <w:p w14:paraId="7B299BB6">
            <w:pPr>
              <w:jc w:val="left"/>
              <w:rPr>
                <w:rFonts w:ascii="仿宋" w:hAnsi="仿宋" w:eastAsia="仿宋" w:cs="仿宋"/>
                <w:b/>
                <w:szCs w:val="21"/>
              </w:rPr>
            </w:pPr>
            <w:r>
              <w:rPr>
                <w:rFonts w:hint="eastAsia" w:ascii="仿宋" w:hAnsi="仿宋" w:eastAsia="仿宋" w:cs="仿宋"/>
                <w:b/>
                <w:szCs w:val="21"/>
              </w:rPr>
              <w:t>5、组织实施要求</w:t>
            </w:r>
          </w:p>
          <w:p w14:paraId="5A61E62E">
            <w:pPr>
              <w:ind w:firstLine="420" w:firstLineChars="200"/>
              <w:jc w:val="left"/>
              <w:rPr>
                <w:rFonts w:ascii="仿宋" w:hAnsi="仿宋" w:eastAsia="仿宋" w:cs="仿宋"/>
                <w:szCs w:val="21"/>
              </w:rPr>
            </w:pPr>
            <w:r>
              <w:rPr>
                <w:rFonts w:hint="eastAsia" w:ascii="仿宋" w:hAnsi="仿宋" w:eastAsia="仿宋" w:cs="仿宋"/>
                <w:szCs w:val="21"/>
              </w:rPr>
              <w:t>为确保本项目工作开展管理规范、实施有力，中标人应成立项目组，按采购方要求完成成果，并配合采购方完成关于本项目各工作阶段的汇报、审查等工作，同时负责解答相关的问题。</w:t>
            </w:r>
          </w:p>
          <w:p w14:paraId="34E7CCBD">
            <w:pPr>
              <w:jc w:val="left"/>
              <w:rPr>
                <w:rFonts w:ascii="仿宋" w:hAnsi="仿宋" w:eastAsia="仿宋" w:cs="仿宋"/>
                <w:b/>
                <w:szCs w:val="21"/>
              </w:rPr>
            </w:pPr>
            <w:r>
              <w:rPr>
                <w:rFonts w:hint="eastAsia" w:ascii="仿宋" w:hAnsi="仿宋" w:eastAsia="仿宋" w:cs="仿宋"/>
                <w:b/>
                <w:szCs w:val="21"/>
              </w:rPr>
              <w:t>6、成果要求</w:t>
            </w:r>
          </w:p>
          <w:p w14:paraId="4E7DE93F">
            <w:pPr>
              <w:ind w:firstLine="420" w:firstLineChars="200"/>
              <w:jc w:val="left"/>
              <w:rPr>
                <w:rFonts w:hint="eastAsia" w:ascii="仿宋" w:hAnsi="仿宋" w:eastAsia="仿宋" w:cs="仿宋"/>
                <w:szCs w:val="21"/>
              </w:rPr>
            </w:pPr>
            <w:r>
              <w:rPr>
                <w:rFonts w:hint="eastAsia" w:ascii="仿宋" w:hAnsi="仿宋" w:eastAsia="仿宋" w:cs="仿宋"/>
                <w:szCs w:val="21"/>
              </w:rPr>
              <w:t>（1）《深圳市2025年度建设项目用地预审监测评估报告》（word格式, 电子、纸质，数量1）。</w:t>
            </w:r>
          </w:p>
          <w:p w14:paraId="4F69F87E">
            <w:pPr>
              <w:ind w:firstLine="420" w:firstLineChars="200"/>
              <w:jc w:val="left"/>
              <w:rPr>
                <w:rFonts w:hint="eastAsia" w:ascii="仿宋" w:hAnsi="仿宋" w:eastAsia="仿宋" w:cs="仿宋"/>
                <w:szCs w:val="21"/>
              </w:rPr>
            </w:pPr>
            <w:r>
              <w:rPr>
                <w:rFonts w:hint="eastAsia" w:ascii="仿宋" w:hAnsi="仿宋" w:eastAsia="仿宋" w:cs="仿宋"/>
                <w:szCs w:val="21"/>
              </w:rPr>
              <w:t>（2）《深圳市2025年度建设项目土地供应方案报批监测评估报告》（word格式, 电子、纸质，数量1）。</w:t>
            </w:r>
          </w:p>
          <w:p w14:paraId="0C0234B9">
            <w:pPr>
              <w:ind w:firstLine="420" w:firstLineChars="200"/>
              <w:jc w:val="left"/>
              <w:rPr>
                <w:rFonts w:ascii="仿宋" w:hAnsi="仿宋" w:eastAsia="仿宋" w:cs="仿宋"/>
                <w:szCs w:val="21"/>
              </w:rPr>
            </w:pPr>
            <w:bookmarkStart w:id="0" w:name="_GoBack"/>
            <w:bookmarkEnd w:id="0"/>
            <w:r>
              <w:rPr>
                <w:rFonts w:hint="eastAsia" w:ascii="仿宋" w:hAnsi="仿宋" w:eastAsia="仿宋" w:cs="仿宋"/>
                <w:szCs w:val="21"/>
              </w:rPr>
              <w:t>成果交付形式及数量：按深圳市规划和自然资源局的具体要求交付。</w:t>
            </w:r>
          </w:p>
          <w:p w14:paraId="531D5165">
            <w:pPr>
              <w:ind w:firstLine="420" w:firstLineChars="200"/>
              <w:jc w:val="left"/>
              <w:rPr>
                <w:rFonts w:ascii="仿宋" w:hAnsi="仿宋" w:eastAsia="仿宋" w:cs="仿宋"/>
                <w:szCs w:val="21"/>
              </w:rPr>
            </w:pPr>
            <w:r>
              <w:rPr>
                <w:rFonts w:hint="eastAsia" w:ascii="仿宋" w:hAnsi="仿宋" w:eastAsia="仿宋" w:cs="仿宋"/>
                <w:szCs w:val="21"/>
              </w:rPr>
              <w:t>成果交付时间及地点：项目按照合同要求的时间节点完成。提交地点为深圳市规划和自然资源局。</w:t>
            </w:r>
          </w:p>
          <w:p w14:paraId="2DBABB0A">
            <w:pPr>
              <w:jc w:val="left"/>
              <w:rPr>
                <w:rFonts w:ascii="仿宋" w:hAnsi="仿宋" w:eastAsia="仿宋" w:cs="仿宋"/>
                <w:b/>
                <w:szCs w:val="21"/>
              </w:rPr>
            </w:pPr>
            <w:r>
              <w:rPr>
                <w:rFonts w:hint="eastAsia" w:ascii="仿宋" w:hAnsi="仿宋" w:eastAsia="仿宋" w:cs="仿宋"/>
                <w:b/>
                <w:szCs w:val="21"/>
              </w:rPr>
              <w:t>7、项目人员安排要求</w:t>
            </w:r>
          </w:p>
          <w:p w14:paraId="0F222163">
            <w:pPr>
              <w:ind w:firstLine="420" w:firstLineChars="200"/>
              <w:jc w:val="left"/>
              <w:rPr>
                <w:rFonts w:ascii="仿宋" w:hAnsi="仿宋" w:eastAsia="仿宋" w:cs="仿宋"/>
                <w:szCs w:val="21"/>
              </w:rPr>
            </w:pPr>
            <w:r>
              <w:rPr>
                <w:rFonts w:hint="eastAsia" w:ascii="仿宋" w:hAnsi="仿宋" w:eastAsia="仿宋" w:cs="仿宋"/>
                <w:szCs w:val="21"/>
              </w:rPr>
              <w:t>（1）中标单位必须独立设置项目组，有固定的项目负责人和联系人。</w:t>
            </w:r>
          </w:p>
          <w:p w14:paraId="4C635B23">
            <w:pPr>
              <w:ind w:firstLine="420" w:firstLineChars="200"/>
              <w:jc w:val="left"/>
              <w:rPr>
                <w:rFonts w:ascii="仿宋" w:hAnsi="仿宋" w:eastAsia="仿宋" w:cs="仿宋"/>
                <w:szCs w:val="21"/>
              </w:rPr>
            </w:pPr>
            <w:r>
              <w:rPr>
                <w:rFonts w:hint="eastAsia" w:ascii="仿宋" w:hAnsi="仿宋" w:eastAsia="仿宋" w:cs="仿宋"/>
                <w:szCs w:val="21"/>
              </w:rPr>
              <w:t>（2）项目负责人需具备国土专业正高级职称。</w:t>
            </w:r>
          </w:p>
          <w:p w14:paraId="1ADCB919">
            <w:pPr>
              <w:ind w:firstLine="420" w:firstLineChars="200"/>
              <w:jc w:val="left"/>
              <w:rPr>
                <w:rFonts w:ascii="仿宋" w:hAnsi="仿宋" w:eastAsia="仿宋" w:cs="仿宋"/>
                <w:szCs w:val="21"/>
              </w:rPr>
            </w:pPr>
            <w:r>
              <w:rPr>
                <w:rFonts w:hint="eastAsia" w:ascii="仿宋" w:hAnsi="仿宋" w:eastAsia="仿宋" w:cs="仿宋"/>
                <w:szCs w:val="21"/>
              </w:rPr>
              <w:t>（3）项目团队成员不能少于6人。</w:t>
            </w:r>
          </w:p>
          <w:p w14:paraId="2A501B47">
            <w:pPr>
              <w:ind w:firstLine="420" w:firstLineChars="200"/>
              <w:jc w:val="left"/>
              <w:rPr>
                <w:rFonts w:ascii="仿宋" w:hAnsi="仿宋" w:eastAsia="仿宋" w:cs="仿宋"/>
                <w:szCs w:val="21"/>
              </w:rPr>
            </w:pPr>
            <w:r>
              <w:rPr>
                <w:rFonts w:hint="eastAsia" w:ascii="仿宋" w:hAnsi="仿宋" w:eastAsia="仿宋" w:cs="仿宋"/>
                <w:szCs w:val="21"/>
              </w:rPr>
              <w:t>（4）未经采购方同意，中标方不得随意更换项目负责人。</w:t>
            </w:r>
          </w:p>
          <w:p w14:paraId="75E6F2F2">
            <w:pPr>
              <w:jc w:val="left"/>
              <w:rPr>
                <w:rFonts w:ascii="仿宋" w:hAnsi="仿宋" w:eastAsia="仿宋" w:cs="仿宋"/>
                <w:b/>
                <w:szCs w:val="21"/>
              </w:rPr>
            </w:pPr>
            <w:r>
              <w:rPr>
                <w:rFonts w:hint="eastAsia" w:ascii="仿宋" w:hAnsi="仿宋" w:eastAsia="仿宋" w:cs="仿宋"/>
                <w:b/>
                <w:szCs w:val="21"/>
              </w:rPr>
              <w:t>8、售后服务内容、要求和期限</w:t>
            </w:r>
          </w:p>
          <w:p w14:paraId="17132E14">
            <w:pPr>
              <w:ind w:firstLine="420" w:firstLineChars="200"/>
              <w:jc w:val="left"/>
              <w:rPr>
                <w:rFonts w:ascii="仿宋" w:hAnsi="仿宋" w:eastAsia="仿宋" w:cs="仿宋"/>
                <w:szCs w:val="21"/>
              </w:rPr>
            </w:pPr>
            <w:r>
              <w:rPr>
                <w:rFonts w:hint="eastAsia" w:ascii="仿宋" w:hAnsi="仿宋" w:eastAsia="仿宋" w:cs="仿宋"/>
                <w:szCs w:val="21"/>
              </w:rPr>
              <w:t>（1）售后服务期限从最后成果提交采购人之日起一年。</w:t>
            </w:r>
          </w:p>
          <w:p w14:paraId="710127B1">
            <w:pPr>
              <w:ind w:firstLine="420" w:firstLineChars="200"/>
              <w:jc w:val="left"/>
              <w:rPr>
                <w:rFonts w:ascii="仿宋" w:hAnsi="仿宋" w:eastAsia="仿宋" w:cs="仿宋"/>
                <w:szCs w:val="21"/>
              </w:rPr>
            </w:pPr>
            <w:r>
              <w:rPr>
                <w:rFonts w:hint="eastAsia" w:ascii="仿宋" w:hAnsi="仿宋" w:eastAsia="仿宋" w:cs="仿宋"/>
                <w:szCs w:val="21"/>
              </w:rPr>
              <w:t>（2）在售后服务期限内提供相关咨询、协调、项目审查和报告更新等技术支持。</w:t>
            </w:r>
          </w:p>
          <w:p w14:paraId="35778E3A">
            <w:pPr>
              <w:ind w:firstLine="420" w:firstLineChars="200"/>
              <w:jc w:val="left"/>
              <w:rPr>
                <w:rFonts w:ascii="仿宋" w:hAnsi="仿宋" w:eastAsia="仿宋" w:cs="仿宋"/>
                <w:szCs w:val="21"/>
              </w:rPr>
            </w:pPr>
            <w:r>
              <w:rPr>
                <w:rFonts w:hint="eastAsia" w:ascii="仿宋" w:hAnsi="仿宋" w:eastAsia="仿宋" w:cs="仿宋"/>
                <w:szCs w:val="21"/>
              </w:rPr>
              <w:t>（3）安排专人负责售后技术支持，并提供其联系手机、电话、传真、email；如人员需要调整应及时通知采购人。</w:t>
            </w:r>
          </w:p>
          <w:p w14:paraId="30BEF02B">
            <w:pPr>
              <w:ind w:firstLine="207" w:firstLineChars="98"/>
              <w:jc w:val="left"/>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b/>
                <w:szCs w:val="21"/>
              </w:rPr>
              <w:t>（以上内容，可根据实际项目作增减）</w:t>
            </w:r>
          </w:p>
        </w:tc>
      </w:tr>
      <w:tr w14:paraId="07F0F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560" w:type="dxa"/>
            <w:vMerge w:val="restart"/>
          </w:tcPr>
          <w:p w14:paraId="72EAC352">
            <w:pPr>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其他要求</w:t>
            </w:r>
          </w:p>
        </w:tc>
        <w:tc>
          <w:tcPr>
            <w:tcW w:w="7407" w:type="dxa"/>
            <w:gridSpan w:val="4"/>
          </w:tcPr>
          <w:p w14:paraId="6CFE6353">
            <w:pPr>
              <w:jc w:val="left"/>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特定供应商的名称、项目负责人及联系方式</w:t>
            </w:r>
          </w:p>
        </w:tc>
      </w:tr>
      <w:tr w14:paraId="4A159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60" w:type="dxa"/>
            <w:vMerge w:val="continue"/>
          </w:tcPr>
          <w:p w14:paraId="7A584F1E">
            <w:pPr>
              <w:jc w:val="left"/>
              <w:rPr>
                <w:rFonts w:ascii="仿宋" w:hAnsi="仿宋" w:eastAsia="仿宋" w:cs="仿宋"/>
                <w:color w:val="000000" w:themeColor="text1"/>
                <w:kern w:val="0"/>
                <w:szCs w:val="21"/>
                <w14:textFill>
                  <w14:solidFill>
                    <w14:schemeClr w14:val="tx1"/>
                  </w14:solidFill>
                </w14:textFill>
              </w:rPr>
            </w:pPr>
          </w:p>
        </w:tc>
        <w:tc>
          <w:tcPr>
            <w:tcW w:w="850" w:type="dxa"/>
            <w:vMerge w:val="restart"/>
          </w:tcPr>
          <w:p w14:paraId="01566829">
            <w:pPr>
              <w:jc w:val="left"/>
              <w:rPr>
                <w:rFonts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特定供应商</w:t>
            </w:r>
          </w:p>
        </w:tc>
        <w:tc>
          <w:tcPr>
            <w:tcW w:w="6557" w:type="dxa"/>
            <w:gridSpan w:val="3"/>
          </w:tcPr>
          <w:p w14:paraId="09D1EE24">
            <w:pPr>
              <w:jc w:val="left"/>
              <w:rPr>
                <w:rFonts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szCs w:val="21"/>
              </w:rPr>
              <w:t>单位名称：深圳市规划国土发展研究中心</w:t>
            </w:r>
          </w:p>
        </w:tc>
      </w:tr>
      <w:tr w14:paraId="0DB88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560" w:type="dxa"/>
            <w:vMerge w:val="continue"/>
          </w:tcPr>
          <w:p w14:paraId="341CE34C">
            <w:pPr>
              <w:jc w:val="left"/>
              <w:rPr>
                <w:rFonts w:ascii="仿宋" w:hAnsi="仿宋" w:eastAsia="仿宋" w:cs="仿宋"/>
                <w:color w:val="000000" w:themeColor="text1"/>
                <w:kern w:val="0"/>
                <w:szCs w:val="21"/>
                <w14:textFill>
                  <w14:solidFill>
                    <w14:schemeClr w14:val="tx1"/>
                  </w14:solidFill>
                </w14:textFill>
              </w:rPr>
            </w:pPr>
          </w:p>
        </w:tc>
        <w:tc>
          <w:tcPr>
            <w:tcW w:w="850" w:type="dxa"/>
            <w:vMerge w:val="continue"/>
          </w:tcPr>
          <w:p w14:paraId="42FE3F87">
            <w:pPr>
              <w:jc w:val="left"/>
              <w:rPr>
                <w:rFonts w:ascii="仿宋" w:hAnsi="仿宋" w:eastAsia="仿宋" w:cs="仿宋"/>
                <w:bCs/>
                <w:color w:val="000000" w:themeColor="text1"/>
                <w:kern w:val="0"/>
                <w:szCs w:val="21"/>
                <w14:textFill>
                  <w14:solidFill>
                    <w14:schemeClr w14:val="tx1"/>
                  </w14:solidFill>
                </w14:textFill>
              </w:rPr>
            </w:pPr>
          </w:p>
        </w:tc>
        <w:tc>
          <w:tcPr>
            <w:tcW w:w="6557" w:type="dxa"/>
            <w:gridSpan w:val="3"/>
          </w:tcPr>
          <w:p w14:paraId="649416D1">
            <w:pPr>
              <w:jc w:val="left"/>
              <w:rPr>
                <w:rFonts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szCs w:val="21"/>
              </w:rPr>
              <w:t>项目经办人：</w:t>
            </w:r>
            <w:r>
              <w:rPr>
                <w:rFonts w:ascii="仿宋" w:hAnsi="仿宋" w:eastAsia="仿宋" w:cs="仿宋"/>
                <w:bCs/>
                <w:color w:val="000000" w:themeColor="text1"/>
                <w:kern w:val="0"/>
                <w:szCs w:val="21"/>
                <w14:textFill>
                  <w14:solidFill>
                    <w14:schemeClr w14:val="tx1"/>
                  </w14:solidFill>
                </w14:textFill>
              </w:rPr>
              <w:t xml:space="preserve"> </w:t>
            </w:r>
          </w:p>
        </w:tc>
      </w:tr>
      <w:tr w14:paraId="4602E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60" w:type="dxa"/>
            <w:vMerge w:val="continue"/>
          </w:tcPr>
          <w:p w14:paraId="43FC5F78">
            <w:pPr>
              <w:jc w:val="left"/>
              <w:rPr>
                <w:rFonts w:ascii="仿宋" w:hAnsi="仿宋" w:eastAsia="仿宋" w:cs="仿宋"/>
                <w:color w:val="000000" w:themeColor="text1"/>
                <w:kern w:val="0"/>
                <w:szCs w:val="21"/>
                <w14:textFill>
                  <w14:solidFill>
                    <w14:schemeClr w14:val="tx1"/>
                  </w14:solidFill>
                </w14:textFill>
              </w:rPr>
            </w:pPr>
          </w:p>
        </w:tc>
        <w:tc>
          <w:tcPr>
            <w:tcW w:w="850" w:type="dxa"/>
            <w:vMerge w:val="continue"/>
          </w:tcPr>
          <w:p w14:paraId="5C0A224D">
            <w:pPr>
              <w:jc w:val="left"/>
              <w:rPr>
                <w:rFonts w:ascii="仿宋" w:hAnsi="仿宋" w:eastAsia="仿宋" w:cs="仿宋"/>
                <w:bCs/>
                <w:color w:val="000000" w:themeColor="text1"/>
                <w:kern w:val="0"/>
                <w:szCs w:val="21"/>
                <w14:textFill>
                  <w14:solidFill>
                    <w14:schemeClr w14:val="tx1"/>
                  </w14:solidFill>
                </w14:textFill>
              </w:rPr>
            </w:pPr>
          </w:p>
        </w:tc>
        <w:tc>
          <w:tcPr>
            <w:tcW w:w="6557" w:type="dxa"/>
            <w:gridSpan w:val="3"/>
          </w:tcPr>
          <w:p w14:paraId="79EB5BE4">
            <w:pPr>
              <w:jc w:val="left"/>
              <w:rPr>
                <w:rFonts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szCs w:val="21"/>
              </w:rPr>
              <w:t>联系电话：</w:t>
            </w:r>
          </w:p>
        </w:tc>
      </w:tr>
    </w:tbl>
    <w:p w14:paraId="01F1C34B">
      <w:pPr>
        <w:spacing w:line="360" w:lineRule="exact"/>
        <w:jc w:val="left"/>
        <w:rPr>
          <w:rFonts w:ascii="仿宋" w:hAnsi="仿宋" w:eastAsia="仿宋"/>
          <w:bCs/>
          <w:color w:val="000000" w:themeColor="text1"/>
          <w:szCs w:val="21"/>
          <w14:textFill>
            <w14:solidFill>
              <w14:schemeClr w14:val="tx1"/>
            </w14:solidFill>
          </w14:textFill>
        </w:rPr>
      </w:pPr>
      <w:r>
        <w:rPr>
          <w:rFonts w:hint="eastAsia" w:ascii="仿宋" w:hAnsi="仿宋" w:eastAsia="仿宋"/>
          <w:bCs/>
          <w:color w:val="000000" w:themeColor="text1"/>
          <w:szCs w:val="21"/>
          <w14:textFill>
            <w14:solidFill>
              <w14:schemeClr w14:val="tx1"/>
            </w14:solidFill>
          </w14:textFill>
        </w:rPr>
        <w:t>注：</w:t>
      </w:r>
    </w:p>
    <w:p w14:paraId="222CE8C6">
      <w:pPr>
        <w:spacing w:line="360" w:lineRule="exact"/>
        <w:jc w:val="left"/>
        <w:rPr>
          <w:rFonts w:ascii="仿宋" w:hAnsi="仿宋" w:eastAsia="仿宋"/>
          <w:bCs/>
          <w:color w:val="000000" w:themeColor="text1"/>
          <w:szCs w:val="21"/>
          <w14:textFill>
            <w14:solidFill>
              <w14:schemeClr w14:val="tx1"/>
            </w14:solidFill>
          </w14:textFill>
        </w:rPr>
      </w:pPr>
      <w:r>
        <w:rPr>
          <w:rFonts w:hint="eastAsia" w:ascii="仿宋" w:hAnsi="仿宋" w:eastAsia="仿宋"/>
          <w:bCs/>
          <w:color w:val="000000" w:themeColor="text1"/>
          <w:szCs w:val="21"/>
          <w14:textFill>
            <w14:solidFill>
              <w14:schemeClr w14:val="tx1"/>
            </w14:solidFill>
          </w14:textFill>
        </w:rPr>
        <w:t>1、带“*”号的为必填表内容，其他内容可根据项目作适当增减。</w:t>
      </w:r>
    </w:p>
    <w:p w14:paraId="54BEEC0E">
      <w:pPr>
        <w:spacing w:line="360" w:lineRule="exact"/>
        <w:jc w:val="left"/>
        <w:rPr>
          <w:rFonts w:ascii="仿宋" w:hAnsi="仿宋" w:eastAsia="仿宋"/>
          <w:bCs/>
          <w:color w:val="000000" w:themeColor="text1"/>
          <w:szCs w:val="21"/>
          <w14:textFill>
            <w14:solidFill>
              <w14:schemeClr w14:val="tx1"/>
            </w14:solidFill>
          </w14:textFill>
        </w:rPr>
      </w:pPr>
      <w:r>
        <w:rPr>
          <w:rFonts w:hint="eastAsia" w:ascii="仿宋" w:hAnsi="仿宋" w:eastAsia="仿宋"/>
          <w:bCs/>
          <w:color w:val="000000" w:themeColor="text1"/>
          <w:szCs w:val="21"/>
          <w14:textFill>
            <w14:solidFill>
              <w14:schemeClr w14:val="tx1"/>
            </w14:solidFill>
          </w14:textFill>
        </w:rPr>
        <w:t>2、其他要求栏目仅适用非公开招标采购方式项目，采购推荐供应商名单必须经过主管部门报批，并将主管部门批复材料提交至采购中心。根据采购条例第十九条规定适用非公开招标方式需要公示的，应同时向采购中心提交公示的证明材料。</w:t>
      </w:r>
    </w:p>
    <w:p w14:paraId="2565DB87">
      <w:pPr>
        <w:spacing w:line="360" w:lineRule="exact"/>
        <w:rPr>
          <w:rFonts w:ascii="仿宋" w:hAnsi="仿宋" w:eastAsia="仿宋"/>
          <w:bCs/>
          <w:color w:val="000000" w:themeColor="text1"/>
          <w:szCs w:val="21"/>
          <w14:textFill>
            <w14:solidFill>
              <w14:schemeClr w14:val="tx1"/>
            </w14:solidFill>
          </w14:textFill>
        </w:rPr>
      </w:pPr>
      <w:r>
        <w:rPr>
          <w:rFonts w:hint="eastAsia" w:ascii="仿宋" w:hAnsi="仿宋" w:eastAsia="仿宋"/>
          <w:bCs/>
          <w:color w:val="000000" w:themeColor="text1"/>
          <w:szCs w:val="21"/>
          <w14:textFill>
            <w14:solidFill>
              <w14:schemeClr w14:val="tx1"/>
            </w14:solidFill>
          </w14:textFill>
        </w:rPr>
        <w:t>3、采购单位以上填报的商务条款、技术条款若存在倾向性或不公正性条款，由此引起的不良后果将由采购单位自行承担。</w:t>
      </w:r>
    </w:p>
    <w:p w14:paraId="15315BB0">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4、项目需要提供带车服务的，需核查中标单位提供的车型，避免违规出现豪华或超标准车型。</w:t>
      </w:r>
    </w:p>
    <w:p w14:paraId="4962B341">
      <w:pPr>
        <w:jc w:val="left"/>
        <w:rPr>
          <w:rFonts w:ascii="仿宋_GB2312" w:hAnsi="仿宋_GB2312" w:eastAsia="仿宋_GB2312" w:cs="仿宋_GB2312"/>
          <w:bCs/>
          <w:color w:val="000000" w:themeColor="text1"/>
          <w:sz w:val="32"/>
          <w:szCs w:val="32"/>
          <w14:textFill>
            <w14:solidFill>
              <w14:schemeClr w14:val="tx1"/>
            </w14:solidFill>
          </w14:textFill>
        </w:rPr>
      </w:pPr>
    </w:p>
    <w:p w14:paraId="0E589CBA">
      <w:pPr>
        <w:rPr>
          <w:rFonts w:ascii="仿宋_GB2312" w:hAnsi="仿宋_GB2312" w:eastAsia="仿宋_GB2312" w:cs="仿宋_GB2312"/>
          <w:bCs/>
          <w:color w:val="000000" w:themeColor="text1"/>
          <w:sz w:val="32"/>
          <w:szCs w:val="32"/>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D4F"/>
    <w:rsid w:val="0005560E"/>
    <w:rsid w:val="000B2C1B"/>
    <w:rsid w:val="001520E1"/>
    <w:rsid w:val="001A7011"/>
    <w:rsid w:val="001D0D4F"/>
    <w:rsid w:val="002569EA"/>
    <w:rsid w:val="00264197"/>
    <w:rsid w:val="00294BF9"/>
    <w:rsid w:val="00365F40"/>
    <w:rsid w:val="0043554B"/>
    <w:rsid w:val="004F5AEC"/>
    <w:rsid w:val="00560A62"/>
    <w:rsid w:val="006535A1"/>
    <w:rsid w:val="006A6E68"/>
    <w:rsid w:val="006B4642"/>
    <w:rsid w:val="00790DB5"/>
    <w:rsid w:val="007B1796"/>
    <w:rsid w:val="007B3090"/>
    <w:rsid w:val="007B3BC0"/>
    <w:rsid w:val="00870261"/>
    <w:rsid w:val="009E5DFE"/>
    <w:rsid w:val="009E78FC"/>
    <w:rsid w:val="00A20A5E"/>
    <w:rsid w:val="00B076C2"/>
    <w:rsid w:val="00B0775B"/>
    <w:rsid w:val="00B51B72"/>
    <w:rsid w:val="00B80CEC"/>
    <w:rsid w:val="00D12231"/>
    <w:rsid w:val="00D475CF"/>
    <w:rsid w:val="00DC2939"/>
    <w:rsid w:val="00EC39CE"/>
    <w:rsid w:val="00F069C7"/>
    <w:rsid w:val="018C4675"/>
    <w:rsid w:val="07C75D86"/>
    <w:rsid w:val="2AF404DD"/>
    <w:rsid w:val="4B933630"/>
    <w:rsid w:val="58A540F1"/>
    <w:rsid w:val="5AA51826"/>
    <w:rsid w:val="5C6D3E4D"/>
    <w:rsid w:val="67F814CD"/>
    <w:rsid w:val="74A02D7E"/>
    <w:rsid w:val="786B21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spacing w:after="160" w:line="259" w:lineRule="auto"/>
    </w:pPr>
    <w:rPr>
      <w:rFonts w:ascii="等线" w:hAnsi="等线" w:eastAsia="等线" w:cs="Times New Roman"/>
      <w:kern w:val="0"/>
      <w:sz w:val="22"/>
    </w:rPr>
  </w:style>
  <w:style w:type="paragraph" w:styleId="3">
    <w:name w:val="Body Text"/>
    <w:basedOn w:val="1"/>
    <w:next w:val="4"/>
    <w:qFormat/>
    <w:uiPriority w:val="0"/>
    <w:pPr>
      <w:spacing w:before="61"/>
      <w:ind w:left="102"/>
    </w:pPr>
    <w:rPr>
      <w:rFonts w:ascii="宋体" w:hAnsi="宋体" w:eastAsia="宋体"/>
      <w:kern w:val="0"/>
      <w:sz w:val="28"/>
      <w:szCs w:val="28"/>
      <w:lang w:eastAsia="en-US"/>
    </w:rPr>
  </w:style>
  <w:style w:type="paragraph" w:styleId="4">
    <w:name w:val="Title"/>
    <w:basedOn w:val="1"/>
    <w:next w:val="1"/>
    <w:qFormat/>
    <w:uiPriority w:val="0"/>
    <w:pPr>
      <w:spacing w:before="240" w:after="60"/>
      <w:jc w:val="center"/>
      <w:outlineLvl w:val="0"/>
    </w:pPr>
    <w:rPr>
      <w:rFonts w:ascii="Cambria" w:hAnsi="Cambria" w:eastAsia="宋体"/>
      <w:b/>
      <w:bCs/>
    </w:rPr>
  </w:style>
  <w:style w:type="paragraph" w:styleId="5">
    <w:name w:val="footer"/>
    <w:basedOn w:val="1"/>
    <w:link w:val="12"/>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snapToGrid w:val="0"/>
      <w:jc w:val="left"/>
    </w:pPr>
    <w:rPr>
      <w:sz w:val="18"/>
    </w:rPr>
  </w:style>
  <w:style w:type="paragraph" w:styleId="10">
    <w:name w:val="List Paragraph"/>
    <w:basedOn w:val="1"/>
    <w:qFormat/>
    <w:uiPriority w:val="34"/>
    <w:pPr>
      <w:ind w:firstLine="420" w:firstLineChars="200"/>
    </w:pPr>
  </w:style>
  <w:style w:type="character" w:customStyle="1" w:styleId="11">
    <w:name w:val="页眉 字符"/>
    <w:basedOn w:val="9"/>
    <w:link w:val="6"/>
    <w:uiPriority w:val="0"/>
    <w:rPr>
      <w:kern w:val="2"/>
      <w:sz w:val="18"/>
      <w:szCs w:val="18"/>
    </w:rPr>
  </w:style>
  <w:style w:type="character" w:customStyle="1" w:styleId="12">
    <w:name w:val="页脚 字符"/>
    <w:basedOn w:val="9"/>
    <w:link w:val="5"/>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6824</Words>
  <Characters>7028</Characters>
  <Lines>51</Lines>
  <Paragraphs>14</Paragraphs>
  <TotalTime>11</TotalTime>
  <ScaleCrop>false</ScaleCrop>
  <LinksUpToDate>false</LinksUpToDate>
  <CharactersWithSpaces>7045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2025-01-23T01:08:00Z</dcterms:created>
  <dc:creator>hongxh</dc:creator>
  <cp:lastModifiedBy>小金</cp:lastModifiedBy>
  <dcterms:modified xsi:type="dcterms:W3CDTF">2025-05-08T07:00:43Z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45F33E5890C341F0856085EE26F915C4</vt:lpwstr>
  </property>
  <property fmtid="{D5CDD505-2E9C-101B-9397-08002B2CF9AE}" pid="4" name="KSOTemplateDocerSaveRecord">
    <vt:lpwstr>eyJoZGlkIjoiN2YzNjBkOTgyNWQ1YTMxYzM3MzMwNWFiODNmOWIzYWMiLCJ1c2VySWQiOiIyODAxMTcyNjYifQ==</vt:lpwstr>
  </property>
</Properties>
</file>