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cs="黑体"/>
          <w:b/>
          <w:color w:val="000000" w:themeColor="text1"/>
          <w:sz w:val="32"/>
          <w:szCs w:val="32"/>
          <w14:textFill>
            <w14:solidFill>
              <w14:schemeClr w14:val="tx1"/>
            </w14:solidFill>
          </w14:textFill>
        </w:rPr>
      </w:pPr>
      <w:r>
        <w:rPr>
          <w:rFonts w:hint="eastAsia" w:ascii="黑体" w:hAnsi="黑体" w:eastAsia="黑体" w:cs="黑体"/>
          <w:b/>
          <w:color w:val="000000" w:themeColor="text1"/>
          <w:sz w:val="44"/>
          <w:szCs w:val="44"/>
          <w14:textFill>
            <w14:solidFill>
              <w14:schemeClr w14:val="tx1"/>
            </w14:solidFill>
          </w14:textFill>
        </w:rPr>
        <w:t xml:space="preserve">    服务类项目采购需求模板（通用）</w:t>
      </w:r>
    </w:p>
    <w:tbl>
      <w:tblPr>
        <w:tblStyle w:val="8"/>
        <w:tblW w:w="896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0"/>
        <w:gridCol w:w="850"/>
        <w:gridCol w:w="2930"/>
        <w:gridCol w:w="1366"/>
        <w:gridCol w:w="2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trPr>
        <w:tc>
          <w:tcPr>
            <w:tcW w:w="1560" w:type="dxa"/>
            <w:vAlign w:val="center"/>
          </w:tcPr>
          <w:p>
            <w:pPr>
              <w:jc w:val="left"/>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b/>
                <w:color w:val="000000" w:themeColor="text1"/>
                <w:szCs w:val="21"/>
                <w14:textFill>
                  <w14:solidFill>
                    <w14:schemeClr w14:val="tx1"/>
                  </w14:solidFill>
                </w14:textFill>
              </w:rPr>
              <w:t>*</w:t>
            </w:r>
            <w:r>
              <w:rPr>
                <w:rFonts w:hint="eastAsia" w:ascii="仿宋" w:hAnsi="仿宋" w:eastAsia="仿宋" w:cs="仿宋"/>
                <w:color w:val="000000" w:themeColor="text1"/>
                <w:szCs w:val="21"/>
                <w14:textFill>
                  <w14:solidFill>
                    <w14:schemeClr w14:val="tx1"/>
                  </w14:solidFill>
                </w14:textFill>
              </w:rPr>
              <w:t>项目名称</w:t>
            </w:r>
          </w:p>
        </w:tc>
        <w:tc>
          <w:tcPr>
            <w:tcW w:w="7407" w:type="dxa"/>
            <w:gridSpan w:val="4"/>
            <w:vAlign w:val="center"/>
          </w:tcPr>
          <w:p>
            <w:pPr>
              <w:jc w:val="left"/>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szCs w:val="21"/>
              </w:rPr>
              <w:t>深圳市妥善处置闲置存量土地优化盘活路径与重点项目清单式管理跟踪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1560" w:type="dxa"/>
            <w:vAlign w:val="center"/>
          </w:tcPr>
          <w:p>
            <w:pPr>
              <w:jc w:val="left"/>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b/>
                <w:color w:val="000000" w:themeColor="text1"/>
                <w:szCs w:val="21"/>
                <w14:textFill>
                  <w14:solidFill>
                    <w14:schemeClr w14:val="tx1"/>
                  </w14:solidFill>
                </w14:textFill>
              </w:rPr>
              <w:t>*</w:t>
            </w:r>
            <w:r>
              <w:rPr>
                <w:rFonts w:hint="eastAsia" w:ascii="仿宋" w:hAnsi="仿宋" w:eastAsia="仿宋" w:cs="仿宋"/>
                <w:color w:val="000000" w:themeColor="text1"/>
                <w:szCs w:val="21"/>
                <w14:textFill>
                  <w14:solidFill>
                    <w14:schemeClr w14:val="tx1"/>
                  </w14:solidFill>
                </w14:textFill>
              </w:rPr>
              <w:t>采购人名称</w:t>
            </w:r>
          </w:p>
        </w:tc>
        <w:tc>
          <w:tcPr>
            <w:tcW w:w="3780" w:type="dxa"/>
            <w:gridSpan w:val="2"/>
            <w:vAlign w:val="center"/>
          </w:tcPr>
          <w:p>
            <w:pPr>
              <w:jc w:val="left"/>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szCs w:val="21"/>
              </w:rPr>
              <w:t>深圳市规划和自然资源局</w:t>
            </w:r>
          </w:p>
        </w:tc>
        <w:tc>
          <w:tcPr>
            <w:tcW w:w="1366" w:type="dxa"/>
            <w:vAlign w:val="center"/>
          </w:tcPr>
          <w:p>
            <w:pPr>
              <w:jc w:val="left"/>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b/>
                <w:color w:val="000000" w:themeColor="text1"/>
                <w:szCs w:val="21"/>
                <w14:textFill>
                  <w14:solidFill>
                    <w14:schemeClr w14:val="tx1"/>
                  </w14:solidFill>
                </w14:textFill>
              </w:rPr>
              <w:t>*</w:t>
            </w:r>
            <w:r>
              <w:rPr>
                <w:rFonts w:hint="eastAsia" w:ascii="仿宋" w:hAnsi="仿宋" w:eastAsia="仿宋" w:cs="仿宋"/>
                <w:color w:val="000000" w:themeColor="text1"/>
                <w:szCs w:val="21"/>
                <w14:textFill>
                  <w14:solidFill>
                    <w14:schemeClr w14:val="tx1"/>
                  </w14:solidFill>
                </w14:textFill>
              </w:rPr>
              <w:t>采购方式</w:t>
            </w:r>
          </w:p>
        </w:tc>
        <w:tc>
          <w:tcPr>
            <w:tcW w:w="2261" w:type="dxa"/>
            <w:vAlign w:val="center"/>
          </w:tcPr>
          <w:p>
            <w:pPr>
              <w:jc w:val="left"/>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szCs w:val="21"/>
              </w:rPr>
              <w:t>集中采购（单一来源采购）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1560" w:type="dxa"/>
            <w:vAlign w:val="center"/>
          </w:tcPr>
          <w:p>
            <w:pPr>
              <w:jc w:val="left"/>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计划立项批文号</w:t>
            </w:r>
          </w:p>
        </w:tc>
        <w:tc>
          <w:tcPr>
            <w:tcW w:w="3780" w:type="dxa"/>
            <w:gridSpan w:val="2"/>
            <w:vAlign w:val="center"/>
          </w:tcPr>
          <w:p>
            <w:pPr>
              <w:jc w:val="left"/>
              <w:rPr>
                <w:rFonts w:ascii="仿宋" w:hAnsi="仿宋" w:eastAsia="仿宋" w:cs="仿宋"/>
                <w:color w:val="000000" w:themeColor="text1"/>
                <w:szCs w:val="21"/>
                <w14:textFill>
                  <w14:solidFill>
                    <w14:schemeClr w14:val="tx1"/>
                  </w14:solidFill>
                </w14:textFill>
              </w:rPr>
            </w:pPr>
          </w:p>
        </w:tc>
        <w:tc>
          <w:tcPr>
            <w:tcW w:w="1366" w:type="dxa"/>
            <w:vAlign w:val="center"/>
          </w:tcPr>
          <w:p>
            <w:pPr>
              <w:jc w:val="left"/>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b/>
                <w:color w:val="000000" w:themeColor="text1"/>
                <w:szCs w:val="21"/>
                <w14:textFill>
                  <w14:solidFill>
                    <w14:schemeClr w14:val="tx1"/>
                  </w14:solidFill>
                </w14:textFill>
              </w:rPr>
              <w:t>*</w:t>
            </w:r>
            <w:r>
              <w:rPr>
                <w:rFonts w:hint="eastAsia" w:ascii="仿宋" w:hAnsi="仿宋" w:eastAsia="仿宋" w:cs="仿宋"/>
                <w:color w:val="000000" w:themeColor="text1"/>
                <w:szCs w:val="21"/>
                <w14:textFill>
                  <w14:solidFill>
                    <w14:schemeClr w14:val="tx1"/>
                  </w14:solidFill>
                </w14:textFill>
              </w:rPr>
              <w:t>资金来源</w:t>
            </w:r>
          </w:p>
        </w:tc>
        <w:tc>
          <w:tcPr>
            <w:tcW w:w="2261" w:type="dxa"/>
            <w:vAlign w:val="center"/>
          </w:tcPr>
          <w:p>
            <w:pPr>
              <w:jc w:val="left"/>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szCs w:val="21"/>
              </w:rPr>
              <w:t>一般公共预算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1560" w:type="dxa"/>
            <w:vAlign w:val="center"/>
          </w:tcPr>
          <w:p>
            <w:pPr>
              <w:jc w:val="left"/>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b/>
                <w:color w:val="000000" w:themeColor="text1"/>
                <w:szCs w:val="21"/>
                <w14:textFill>
                  <w14:solidFill>
                    <w14:schemeClr w14:val="tx1"/>
                  </w14:solidFill>
                </w14:textFill>
              </w:rPr>
              <w:t>*</w:t>
            </w:r>
            <w:r>
              <w:rPr>
                <w:rFonts w:hint="eastAsia" w:ascii="仿宋" w:hAnsi="仿宋" w:eastAsia="仿宋" w:cs="仿宋"/>
                <w:color w:val="000000" w:themeColor="text1"/>
                <w:szCs w:val="21"/>
                <w14:textFill>
                  <w14:solidFill>
                    <w14:schemeClr w14:val="tx1"/>
                  </w14:solidFill>
                </w14:textFill>
              </w:rPr>
              <w:t>财政预算限额（元）</w:t>
            </w:r>
          </w:p>
        </w:tc>
        <w:tc>
          <w:tcPr>
            <w:tcW w:w="3780" w:type="dxa"/>
            <w:gridSpan w:val="2"/>
            <w:vAlign w:val="center"/>
          </w:tcPr>
          <w:p>
            <w:pPr>
              <w:jc w:val="left"/>
              <w:rPr>
                <w:rFonts w:ascii="仿宋" w:hAnsi="仿宋" w:eastAsia="仿宋" w:cs="仿宋"/>
                <w:color w:val="000000" w:themeColor="text1"/>
                <w:szCs w:val="21"/>
                <w14:textFill>
                  <w14:solidFill>
                    <w14:schemeClr w14:val="tx1"/>
                  </w14:solidFill>
                </w14:textFill>
              </w:rPr>
            </w:pPr>
            <w:r>
              <w:rPr>
                <w:rFonts w:ascii="仿宋" w:hAnsi="仿宋" w:eastAsia="仿宋" w:cs="仿宋"/>
                <w:szCs w:val="21"/>
              </w:rPr>
              <w:t>1,080,000</w:t>
            </w:r>
          </w:p>
        </w:tc>
        <w:tc>
          <w:tcPr>
            <w:tcW w:w="1366" w:type="dxa"/>
            <w:vAlign w:val="center"/>
          </w:tcPr>
          <w:p>
            <w:pPr>
              <w:jc w:val="left"/>
              <w:rPr>
                <w:rFonts w:ascii="仿宋" w:hAnsi="仿宋" w:eastAsia="仿宋" w:cs="仿宋"/>
                <w:color w:val="000000" w:themeColor="text1"/>
                <w:szCs w:val="21"/>
                <w14:textFill>
                  <w14:solidFill>
                    <w14:schemeClr w14:val="tx1"/>
                  </w14:solidFill>
                </w14:textFill>
              </w:rPr>
            </w:pPr>
          </w:p>
        </w:tc>
        <w:tc>
          <w:tcPr>
            <w:tcW w:w="2261" w:type="dxa"/>
            <w:vAlign w:val="center"/>
          </w:tcPr>
          <w:p>
            <w:pPr>
              <w:jc w:val="left"/>
              <w:rPr>
                <w:rFonts w:ascii="仿宋" w:hAnsi="仿宋" w:eastAsia="仿宋"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trPr>
        <w:tc>
          <w:tcPr>
            <w:tcW w:w="1560" w:type="dxa"/>
            <w:vAlign w:val="center"/>
          </w:tcPr>
          <w:p>
            <w:pPr>
              <w:jc w:val="left"/>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项目背景</w:t>
            </w:r>
          </w:p>
        </w:tc>
        <w:tc>
          <w:tcPr>
            <w:tcW w:w="7407" w:type="dxa"/>
            <w:gridSpan w:val="4"/>
            <w:vAlign w:val="center"/>
          </w:tcPr>
          <w:p>
            <w:pPr>
              <w:ind w:firstLine="421" w:firstLineChars="200"/>
              <w:jc w:val="left"/>
              <w:rPr>
                <w:rFonts w:ascii="仿宋" w:hAnsi="仿宋" w:eastAsia="仿宋" w:cs="仿宋"/>
                <w:szCs w:val="21"/>
              </w:rPr>
            </w:pPr>
            <w:r>
              <w:rPr>
                <w:rFonts w:hint="eastAsia" w:ascii="仿宋" w:hAnsi="仿宋" w:eastAsia="仿宋" w:cs="仿宋"/>
                <w:b/>
                <w:bCs/>
                <w:szCs w:val="21"/>
              </w:rPr>
              <w:t>贯彻落实党中央关于妥善处置闲置存量土地的决策部署，防范化解重点领域风险。</w:t>
            </w:r>
            <w:r>
              <w:rPr>
                <w:rFonts w:hint="eastAsia" w:ascii="仿宋" w:hAnsi="仿宋" w:eastAsia="仿宋" w:cs="仿宋"/>
                <w:szCs w:val="21"/>
              </w:rPr>
              <w:t>5月17日，全国切实做好保交房工作视频会议在北京召开。何立峰副总理指出，“深刻认识房地产工作的人民性、政治性”，“相关地方政府应从实际出发，酌情以收回、收购等方式妥善处置已出让的闲置存量住宅用地，以帮助资金困难房企解困”。党中央高度重视妥善处置闲置存量土地工作，明确现阶段要着眼处置闲置存量土地等突出问题，完善相关政策，加大工作力度，切实维护购房者合法权益，稳定市场预期，为下一步全面解决房地产问题、构建房地产发展新模式打好基础。6月14日，自然资源部联合国家发展改革委印发《关于妥善处置闲置存量土地若干政策措施的通知》（自然资发〔2024〕104号，以下简称104号文），针对当前盘活房地产存量土地存在的利用难、转让难、收回难等问题，出台了系列政策措施，并对各地进一步落实好文件提出明确要求。政策有效期至2027年12月31日。</w:t>
            </w:r>
          </w:p>
          <w:p>
            <w:pPr>
              <w:ind w:firstLine="421" w:firstLineChars="200"/>
              <w:jc w:val="left"/>
              <w:rPr>
                <w:rFonts w:ascii="仿宋" w:hAnsi="仿宋" w:eastAsia="仿宋" w:cs="仿宋"/>
                <w:szCs w:val="21"/>
              </w:rPr>
            </w:pPr>
            <w:r>
              <w:rPr>
                <w:rFonts w:hint="eastAsia" w:ascii="仿宋" w:hAnsi="仿宋" w:eastAsia="仿宋" w:cs="仿宋"/>
                <w:b/>
                <w:bCs/>
                <w:szCs w:val="21"/>
              </w:rPr>
              <w:t>促进节约集约用地，实现高质量发展。</w:t>
            </w:r>
            <w:r>
              <w:rPr>
                <w:rFonts w:hint="eastAsia" w:ascii="仿宋" w:hAnsi="仿宋" w:eastAsia="仿宋" w:cs="仿宋"/>
                <w:szCs w:val="21"/>
              </w:rPr>
              <w:t>我国资源禀赋和人口规模决定了必须坚持节约优化战略，只有严格落实党中央提出的节约集约制度，通过严控增量、盘活存量，才能实现土地资源永续利用。党的十八大以来，习近平总书记多次对节约集约用地作出重要指示批示，早在2013年中央城镇化工作会议上，习近平总书记就指出城镇建设用地特别是优化开发的三大城市群地区，要以盘活存量为主，不能再无节制扩大建设用地。加大力度盘活闲置存量土地，是促进我市土地节约集约利用、实现高质量发展的客观要求。</w:t>
            </w:r>
          </w:p>
          <w:p>
            <w:pPr>
              <w:jc w:val="left"/>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szCs w:val="21"/>
              </w:rPr>
              <w:t>在当前房地产市场供求关系已发生深刻变化的背景下，为结合我市实际，充分利用104号文有关政策工具，着眼当前最重要的闲置存量房地产用地盘活处置工作，积极做好“一地块一策”处置跟踪工作，有必要开展闲置存量房地产用地优化盘活路径与清单式跟踪评估等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560" w:type="dxa"/>
            <w:vAlign w:val="center"/>
          </w:tcPr>
          <w:p>
            <w:pPr>
              <w:jc w:val="left"/>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项目前期设计、规划论证单位</w:t>
            </w:r>
          </w:p>
        </w:tc>
        <w:tc>
          <w:tcPr>
            <w:tcW w:w="7407" w:type="dxa"/>
            <w:gridSpan w:val="4"/>
            <w:vAlign w:val="center"/>
          </w:tcPr>
          <w:p>
            <w:pPr>
              <w:jc w:val="left"/>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szCs w:val="21"/>
              </w:rPr>
              <w:t>深圳市规划国土发展研究中心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1560" w:type="dxa"/>
            <w:vAlign w:val="center"/>
          </w:tcPr>
          <w:p>
            <w:pPr>
              <w:jc w:val="center"/>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投标人资质要求</w:t>
            </w:r>
          </w:p>
        </w:tc>
        <w:tc>
          <w:tcPr>
            <w:tcW w:w="7407" w:type="dxa"/>
            <w:gridSpan w:val="4"/>
          </w:tcPr>
          <w:p>
            <w:pPr>
              <w:jc w:val="left"/>
              <w:rPr>
                <w:rFonts w:ascii="仿宋" w:hAnsi="仿宋" w:eastAsia="仿宋" w:cs="仿宋"/>
                <w:b/>
                <w:color w:val="000000" w:themeColor="text1"/>
                <w:kern w:val="0"/>
                <w:szCs w:val="21"/>
                <w14:textFill>
                  <w14:solidFill>
                    <w14:schemeClr w14:val="tx1"/>
                  </w14:solidFill>
                </w14:textFill>
              </w:rPr>
            </w:pPr>
            <w:r>
              <w:rPr>
                <w:rFonts w:hint="eastAsia" w:ascii="仿宋" w:hAnsi="仿宋" w:eastAsia="仿宋" w:cs="仿宋"/>
                <w:b/>
                <w:color w:val="000000" w:themeColor="text1"/>
                <w:kern w:val="0"/>
                <w:szCs w:val="21"/>
                <w14:textFill>
                  <w14:solidFill>
                    <w14:schemeClr w14:val="tx1"/>
                  </w14:solidFill>
                </w14:textFill>
              </w:rPr>
              <w:t>注意：采购人根据项目所需提供明确、具体的资质要求，资质要求的内容必须与项目等级相匹配且符合相关法律规定。（设置的投标人资格要求必须提交有法律法规依据的证明文件，且不具备倾向性）</w:t>
            </w:r>
          </w:p>
          <w:p>
            <w:pPr>
              <w:jc w:val="left"/>
              <w:rPr>
                <w:rFonts w:ascii="仿宋" w:hAnsi="仿宋" w:eastAsia="仿宋" w:cs="仿宋"/>
                <w:kern w:val="0"/>
                <w:szCs w:val="21"/>
              </w:rPr>
            </w:pPr>
            <w:r>
              <w:rPr>
                <w:rFonts w:hint="eastAsia" w:ascii="仿宋" w:hAnsi="仿宋" w:eastAsia="仿宋" w:cs="仿宋"/>
                <w:kern w:val="0"/>
                <w:szCs w:val="21"/>
              </w:rPr>
              <w:t>1）具有独立法人资格；</w:t>
            </w:r>
          </w:p>
          <w:p>
            <w:pPr>
              <w:jc w:val="left"/>
              <w:rPr>
                <w:rFonts w:ascii="仿宋" w:hAnsi="仿宋" w:eastAsia="仿宋" w:cs="仿宋"/>
                <w:kern w:val="0"/>
                <w:szCs w:val="21"/>
              </w:rPr>
            </w:pPr>
            <w:r>
              <w:rPr>
                <w:rFonts w:hint="eastAsia" w:ascii="仿宋" w:hAnsi="仿宋" w:eastAsia="仿宋" w:cs="仿宋"/>
                <w:kern w:val="0"/>
                <w:szCs w:val="21"/>
              </w:rPr>
              <w:t>2）本项目不接受联合体投标，不允许分包、转包。</w:t>
            </w:r>
          </w:p>
          <w:p>
            <w:pPr>
              <w:jc w:val="left"/>
              <w:rPr>
                <w:rFonts w:ascii="仿宋" w:hAnsi="仿宋" w:eastAsia="仿宋" w:cs="仿宋"/>
                <w:kern w:val="0"/>
                <w:szCs w:val="21"/>
              </w:rPr>
            </w:pPr>
            <w:r>
              <w:rPr>
                <w:rFonts w:hint="eastAsia" w:ascii="仿宋" w:hAnsi="仿宋" w:eastAsia="仿宋" w:cs="仿宋"/>
                <w:kern w:val="0"/>
                <w:szCs w:val="21"/>
              </w:rPr>
              <w:t>3）参与本项目投标前三年内，在经营活动中没有重大违法记录（由供应商在《政府采购投标及履约承诺函》中作出声明）。</w:t>
            </w:r>
          </w:p>
          <w:p>
            <w:pPr>
              <w:jc w:val="left"/>
              <w:rPr>
                <w:rFonts w:ascii="仿宋" w:hAnsi="仿宋" w:eastAsia="仿宋" w:cs="仿宋"/>
                <w:kern w:val="0"/>
                <w:szCs w:val="21"/>
              </w:rPr>
            </w:pPr>
            <w:r>
              <w:rPr>
                <w:rFonts w:hint="eastAsia" w:ascii="仿宋" w:hAnsi="仿宋" w:eastAsia="仿宋" w:cs="仿宋"/>
                <w:kern w:val="0"/>
                <w:szCs w:val="21"/>
              </w:rPr>
              <w:t>4）参与本项目政府采购活动时不存在被有关部门禁止参与政府采购活动且在有效期内的情况（由供应商在《政府采购投标及履约承诺函》中作出声明）。</w:t>
            </w:r>
          </w:p>
          <w:p>
            <w:pPr>
              <w:jc w:val="left"/>
              <w:rPr>
                <w:rFonts w:ascii="仿宋" w:hAnsi="仿宋" w:eastAsia="仿宋" w:cs="仿宋"/>
                <w:kern w:val="0"/>
                <w:szCs w:val="21"/>
              </w:rPr>
            </w:pPr>
            <w:r>
              <w:rPr>
                <w:rFonts w:hint="eastAsia" w:ascii="仿宋" w:hAnsi="仿宋" w:eastAsia="仿宋" w:cs="仿宋"/>
                <w:kern w:val="0"/>
                <w:szCs w:val="21"/>
              </w:rPr>
              <w:t>5）具备《中华人民共和国政府采购法》第二十二条第一款的条件（由供应商在《政府采购投标及履约承诺函》中作出声明）。</w:t>
            </w:r>
          </w:p>
          <w:p>
            <w:pPr>
              <w:jc w:val="left"/>
              <w:rPr>
                <w:rFonts w:ascii="仿宋" w:hAnsi="仿宋" w:eastAsia="仿宋" w:cs="仿宋"/>
                <w:kern w:val="0"/>
                <w:szCs w:val="21"/>
              </w:rPr>
            </w:pPr>
            <w:r>
              <w:rPr>
                <w:rFonts w:hint="eastAsia" w:ascii="仿宋" w:hAnsi="仿宋" w:eastAsia="仿宋" w:cs="仿宋"/>
                <w:kern w:val="0"/>
                <w:szCs w:val="21"/>
              </w:rPr>
              <w:t>6）未被列入失信被执行人、重大税收违法案件当事人名单、政府采购严重违法失信行为记录名单（由供应商在《政府采购投标及履约承诺函》中作出声明）。</w:t>
            </w:r>
          </w:p>
          <w:p>
            <w:pPr>
              <w:jc w:val="left"/>
              <w:rPr>
                <w:rFonts w:ascii="仿宋" w:hAnsi="仿宋" w:eastAsia="仿宋" w:cs="仿宋"/>
                <w:b/>
                <w:color w:val="000000" w:themeColor="text1"/>
                <w:kern w:val="0"/>
                <w:szCs w:val="21"/>
                <w14:textFill>
                  <w14:solidFill>
                    <w14:schemeClr w14:val="tx1"/>
                  </w14:solidFill>
                </w14:textFill>
              </w:rPr>
            </w:pPr>
            <w:r>
              <w:rPr>
                <w:rFonts w:hint="eastAsia" w:ascii="仿宋" w:hAnsi="仿宋" w:eastAsia="仿宋" w:cs="仿宋"/>
                <w:kern w:val="0"/>
                <w:szCs w:val="21"/>
              </w:rPr>
              <w:t>注：“信用中国”、“中国政府采购网”、“深圳信用网”以及“深圳市政府采购监管网”为供应商信用信息的查询渠道，相关信息以开标当日的查询结果为准。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trPr>
        <w:tc>
          <w:tcPr>
            <w:tcW w:w="1560" w:type="dxa"/>
            <w:vAlign w:val="center"/>
          </w:tcPr>
          <w:p>
            <w:pPr>
              <w:jc w:val="center"/>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bCs/>
                <w:color w:val="000000" w:themeColor="text1"/>
                <w:szCs w:val="21"/>
                <w14:textFill>
                  <w14:solidFill>
                    <w14:schemeClr w14:val="tx1"/>
                  </w14:solidFill>
                </w14:textFill>
              </w:rPr>
              <w:t>需求内容</w:t>
            </w:r>
          </w:p>
        </w:tc>
        <w:tc>
          <w:tcPr>
            <w:tcW w:w="7407" w:type="dxa"/>
            <w:gridSpan w:val="4"/>
          </w:tcPr>
          <w:p>
            <w:pPr>
              <w:jc w:val="left"/>
              <w:rPr>
                <w:rFonts w:ascii="仿宋" w:hAnsi="仿宋" w:eastAsia="仿宋" w:cs="仿宋"/>
                <w:b/>
                <w:szCs w:val="21"/>
              </w:rPr>
            </w:pPr>
            <w:r>
              <w:rPr>
                <w:rFonts w:hint="eastAsia" w:ascii="仿宋" w:hAnsi="仿宋" w:eastAsia="仿宋" w:cs="仿宋"/>
                <w:b/>
                <w:szCs w:val="21"/>
              </w:rPr>
              <w:t>*</w:t>
            </w:r>
            <w:r>
              <w:rPr>
                <w:rFonts w:hint="eastAsia" w:ascii="仿宋" w:hAnsi="仿宋" w:eastAsia="仿宋" w:cs="仿宋"/>
                <w:b/>
                <w:bCs/>
                <w:szCs w:val="21"/>
              </w:rPr>
              <w:t>1、</w:t>
            </w:r>
            <w:r>
              <w:rPr>
                <w:rFonts w:hint="eastAsia" w:ascii="仿宋" w:hAnsi="仿宋" w:eastAsia="仿宋" w:cs="仿宋"/>
                <w:b/>
                <w:szCs w:val="21"/>
              </w:rPr>
              <w:t>报价要求（明确分项报价要求）</w:t>
            </w:r>
          </w:p>
          <w:p>
            <w:pPr>
              <w:widowControl/>
              <w:spacing w:line="340" w:lineRule="exact"/>
              <w:jc w:val="left"/>
              <w:rPr>
                <w:rFonts w:ascii="仿宋" w:hAnsi="仿宋" w:eastAsia="仿宋" w:cs="宋体"/>
                <w:szCs w:val="21"/>
              </w:rPr>
            </w:pPr>
            <w:r>
              <w:rPr>
                <w:rFonts w:hint="eastAsia" w:ascii="仿宋" w:hAnsi="仿宋" w:eastAsia="仿宋" w:cs="宋体"/>
                <w:kern w:val="0"/>
                <w:szCs w:val="21"/>
              </w:rPr>
              <w:t>（1）本项目服务费采用包干制，应包括服务成本、法定税费和企业的利润。由企业根据招标文件所提供的资料自行测算投标报价；一经中标，投标报价总价作为中标单位与采购人签定的合同金额，合同期限内不做调整。</w:t>
            </w:r>
          </w:p>
          <w:p>
            <w:pPr>
              <w:widowControl/>
              <w:spacing w:line="340" w:lineRule="exact"/>
              <w:jc w:val="left"/>
              <w:rPr>
                <w:rFonts w:ascii="仿宋" w:hAnsi="仿宋" w:eastAsia="仿宋" w:cs="宋体"/>
                <w:szCs w:val="21"/>
              </w:rPr>
            </w:pPr>
            <w:r>
              <w:rPr>
                <w:rFonts w:hint="eastAsia" w:ascii="仿宋" w:hAnsi="仿宋" w:eastAsia="仿宋" w:cs="宋体"/>
                <w:kern w:val="0"/>
                <w:szCs w:val="21"/>
              </w:rPr>
              <w:t>（2）投标人应根据本企业的成本自行决定报价，但不得以低于其企业成本的报价投标；评标时，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widowControl/>
              <w:spacing w:line="340" w:lineRule="exact"/>
              <w:jc w:val="left"/>
              <w:rPr>
                <w:rFonts w:ascii="仿宋" w:hAnsi="仿宋" w:eastAsia="仿宋" w:cs="宋体"/>
                <w:szCs w:val="21"/>
              </w:rPr>
            </w:pPr>
            <w:r>
              <w:rPr>
                <w:rFonts w:hint="eastAsia" w:ascii="仿宋" w:hAnsi="仿宋" w:eastAsia="仿宋" w:cs="宋体"/>
                <w:kern w:val="0"/>
                <w:szCs w:val="21"/>
              </w:rPr>
              <w:t>（3）投标单位提供报价详细清单。</w:t>
            </w:r>
          </w:p>
          <w:p>
            <w:pPr>
              <w:widowControl/>
              <w:spacing w:line="340" w:lineRule="exact"/>
              <w:jc w:val="left"/>
              <w:rPr>
                <w:rFonts w:ascii="仿宋" w:hAnsi="仿宋" w:eastAsia="仿宋" w:cs="宋体"/>
                <w:szCs w:val="21"/>
              </w:rPr>
            </w:pPr>
            <w:r>
              <w:rPr>
                <w:rFonts w:hint="eastAsia" w:ascii="仿宋" w:hAnsi="仿宋" w:eastAsia="仿宋"/>
                <w:bCs/>
                <w:szCs w:val="21"/>
              </w:rPr>
              <w:t>（</w:t>
            </w:r>
            <w:r>
              <w:rPr>
                <w:rFonts w:hint="eastAsia" w:ascii="仿宋" w:hAnsi="仿宋" w:eastAsia="仿宋" w:cs="宋体"/>
                <w:kern w:val="0"/>
                <w:szCs w:val="21"/>
              </w:rPr>
              <w:t>4</w:t>
            </w:r>
            <w:r>
              <w:rPr>
                <w:rFonts w:hint="eastAsia" w:ascii="仿宋" w:hAnsi="仿宋" w:eastAsia="仿宋"/>
                <w:bCs/>
                <w:szCs w:val="21"/>
              </w:rPr>
              <w:t>）在合同实施期间，服务费用不随国家政策或法规、标准及市场因素的变化而进行调整。</w:t>
            </w:r>
          </w:p>
          <w:p>
            <w:pPr>
              <w:widowControl/>
              <w:spacing w:line="340" w:lineRule="exact"/>
              <w:jc w:val="left"/>
              <w:rPr>
                <w:rFonts w:ascii="仿宋" w:hAnsi="仿宋" w:eastAsia="仿宋" w:cs="宋体"/>
                <w:szCs w:val="21"/>
              </w:rPr>
            </w:pPr>
            <w:r>
              <w:rPr>
                <w:rFonts w:hint="eastAsia" w:ascii="仿宋" w:hAnsi="仿宋" w:eastAsia="仿宋" w:cs="宋体"/>
                <w:kern w:val="0"/>
                <w:szCs w:val="21"/>
              </w:rPr>
              <w:t>（5）投标人的投标报价，应是本项目招标范围和招标文件及合同条款上所列的各项内容中所述的全部，不得以任何理由予以重复，并以投标人在投标文件中提出的综合单价或总价为依据。</w:t>
            </w:r>
          </w:p>
          <w:p>
            <w:pPr>
              <w:widowControl/>
              <w:spacing w:line="340" w:lineRule="exact"/>
              <w:jc w:val="left"/>
              <w:rPr>
                <w:rFonts w:ascii="仿宋" w:hAnsi="仿宋" w:eastAsia="仿宋" w:cs="宋体"/>
                <w:szCs w:val="21"/>
              </w:rPr>
            </w:pPr>
            <w:r>
              <w:rPr>
                <w:rFonts w:hint="eastAsia" w:ascii="仿宋" w:hAnsi="仿宋" w:eastAsia="仿宋" w:cs="宋体"/>
                <w:kern w:val="0"/>
                <w:szCs w:val="21"/>
              </w:rPr>
              <w:t>（6）例外地按招标文件所列的清单中项目和数量填报综合单价或总价。投标人未填综合单价或总价的项目，在实施后，将不得以支付，并视作该项费用已包括在其它有价款的综合单价或总价内。</w:t>
            </w:r>
          </w:p>
          <w:p>
            <w:pPr>
              <w:widowControl/>
              <w:spacing w:line="340" w:lineRule="exact"/>
              <w:jc w:val="left"/>
              <w:rPr>
                <w:rFonts w:ascii="仿宋" w:hAnsi="仿宋" w:eastAsia="仿宋" w:cs="宋体"/>
                <w:szCs w:val="21"/>
              </w:rPr>
            </w:pPr>
            <w:r>
              <w:rPr>
                <w:rFonts w:hint="eastAsia" w:ascii="仿宋" w:hAnsi="仿宋" w:eastAsia="仿宋" w:cs="宋体"/>
                <w:kern w:val="0"/>
                <w:szCs w:val="21"/>
              </w:rPr>
              <w:t>（7）投标人应充分了解项目的位置、情况、道路及任何其它足以影响投标报价的情况，任何因忽视或误解项目情况而导致的索赔或服务期限延长申请将不获批准。</w:t>
            </w:r>
          </w:p>
          <w:p>
            <w:pPr>
              <w:jc w:val="left"/>
              <w:rPr>
                <w:rFonts w:ascii="仿宋" w:hAnsi="仿宋" w:eastAsia="仿宋" w:cs="仿宋"/>
                <w:szCs w:val="21"/>
              </w:rPr>
            </w:pPr>
            <w:r>
              <w:rPr>
                <w:rFonts w:hint="eastAsia" w:ascii="仿宋" w:hAnsi="仿宋" w:eastAsia="仿宋" w:cs="宋体"/>
                <w:kern w:val="0"/>
                <w:szCs w:val="21"/>
              </w:rPr>
              <w:t>（8）投标人不得期望通过索赔等方式获取补偿，否则，除可能遭到拒绝外，还可能将被作为不良行为记录在案，并可能影响其以后参加政府采购的项目投标。各投标人在投标报价时，应充分考虑投标报价的风险。</w:t>
            </w:r>
          </w:p>
          <w:p>
            <w:pPr>
              <w:jc w:val="left"/>
              <w:rPr>
                <w:rFonts w:ascii="仿宋" w:hAnsi="仿宋" w:eastAsia="仿宋" w:cs="仿宋"/>
                <w:b/>
                <w:szCs w:val="21"/>
              </w:rPr>
            </w:pPr>
            <w:r>
              <w:rPr>
                <w:rFonts w:hint="eastAsia" w:ascii="仿宋" w:hAnsi="仿宋" w:eastAsia="仿宋" w:cs="仿宋"/>
                <w:b/>
                <w:szCs w:val="21"/>
              </w:rPr>
              <w:t>*2、付款方式</w:t>
            </w:r>
          </w:p>
          <w:p>
            <w:pPr>
              <w:ind w:firstLine="420" w:firstLineChars="200"/>
              <w:rPr>
                <w:rFonts w:ascii="仿宋" w:hAnsi="仿宋" w:eastAsia="仿宋" w:cs="仿宋_GB2312"/>
                <w:kern w:val="0"/>
                <w:szCs w:val="21"/>
              </w:rPr>
            </w:pPr>
            <w:r>
              <w:rPr>
                <w:rFonts w:hint="eastAsia" w:ascii="仿宋" w:hAnsi="仿宋" w:eastAsia="仿宋" w:cs="仿宋_GB2312"/>
                <w:kern w:val="0"/>
                <w:szCs w:val="21"/>
              </w:rPr>
              <w:t>本项目分三期支付合同款。</w:t>
            </w:r>
          </w:p>
          <w:p>
            <w:pPr>
              <w:ind w:firstLine="420" w:firstLineChars="200"/>
              <w:rPr>
                <w:rFonts w:ascii="仿宋" w:hAnsi="仿宋" w:eastAsia="仿宋" w:cs="仿宋_GB2312"/>
                <w:kern w:val="0"/>
                <w:szCs w:val="21"/>
              </w:rPr>
            </w:pPr>
            <w:r>
              <w:rPr>
                <w:rFonts w:hint="eastAsia" w:ascii="仿宋" w:hAnsi="仿宋" w:eastAsia="仿宋" w:cs="仿宋_GB2312"/>
                <w:kern w:val="0"/>
                <w:szCs w:val="21"/>
              </w:rPr>
              <w:t>首期款：自合同签订之日起20个工作日内提请付款，采购方按照合同要求支付中标方合同总价款的40%；</w:t>
            </w:r>
          </w:p>
          <w:p>
            <w:pPr>
              <w:ind w:firstLine="420" w:firstLineChars="200"/>
              <w:rPr>
                <w:rFonts w:ascii="仿宋" w:hAnsi="仿宋" w:eastAsia="仿宋" w:cs="仿宋_GB2312"/>
                <w:kern w:val="0"/>
                <w:szCs w:val="21"/>
              </w:rPr>
            </w:pPr>
            <w:r>
              <w:rPr>
                <w:rFonts w:hint="eastAsia" w:ascii="仿宋" w:hAnsi="仿宋" w:eastAsia="仿宋" w:cs="仿宋_GB2312"/>
                <w:kern w:val="0"/>
                <w:szCs w:val="21"/>
              </w:rPr>
              <w:t>二期款：中标方提交完成本项目课题初步成果，经采购方处室审查合格后，采购方按照合同要求支付中标方合同总价款的50%；</w:t>
            </w:r>
          </w:p>
          <w:p>
            <w:pPr>
              <w:jc w:val="left"/>
              <w:rPr>
                <w:rFonts w:ascii="仿宋" w:hAnsi="仿宋" w:eastAsia="仿宋" w:cs="仿宋_GB2312"/>
                <w:kern w:val="0"/>
                <w:szCs w:val="21"/>
              </w:rPr>
            </w:pPr>
            <w:r>
              <w:rPr>
                <w:rFonts w:hint="eastAsia" w:ascii="仿宋" w:hAnsi="仿宋" w:eastAsia="仿宋" w:cs="仿宋_GB2312"/>
                <w:kern w:val="0"/>
                <w:szCs w:val="21"/>
              </w:rPr>
              <w:t>尾款：中标方提交完成本项目课题全部成果，并通过采购方成果验收后，采购方按照合同要求支付中标方合同总价款的10%。</w:t>
            </w:r>
          </w:p>
          <w:p>
            <w:pPr>
              <w:jc w:val="left"/>
              <w:rPr>
                <w:rFonts w:ascii="仿宋" w:hAnsi="仿宋" w:eastAsia="仿宋" w:cs="仿宋"/>
                <w:b/>
                <w:szCs w:val="21"/>
              </w:rPr>
            </w:pPr>
            <w:r>
              <w:rPr>
                <w:rFonts w:hint="eastAsia" w:ascii="仿宋" w:hAnsi="仿宋" w:eastAsia="仿宋" w:cs="仿宋"/>
                <w:b/>
                <w:szCs w:val="21"/>
              </w:rPr>
              <w:t>*3、履约保证金</w:t>
            </w:r>
          </w:p>
          <w:p>
            <w:pPr>
              <w:ind w:firstLine="420" w:firstLineChars="200"/>
              <w:jc w:val="left"/>
              <w:rPr>
                <w:rFonts w:ascii="仿宋" w:hAnsi="仿宋" w:eastAsia="仿宋" w:cs="仿宋"/>
                <w:b/>
                <w:szCs w:val="21"/>
              </w:rPr>
            </w:pPr>
            <w:r>
              <w:rPr>
                <w:rFonts w:hint="eastAsia" w:ascii="仿宋" w:hAnsi="仿宋" w:eastAsia="仿宋"/>
                <w:szCs w:val="21"/>
              </w:rPr>
              <w:t>无。</w:t>
            </w:r>
          </w:p>
          <w:p>
            <w:pPr>
              <w:jc w:val="left"/>
              <w:rPr>
                <w:rFonts w:ascii="仿宋" w:hAnsi="仿宋" w:eastAsia="仿宋" w:cs="仿宋"/>
                <w:b/>
                <w:szCs w:val="21"/>
              </w:rPr>
            </w:pPr>
            <w:r>
              <w:rPr>
                <w:rFonts w:hint="eastAsia" w:ascii="仿宋" w:hAnsi="仿宋" w:eastAsia="仿宋" w:cs="仿宋"/>
                <w:b/>
                <w:szCs w:val="21"/>
              </w:rPr>
              <w:t>*4、违约责任</w:t>
            </w:r>
          </w:p>
          <w:p>
            <w:pPr>
              <w:ind w:firstLine="420" w:firstLineChars="200"/>
              <w:jc w:val="left"/>
              <w:rPr>
                <w:rFonts w:ascii="仿宋" w:hAnsi="仿宋" w:eastAsia="仿宋" w:cs="仿宋_GB2312"/>
                <w:szCs w:val="21"/>
              </w:rPr>
            </w:pPr>
            <w:r>
              <w:rPr>
                <w:rFonts w:hint="eastAsia" w:ascii="仿宋" w:hAnsi="仿宋" w:eastAsia="仿宋" w:cs="仿宋_GB2312"/>
                <w:szCs w:val="21"/>
              </w:rPr>
              <w:t xml:space="preserve">合同生效后，双方不得任意终止合同，否则赔偿对方合同总价款的10%作为违约金。 </w:t>
            </w:r>
          </w:p>
          <w:p>
            <w:pPr>
              <w:pStyle w:val="10"/>
              <w:adjustRightInd w:val="0"/>
              <w:rPr>
                <w:rFonts w:ascii="仿宋" w:hAnsi="仿宋" w:eastAsia="仿宋" w:cs="仿宋_GB2312"/>
                <w:szCs w:val="21"/>
              </w:rPr>
            </w:pPr>
            <w:r>
              <w:rPr>
                <w:rFonts w:hint="eastAsia" w:ascii="仿宋" w:hAnsi="仿宋" w:eastAsia="仿宋" w:cs="仿宋_GB2312"/>
                <w:szCs w:val="21"/>
              </w:rPr>
              <w:t>4.1 采购方的责任</w:t>
            </w:r>
          </w:p>
          <w:p>
            <w:pPr>
              <w:pStyle w:val="10"/>
              <w:adjustRightInd w:val="0"/>
              <w:rPr>
                <w:rFonts w:ascii="仿宋" w:hAnsi="仿宋" w:eastAsia="仿宋" w:cs="仿宋_GB2312"/>
                <w:szCs w:val="21"/>
              </w:rPr>
            </w:pPr>
            <w:r>
              <w:rPr>
                <w:rFonts w:hint="eastAsia" w:ascii="仿宋" w:hAnsi="仿宋" w:eastAsia="仿宋" w:cs="仿宋_GB2312"/>
                <w:szCs w:val="21"/>
              </w:rPr>
              <w:t>（1）合同签订后，中标方未展开工作前，由于采购方项目停止或其他自身原因而终止合同的，采购方偿付中标方合同总价款的10%；中标方已展开工作的，采购方应按完成的实际工作量支付项目价款，并按合同总价款的10%向中标方支付有违约金。</w:t>
            </w:r>
          </w:p>
          <w:p>
            <w:pPr>
              <w:pStyle w:val="10"/>
              <w:adjustRightInd w:val="0"/>
              <w:rPr>
                <w:rFonts w:ascii="仿宋" w:hAnsi="仿宋" w:eastAsia="仿宋" w:cs="仿宋_GB2312"/>
                <w:szCs w:val="21"/>
              </w:rPr>
            </w:pPr>
            <w:r>
              <w:rPr>
                <w:rFonts w:hint="eastAsia" w:ascii="仿宋" w:hAnsi="仿宋" w:eastAsia="仿宋" w:cs="仿宋_GB2312"/>
                <w:szCs w:val="21"/>
              </w:rPr>
              <w:t>（2）采购方无正当理由拒不接受服务、拒付合同价款，中标方有权要求采购方接受服务并支付应付的合同价款。采购方应向中标方支付合同约定的合同总价款的10%作为违约金。</w:t>
            </w:r>
          </w:p>
          <w:p>
            <w:pPr>
              <w:pStyle w:val="10"/>
              <w:adjustRightInd w:val="0"/>
              <w:rPr>
                <w:rFonts w:ascii="仿宋" w:hAnsi="仿宋" w:eastAsia="仿宋" w:cs="仿宋_GB2312"/>
                <w:szCs w:val="21"/>
              </w:rPr>
            </w:pPr>
            <w:r>
              <w:rPr>
                <w:rFonts w:hint="eastAsia" w:ascii="仿宋" w:hAnsi="仿宋" w:eastAsia="仿宋" w:cs="仿宋_GB2312"/>
                <w:szCs w:val="21"/>
              </w:rPr>
              <w:t>（3）采购方变更委托项目内容、规模、条件，或对所提供资料作较大修改时，应于确定修改之日起5个工作日内告知中标方。因以上原因造成中标方返工，工作量按合同规定的计费标准计算未超过合同总价款的10%时，中标方予以免费返工；工作量按合同规定的计费标准计算超过合同总价款的10%但未超过20%时，采购方应按中标方返工所耗工作量向中标方支付返工费；工作量按合同规定的计费标准计算达到或超过合同总价款的20%时，双方应协商签订补充协议或另行签订合同，重新明确有关条款。</w:t>
            </w:r>
          </w:p>
          <w:p>
            <w:pPr>
              <w:pStyle w:val="10"/>
              <w:adjustRightInd w:val="0"/>
              <w:rPr>
                <w:rFonts w:ascii="仿宋" w:hAnsi="仿宋" w:eastAsia="仿宋" w:cs="仿宋_GB2312"/>
                <w:szCs w:val="21"/>
              </w:rPr>
            </w:pPr>
            <w:r>
              <w:rPr>
                <w:rFonts w:hint="eastAsia" w:ascii="仿宋" w:hAnsi="仿宋" w:eastAsia="仿宋" w:cs="仿宋_GB2312"/>
                <w:szCs w:val="21"/>
              </w:rPr>
              <w:t>（4）采购方未按合同约定，延迟或未足额支付合同价款的，中标方有权要求采购方支付该阶段未付合同价款每日2‰的逾期违约金，逾期违约金总额不超过合同总价款的10%，且中标方提交成果的时间顺延。逾期超过5个工作日（含5个工作日）以上时，中标方有权暂停履行下阶段工作，并书面通知采购方。因政府内部付款审批原因导致采购方迟延付款的，不视为采购方逾期付款。</w:t>
            </w:r>
          </w:p>
          <w:p>
            <w:pPr>
              <w:pStyle w:val="10"/>
              <w:adjustRightInd w:val="0"/>
              <w:rPr>
                <w:rFonts w:ascii="仿宋" w:hAnsi="仿宋" w:eastAsia="仿宋" w:cs="仿宋_GB2312"/>
                <w:szCs w:val="21"/>
              </w:rPr>
            </w:pPr>
            <w:r>
              <w:rPr>
                <w:rFonts w:hint="eastAsia" w:ascii="仿宋" w:hAnsi="仿宋" w:eastAsia="仿宋" w:cs="仿宋_GB2312"/>
                <w:szCs w:val="21"/>
              </w:rPr>
              <w:t>4.2 中标方的责任</w:t>
            </w:r>
          </w:p>
          <w:p>
            <w:pPr>
              <w:pStyle w:val="10"/>
              <w:adjustRightInd w:val="0"/>
              <w:rPr>
                <w:rFonts w:ascii="仿宋" w:hAnsi="仿宋" w:eastAsia="仿宋" w:cs="仿宋_GB2312"/>
                <w:szCs w:val="21"/>
              </w:rPr>
            </w:pPr>
            <w:r>
              <w:rPr>
                <w:rFonts w:hint="eastAsia" w:ascii="仿宋" w:hAnsi="仿宋" w:eastAsia="仿宋" w:cs="仿宋_GB2312"/>
                <w:szCs w:val="21"/>
              </w:rPr>
              <w:t>（1）合同签订后，如中标方擅自中途终止或解除合同，中标方向采购方赔偿合同总价款的10%，并归还采购方预付的全部项目款。</w:t>
            </w:r>
          </w:p>
          <w:p>
            <w:pPr>
              <w:pStyle w:val="10"/>
              <w:adjustRightInd w:val="0"/>
              <w:rPr>
                <w:rFonts w:ascii="仿宋" w:hAnsi="仿宋" w:eastAsia="仿宋" w:cs="仿宋_GB2312"/>
                <w:szCs w:val="21"/>
              </w:rPr>
            </w:pPr>
            <w:r>
              <w:rPr>
                <w:rFonts w:hint="eastAsia" w:ascii="仿宋" w:hAnsi="仿宋" w:eastAsia="仿宋" w:cs="仿宋_GB2312"/>
                <w:szCs w:val="21"/>
              </w:rPr>
              <w:t>（2）未经采购方许可，中标方将合同项目与第三方合作，或将合同标的的全部或部分擅自转包给第三方的，采购方有权要求中标方终止与第三方的合同。中标方应承担因此而产生的相关责任，并应向采购方支付合同总价款的10%的违约金。</w:t>
            </w:r>
          </w:p>
          <w:p>
            <w:pPr>
              <w:pStyle w:val="10"/>
              <w:adjustRightInd w:val="0"/>
              <w:rPr>
                <w:rFonts w:ascii="仿宋" w:hAnsi="仿宋" w:eastAsia="仿宋" w:cs="仿宋_GB2312"/>
                <w:szCs w:val="21"/>
              </w:rPr>
            </w:pPr>
            <w:r>
              <w:rPr>
                <w:rFonts w:hint="eastAsia" w:ascii="仿宋" w:hAnsi="仿宋" w:eastAsia="仿宋" w:cs="仿宋_GB2312"/>
                <w:szCs w:val="21"/>
              </w:rPr>
              <w:t>（3）如中标方因自身原因不能履行合同义务或无法按照合同的约定提供服务，采购方有权终止合同，损失由中标方承担，中标方应向采购方支付合同总价款的10%的违约金，同时要求中标方退回全部已收合同款项。</w:t>
            </w:r>
          </w:p>
          <w:p>
            <w:pPr>
              <w:pStyle w:val="10"/>
              <w:adjustRightInd w:val="0"/>
              <w:rPr>
                <w:rFonts w:ascii="仿宋" w:hAnsi="仿宋" w:eastAsia="仿宋" w:cs="仿宋_GB2312"/>
                <w:szCs w:val="21"/>
              </w:rPr>
            </w:pPr>
            <w:r>
              <w:rPr>
                <w:rFonts w:hint="eastAsia" w:ascii="仿宋" w:hAnsi="仿宋" w:eastAsia="仿宋" w:cs="仿宋_GB2312"/>
                <w:szCs w:val="21"/>
              </w:rPr>
              <w:t>（4）中标方无正当理由不按照合同的约定提供服务或者违反规定的义务，采购方有权要求中标方退还部分或者全部已付的合同款项，并应向采购方支付合同总价款的10%的违约金。</w:t>
            </w:r>
          </w:p>
          <w:p>
            <w:pPr>
              <w:pStyle w:val="10"/>
              <w:adjustRightInd w:val="0"/>
              <w:rPr>
                <w:rFonts w:ascii="仿宋" w:hAnsi="仿宋" w:eastAsia="仿宋" w:cs="仿宋_GB2312"/>
                <w:szCs w:val="21"/>
              </w:rPr>
            </w:pPr>
            <w:r>
              <w:rPr>
                <w:rFonts w:hint="eastAsia" w:ascii="仿宋" w:hAnsi="仿宋" w:eastAsia="仿宋" w:cs="仿宋_GB2312"/>
                <w:szCs w:val="21"/>
              </w:rPr>
              <w:t>（5）合同履行期间，中标方因自身原因未能按合同约定的日期(含协商延缓的日期)提交项目成果和造成验收时间延后，检测、验收中的产品更改费由中标方承担。给采购方造成损失的，损害由中标方承担，每逾期一天须支付给采购方合同总价款的2‰作为违约金，逾期违约金总额不超过合同总价款的10%。</w:t>
            </w:r>
          </w:p>
          <w:p>
            <w:pPr>
              <w:pStyle w:val="10"/>
              <w:adjustRightInd w:val="0"/>
              <w:rPr>
                <w:rFonts w:ascii="仿宋" w:hAnsi="仿宋" w:eastAsia="仿宋" w:cs="仿宋_GB2312"/>
                <w:szCs w:val="21"/>
              </w:rPr>
            </w:pPr>
            <w:r>
              <w:rPr>
                <w:rFonts w:hint="eastAsia" w:ascii="仿宋" w:hAnsi="仿宋" w:eastAsia="仿宋" w:cs="仿宋_GB2312"/>
                <w:szCs w:val="21"/>
              </w:rPr>
              <w:t>（6）由于中标方工作的错误或遗漏造成项目成果验收不合格的，采购方给予中标方一定的宽限期，中标方应在宽限期内无偿予以重新开展工作或采取补救措施，以达到质量要求，且应免收受损失部分的合同价款，并支付合同总价款10%的违约金。如采购方提出异议后中标方不作答复或者无理由推脱的或中标方无法在宽限期内完成整改的，采购方有权终止合同，损失由中标方承担，中标方须退回合同全额费用，并要求中标方支付合同总价款10%的违约金。因项目成果不符合合同要求给采购方造成损失的，中标方应负全部责任。</w:t>
            </w:r>
          </w:p>
          <w:p>
            <w:pPr>
              <w:pStyle w:val="10"/>
              <w:adjustRightInd w:val="0"/>
              <w:rPr>
                <w:rFonts w:ascii="仿宋" w:hAnsi="仿宋" w:eastAsia="仿宋" w:cs="仿宋_GB2312"/>
                <w:szCs w:val="21"/>
              </w:rPr>
            </w:pPr>
            <w:r>
              <w:rPr>
                <w:rFonts w:hint="eastAsia" w:ascii="仿宋" w:hAnsi="仿宋" w:eastAsia="仿宋" w:cs="仿宋_GB2312"/>
                <w:szCs w:val="21"/>
              </w:rPr>
              <w:t>（7）中标方未按合同的约定，擅自修改已经提交验收的成果文件的，应承担因此产生的一切后果，并赔偿采购方合同总价款20%的违约金。</w:t>
            </w:r>
          </w:p>
          <w:p>
            <w:pPr>
              <w:pStyle w:val="10"/>
              <w:adjustRightInd w:val="0"/>
              <w:rPr>
                <w:rFonts w:ascii="仿宋" w:hAnsi="仿宋" w:eastAsia="仿宋" w:cs="仿宋_GB2312"/>
                <w:szCs w:val="21"/>
              </w:rPr>
            </w:pPr>
            <w:r>
              <w:rPr>
                <w:rFonts w:hint="eastAsia" w:ascii="仿宋" w:hAnsi="仿宋" w:eastAsia="仿宋" w:cs="仿宋_GB2312"/>
                <w:szCs w:val="21"/>
              </w:rPr>
              <w:t>（8）中标方组织的项目组成员不符合合同约定的工作内容和技术要求，或未经采购方同意，中标方擅自变更约定的项目组主要成员，采购方有权责成中标方采取补救措施或调整项目组主要成员构成。</w:t>
            </w:r>
          </w:p>
          <w:p>
            <w:pPr>
              <w:pStyle w:val="10"/>
              <w:adjustRightInd w:val="0"/>
              <w:rPr>
                <w:rFonts w:ascii="仿宋" w:hAnsi="仿宋" w:eastAsia="仿宋" w:cs="仿宋_GB2312"/>
                <w:szCs w:val="21"/>
              </w:rPr>
            </w:pPr>
            <w:r>
              <w:rPr>
                <w:rFonts w:hint="eastAsia" w:ascii="仿宋" w:hAnsi="仿宋" w:eastAsia="仿宋" w:cs="仿宋_GB2312"/>
                <w:szCs w:val="21"/>
              </w:rPr>
              <w:t>（9）本项目最终成果验收后1年以内，中标方未按采购方要求就本项目提供必要解释和接受咨询的，采购方可要求中标方承担合同总价款10%的违约金，上述违约金可以在支付合同款项时优先予以扣除。</w:t>
            </w:r>
          </w:p>
          <w:p>
            <w:pPr>
              <w:pStyle w:val="10"/>
              <w:adjustRightInd w:val="0"/>
              <w:rPr>
                <w:rFonts w:ascii="仿宋" w:hAnsi="仿宋" w:eastAsia="仿宋" w:cs="仿宋_GB2312"/>
                <w:szCs w:val="21"/>
              </w:rPr>
            </w:pPr>
            <w:r>
              <w:rPr>
                <w:rFonts w:hint="eastAsia" w:ascii="仿宋" w:hAnsi="仿宋" w:eastAsia="仿宋" w:cs="仿宋_GB2312"/>
                <w:szCs w:val="21"/>
              </w:rPr>
              <w:t>（10）合同履行期间，中标方承担第三方委托的本项目范围内有利益冲突的其他项目，一经发现，无论合同正在履行或已履行完毕，采购方均有权追究中标方责任，并要求中标方支付合同总价款10%的违约金。</w:t>
            </w:r>
          </w:p>
          <w:p>
            <w:pPr>
              <w:pStyle w:val="10"/>
              <w:adjustRightInd w:val="0"/>
              <w:rPr>
                <w:rFonts w:ascii="仿宋" w:hAnsi="仿宋" w:eastAsia="仿宋" w:cs="仿宋_GB2312"/>
                <w:szCs w:val="21"/>
              </w:rPr>
            </w:pPr>
            <w:r>
              <w:rPr>
                <w:rFonts w:hint="eastAsia" w:ascii="仿宋" w:hAnsi="仿宋" w:eastAsia="仿宋" w:cs="仿宋_GB2312"/>
                <w:szCs w:val="21"/>
              </w:rPr>
              <w:t>（11）如中标方提交的服务成果侵犯第三方合法权益的，一切法律责任均由中标方承担，同时中标方保证采购方在第三方主张权益时免受损失，并赔偿采购方合同总价款10%的违约金。</w:t>
            </w:r>
          </w:p>
          <w:p>
            <w:pPr>
              <w:pStyle w:val="10"/>
              <w:adjustRightInd w:val="0"/>
              <w:rPr>
                <w:rFonts w:ascii="仿宋" w:hAnsi="仿宋" w:eastAsia="仿宋" w:cs="仿宋_GB2312"/>
                <w:szCs w:val="21"/>
              </w:rPr>
            </w:pPr>
            <w:r>
              <w:rPr>
                <w:rFonts w:hint="eastAsia" w:ascii="仿宋" w:hAnsi="仿宋" w:eastAsia="仿宋" w:cs="仿宋_GB2312"/>
                <w:szCs w:val="21"/>
              </w:rPr>
              <w:t>（12）中标方因过错导致采购方蒙受重大经济损失，中标方应当承担赔偿责任。</w:t>
            </w:r>
          </w:p>
          <w:p>
            <w:pPr>
              <w:jc w:val="left"/>
              <w:rPr>
                <w:rFonts w:ascii="仿宋" w:hAnsi="仿宋" w:eastAsia="仿宋" w:cs="仿宋"/>
                <w:b/>
                <w:szCs w:val="21"/>
              </w:rPr>
            </w:pPr>
            <w:r>
              <w:rPr>
                <w:rFonts w:hint="eastAsia" w:ascii="仿宋" w:hAnsi="仿宋" w:eastAsia="仿宋" w:cs="仿宋"/>
                <w:b/>
                <w:szCs w:val="21"/>
              </w:rPr>
              <w:t>*5、服务质量监督和项目验收要求</w:t>
            </w:r>
          </w:p>
          <w:p>
            <w:pPr>
              <w:ind w:firstLine="420" w:firstLineChars="200"/>
              <w:jc w:val="left"/>
              <w:rPr>
                <w:rFonts w:ascii="仿宋" w:hAnsi="仿宋" w:eastAsia="仿宋" w:cs="仿宋"/>
                <w:szCs w:val="21"/>
              </w:rPr>
            </w:pPr>
            <w:r>
              <w:rPr>
                <w:rFonts w:hint="eastAsia" w:ascii="仿宋" w:hAnsi="仿宋" w:eastAsia="仿宋" w:cs="仿宋"/>
                <w:szCs w:val="21"/>
              </w:rPr>
              <w:t>5.1服务质量监督要求</w:t>
            </w:r>
          </w:p>
          <w:p>
            <w:pPr>
              <w:ind w:firstLine="420" w:firstLineChars="200"/>
              <w:jc w:val="left"/>
              <w:rPr>
                <w:rFonts w:ascii="仿宋" w:hAnsi="仿宋" w:eastAsia="仿宋" w:cs="仿宋"/>
                <w:szCs w:val="21"/>
              </w:rPr>
            </w:pPr>
            <w:r>
              <w:rPr>
                <w:rFonts w:hint="eastAsia" w:ascii="仿宋" w:hAnsi="仿宋" w:eastAsia="仿宋" w:cs="仿宋"/>
                <w:szCs w:val="21"/>
              </w:rPr>
              <w:t>（1）售后服务期限从最后成果提交采购人之日起一年。</w:t>
            </w:r>
          </w:p>
          <w:p>
            <w:pPr>
              <w:ind w:firstLine="420" w:firstLineChars="200"/>
              <w:jc w:val="left"/>
              <w:rPr>
                <w:rFonts w:ascii="仿宋" w:hAnsi="仿宋" w:eastAsia="仿宋" w:cs="仿宋"/>
                <w:szCs w:val="21"/>
              </w:rPr>
            </w:pPr>
            <w:r>
              <w:rPr>
                <w:rFonts w:hint="eastAsia" w:ascii="仿宋" w:hAnsi="仿宋" w:eastAsia="仿宋" w:cs="仿宋"/>
                <w:szCs w:val="21"/>
              </w:rPr>
              <w:t>（2）在售后服务期限内提供相关咨询、协调、项目审查和报告更新等技术支持。</w:t>
            </w:r>
          </w:p>
          <w:p>
            <w:pPr>
              <w:ind w:firstLine="420" w:firstLineChars="200"/>
              <w:jc w:val="left"/>
              <w:rPr>
                <w:rFonts w:ascii="仿宋" w:hAnsi="仿宋" w:eastAsia="仿宋" w:cs="仿宋"/>
                <w:szCs w:val="21"/>
              </w:rPr>
            </w:pPr>
            <w:r>
              <w:rPr>
                <w:rFonts w:hint="eastAsia" w:ascii="仿宋" w:hAnsi="仿宋" w:eastAsia="仿宋" w:cs="仿宋"/>
                <w:szCs w:val="21"/>
              </w:rPr>
              <w:t>（3）安排专人负责售后技术支持，并提供其联系手机、电话、传真、email；如人员需要调整应及时通知采购人。</w:t>
            </w:r>
          </w:p>
          <w:p>
            <w:pPr>
              <w:ind w:firstLine="420" w:firstLineChars="200"/>
              <w:jc w:val="left"/>
              <w:rPr>
                <w:rFonts w:ascii="仿宋" w:hAnsi="仿宋" w:eastAsia="仿宋" w:cs="仿宋"/>
                <w:szCs w:val="21"/>
              </w:rPr>
            </w:pPr>
            <w:r>
              <w:rPr>
                <w:rFonts w:hint="eastAsia" w:ascii="仿宋" w:hAnsi="仿宋" w:eastAsia="仿宋" w:cs="仿宋"/>
                <w:szCs w:val="21"/>
              </w:rPr>
              <w:t>5.2项目验收要求</w:t>
            </w:r>
          </w:p>
          <w:p>
            <w:pPr>
              <w:ind w:firstLine="420" w:firstLineChars="200"/>
              <w:jc w:val="left"/>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szCs w:val="21"/>
              </w:rPr>
              <w:t>初步成果验收要求为采购方项目负责人签字，最终成果验收需经市规划和自然资源局局专题会验收通过。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8" w:hRule="atLeast"/>
        </w:trPr>
        <w:tc>
          <w:tcPr>
            <w:tcW w:w="1560" w:type="dxa"/>
            <w:vAlign w:val="center"/>
          </w:tcPr>
          <w:p>
            <w:pPr>
              <w:jc w:val="center"/>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具体技术要求</w:t>
            </w:r>
          </w:p>
        </w:tc>
        <w:tc>
          <w:tcPr>
            <w:tcW w:w="7407" w:type="dxa"/>
            <w:gridSpan w:val="4"/>
          </w:tcPr>
          <w:p>
            <w:pPr>
              <w:ind w:firstLine="420" w:firstLineChars="200"/>
              <w:jc w:val="left"/>
              <w:rPr>
                <w:rFonts w:ascii="仿宋" w:hAnsi="仿宋" w:eastAsia="仿宋" w:cs="仿宋"/>
                <w:szCs w:val="21"/>
              </w:rPr>
            </w:pPr>
            <w:r>
              <w:rPr>
                <w:rFonts w:hint="eastAsia" w:ascii="仿宋" w:hAnsi="仿宋" w:eastAsia="仿宋" w:cs="仿宋"/>
                <w:szCs w:val="21"/>
              </w:rPr>
              <w:t>1、总体要求</w:t>
            </w:r>
          </w:p>
          <w:p>
            <w:pPr>
              <w:ind w:firstLine="420" w:firstLineChars="200"/>
              <w:jc w:val="left"/>
              <w:rPr>
                <w:rFonts w:ascii="仿宋" w:hAnsi="仿宋" w:eastAsia="仿宋" w:cs="仿宋"/>
                <w:szCs w:val="21"/>
              </w:rPr>
            </w:pPr>
            <w:r>
              <w:rPr>
                <w:rFonts w:hint="eastAsia" w:ascii="仿宋" w:hAnsi="仿宋" w:eastAsia="仿宋" w:cs="仿宋"/>
                <w:szCs w:val="21"/>
              </w:rPr>
              <w:t>（1）项目成果要严格依照国家颁布的有关法律、法规及政策要求，符合相关的技术规范和标准；</w:t>
            </w:r>
          </w:p>
          <w:p>
            <w:pPr>
              <w:ind w:firstLine="420" w:firstLineChars="200"/>
              <w:jc w:val="left"/>
              <w:rPr>
                <w:rFonts w:ascii="仿宋" w:hAnsi="仿宋" w:eastAsia="仿宋" w:cs="仿宋"/>
                <w:szCs w:val="21"/>
              </w:rPr>
            </w:pPr>
            <w:r>
              <w:rPr>
                <w:rFonts w:hint="eastAsia" w:ascii="仿宋" w:hAnsi="仿宋" w:eastAsia="仿宋" w:cs="仿宋"/>
                <w:szCs w:val="21"/>
              </w:rPr>
              <w:t>（2）中标方需具备有多年的国土行业管理、研究经验，了解和熟悉建设项目用地预审和土地供应报批相关政策要求。</w:t>
            </w:r>
          </w:p>
          <w:p>
            <w:pPr>
              <w:ind w:firstLine="420" w:firstLineChars="200"/>
              <w:jc w:val="left"/>
              <w:rPr>
                <w:rFonts w:ascii="仿宋" w:hAnsi="仿宋" w:eastAsia="仿宋" w:cs="仿宋"/>
                <w:szCs w:val="21"/>
              </w:rPr>
            </w:pPr>
            <w:r>
              <w:rPr>
                <w:rFonts w:hint="eastAsia" w:ascii="仿宋" w:hAnsi="仿宋" w:eastAsia="仿宋" w:cs="仿宋"/>
                <w:szCs w:val="21"/>
              </w:rPr>
              <w:t>2、工作内容</w:t>
            </w:r>
          </w:p>
          <w:p>
            <w:pPr>
              <w:ind w:firstLine="421" w:firstLineChars="200"/>
              <w:jc w:val="left"/>
              <w:rPr>
                <w:rFonts w:ascii="仿宋" w:hAnsi="仿宋" w:eastAsia="仿宋" w:cs="仿宋"/>
                <w:szCs w:val="21"/>
              </w:rPr>
            </w:pPr>
            <w:r>
              <w:rPr>
                <w:rFonts w:hint="eastAsia" w:ascii="仿宋" w:hAnsi="仿宋" w:eastAsia="仿宋" w:cs="仿宋"/>
                <w:b/>
                <w:bCs/>
                <w:szCs w:val="21"/>
              </w:rPr>
              <w:t>内容一：有关政策梳理与形势分析。</w:t>
            </w:r>
            <w:r>
              <w:rPr>
                <w:rFonts w:hint="eastAsia" w:ascii="仿宋" w:hAnsi="仿宋" w:eastAsia="仿宋" w:cs="仿宋"/>
                <w:szCs w:val="21"/>
              </w:rPr>
              <w:t>充分学习掌握国务院、自然资源部近期印发的关于妥善处置闲置存量土地的有关政策文件，明确各项政策的适用条件，切实掌握国家、省对妥善处置闲置存量土地工作的具体要求。梳理掌握对我市现行土地供应、闲置土地处置、开工竣工管理、土地使用权转让、保障性住房建设（用地相关）等政策法规。</w:t>
            </w:r>
          </w:p>
          <w:p>
            <w:pPr>
              <w:ind w:firstLine="421" w:firstLineChars="200"/>
              <w:jc w:val="left"/>
              <w:rPr>
                <w:rFonts w:ascii="仿宋" w:hAnsi="仿宋" w:eastAsia="仿宋" w:cs="仿宋"/>
                <w:szCs w:val="21"/>
              </w:rPr>
            </w:pPr>
            <w:r>
              <w:rPr>
                <w:rFonts w:hint="eastAsia" w:ascii="仿宋" w:hAnsi="仿宋" w:eastAsia="仿宋" w:cs="仿宋"/>
                <w:b/>
                <w:bCs/>
                <w:szCs w:val="21"/>
              </w:rPr>
              <w:t>内容二：闲置存量土地盘活利用对策分析。</w:t>
            </w:r>
            <w:r>
              <w:rPr>
                <w:rFonts w:hint="eastAsia" w:ascii="仿宋" w:hAnsi="仿宋" w:eastAsia="仿宋" w:cs="仿宋"/>
                <w:szCs w:val="21"/>
              </w:rPr>
              <w:t>根据党中央 国务院关于妥善处置闲置存量土地的最新工作要求，结合我市土地开工竣工、闲置土地处置等工作开展情况，提出新形势下推进我市闲置存量土地处置、积极稳妥化解重点领域风险的工作建议及政策建议转化。</w:t>
            </w:r>
          </w:p>
          <w:p>
            <w:pPr>
              <w:ind w:firstLine="421" w:firstLineChars="200"/>
              <w:jc w:val="left"/>
              <w:rPr>
                <w:rFonts w:ascii="仿宋" w:hAnsi="仿宋" w:eastAsia="仿宋" w:cs="仿宋"/>
                <w:szCs w:val="21"/>
              </w:rPr>
            </w:pPr>
            <w:r>
              <w:rPr>
                <w:rFonts w:hint="eastAsia" w:ascii="仿宋" w:hAnsi="仿宋" w:eastAsia="仿宋" w:cs="仿宋"/>
                <w:b/>
                <w:bCs/>
                <w:szCs w:val="21"/>
              </w:rPr>
              <w:t>内容三：重点闲置存量房地产用地特征分析。</w:t>
            </w:r>
            <w:r>
              <w:rPr>
                <w:rFonts w:hint="eastAsia" w:ascii="仿宋" w:hAnsi="仿宋" w:eastAsia="仿宋" w:cs="仿宋"/>
                <w:szCs w:val="21"/>
              </w:rPr>
              <w:t>全面分析我市2024年3月31日之前供应的房地产用地基本情况，包括土地位置、面积、用途、权属、合同或补充协议约定开竣工日期等。掌握目前房地产用地超期未开工、已开工未竣工、停工未竣工的情况。分类分析影响土地未按期开工、竣工的原因及影响因素。</w:t>
            </w:r>
          </w:p>
          <w:p>
            <w:pPr>
              <w:ind w:firstLine="421" w:firstLineChars="200"/>
              <w:jc w:val="left"/>
              <w:rPr>
                <w:rFonts w:ascii="仿宋" w:hAnsi="仿宋" w:eastAsia="仿宋" w:cs="仿宋"/>
                <w:szCs w:val="21"/>
              </w:rPr>
            </w:pPr>
            <w:r>
              <w:rPr>
                <w:rFonts w:hint="eastAsia" w:ascii="仿宋" w:hAnsi="仿宋" w:eastAsia="仿宋" w:cs="仿宋"/>
                <w:b/>
                <w:bCs/>
                <w:szCs w:val="21"/>
              </w:rPr>
              <w:t>内容四：重点闲置存量房地产用地“一地块一策”盘活建议。</w:t>
            </w:r>
            <w:r>
              <w:rPr>
                <w:rFonts w:hint="eastAsia" w:ascii="仿宋" w:hAnsi="仿宋" w:eastAsia="仿宋" w:cs="仿宋"/>
                <w:szCs w:val="21"/>
              </w:rPr>
              <w:t>对我市闲置存量土地项目清单内的用地，逐宗评估用地处置方案，综合分析地块位置、面积、规划、用途、权属、是否涉法涉诉涉抵押等实际使用情况，提出关于处置方式组合运用、处置时间、处置流程安排等具体建议。</w:t>
            </w:r>
          </w:p>
          <w:p>
            <w:pPr>
              <w:ind w:firstLine="421" w:firstLineChars="200"/>
              <w:jc w:val="left"/>
              <w:rPr>
                <w:rFonts w:ascii="仿宋" w:hAnsi="仿宋" w:eastAsia="仿宋" w:cs="仿宋"/>
                <w:szCs w:val="21"/>
              </w:rPr>
            </w:pPr>
            <w:r>
              <w:rPr>
                <w:rFonts w:hint="eastAsia" w:ascii="仿宋" w:hAnsi="仿宋" w:eastAsia="仿宋" w:cs="仿宋"/>
                <w:b/>
                <w:bCs/>
                <w:szCs w:val="21"/>
              </w:rPr>
              <w:t>内容五：重点闲置存量房地产用地清单式管理跟踪。</w:t>
            </w:r>
            <w:r>
              <w:rPr>
                <w:rFonts w:hint="eastAsia" w:ascii="仿宋" w:hAnsi="仿宋" w:eastAsia="仿宋" w:cs="仿宋"/>
                <w:szCs w:val="21"/>
              </w:rPr>
              <w:t>清单式列明重点闲置存量房地产用地盘活处置的详细任务、具体步骤和盘活目标，专员动态跟踪处置进度。对存在较大社会稳定风险、廉政风险等的典型个案，及时收集整理，实地掌握细节情况，一地块一案剖析风险点及处置过程中遇到的堵点难点，提出针对性的风险应对措施及处置方案优化调整建议。定期归纳问题、总结经验，必要时将建议转化为内部规程或政策性建议。</w:t>
            </w:r>
          </w:p>
          <w:p>
            <w:pPr>
              <w:ind w:firstLine="420" w:firstLineChars="200"/>
              <w:jc w:val="left"/>
              <w:rPr>
                <w:rFonts w:ascii="仿宋" w:hAnsi="仿宋" w:eastAsia="仿宋" w:cs="仿宋"/>
                <w:szCs w:val="21"/>
              </w:rPr>
            </w:pPr>
            <w:r>
              <w:rPr>
                <w:rFonts w:hint="eastAsia" w:ascii="仿宋" w:hAnsi="仿宋" w:eastAsia="仿宋" w:cs="仿宋"/>
                <w:szCs w:val="21"/>
              </w:rPr>
              <w:t>3、成果要求</w:t>
            </w:r>
          </w:p>
          <w:p>
            <w:pPr>
              <w:ind w:firstLine="420" w:firstLineChars="200"/>
              <w:jc w:val="left"/>
              <w:rPr>
                <w:rFonts w:ascii="仿宋" w:hAnsi="仿宋" w:eastAsia="仿宋" w:cs="仿宋"/>
                <w:szCs w:val="21"/>
              </w:rPr>
            </w:pPr>
            <w:r>
              <w:rPr>
                <w:rFonts w:hint="eastAsia" w:ascii="仿宋" w:hAnsi="仿宋" w:eastAsia="仿宋" w:cs="仿宋"/>
                <w:szCs w:val="21"/>
              </w:rPr>
              <w:t>（1）《深圳市妥善处置闲置存量土地路径优化总报告》，word格式, 电子、纸质，数量1。</w:t>
            </w:r>
          </w:p>
          <w:p>
            <w:pPr>
              <w:ind w:firstLine="420" w:firstLineChars="200"/>
              <w:jc w:val="left"/>
              <w:rPr>
                <w:rFonts w:ascii="仿宋" w:hAnsi="仿宋" w:eastAsia="仿宋" w:cs="仿宋"/>
                <w:szCs w:val="21"/>
              </w:rPr>
            </w:pPr>
            <w:r>
              <w:rPr>
                <w:rFonts w:hint="eastAsia" w:ascii="仿宋" w:hAnsi="仿宋" w:eastAsia="仿宋" w:cs="仿宋"/>
                <w:szCs w:val="21"/>
              </w:rPr>
              <w:t>（2）《深圳市闲置存量土地项目清单用地处置跟踪分析总报告》，word格式, 电子、纸质，数量1。</w:t>
            </w:r>
          </w:p>
          <w:p>
            <w:pPr>
              <w:ind w:firstLine="420" w:firstLineChars="200"/>
              <w:jc w:val="left"/>
              <w:rPr>
                <w:rFonts w:ascii="仿宋" w:hAnsi="仿宋" w:eastAsia="仿宋" w:cs="仿宋"/>
                <w:szCs w:val="21"/>
              </w:rPr>
            </w:pPr>
            <w:r>
              <w:rPr>
                <w:rFonts w:hint="eastAsia" w:ascii="仿宋" w:hAnsi="仿宋" w:eastAsia="仿宋" w:cs="仿宋"/>
                <w:szCs w:val="21"/>
              </w:rPr>
              <w:t>成果交付形式及数量：按深圳市规划和自然资源局的具体要求交付，包括电子（光盘）成果、纸质成果等各</w:t>
            </w:r>
            <w:r>
              <w:rPr>
                <w:rFonts w:ascii="仿宋" w:hAnsi="仿宋" w:eastAsia="仿宋" w:cs="仿宋"/>
                <w:szCs w:val="21"/>
              </w:rPr>
              <w:t>1</w:t>
            </w:r>
            <w:r>
              <w:rPr>
                <w:rFonts w:hint="eastAsia" w:ascii="仿宋" w:hAnsi="仿宋" w:eastAsia="仿宋" w:cs="仿宋"/>
                <w:szCs w:val="21"/>
              </w:rPr>
              <w:t>套，提交数量应能满足招标人的使用要求。</w:t>
            </w:r>
          </w:p>
          <w:p>
            <w:pPr>
              <w:ind w:firstLine="420" w:firstLineChars="200"/>
              <w:jc w:val="left"/>
              <w:rPr>
                <w:rFonts w:ascii="仿宋" w:hAnsi="仿宋" w:eastAsia="仿宋" w:cs="仿宋"/>
                <w:szCs w:val="21"/>
              </w:rPr>
            </w:pPr>
            <w:r>
              <w:rPr>
                <w:rFonts w:hint="eastAsia" w:ascii="仿宋" w:hAnsi="仿宋" w:eastAsia="仿宋" w:cs="仿宋"/>
                <w:szCs w:val="21"/>
              </w:rPr>
              <w:t>成果交付时间及地点：项目按照合同要求的时间节点完成。提交地点为深圳市规划和自然资源局。</w:t>
            </w:r>
          </w:p>
          <w:p>
            <w:pPr>
              <w:ind w:firstLine="420" w:firstLineChars="200"/>
              <w:jc w:val="left"/>
              <w:rPr>
                <w:rFonts w:ascii="仿宋" w:hAnsi="仿宋" w:eastAsia="仿宋" w:cs="仿宋"/>
                <w:szCs w:val="21"/>
              </w:rPr>
            </w:pPr>
            <w:r>
              <w:rPr>
                <w:rFonts w:hint="eastAsia" w:ascii="仿宋" w:hAnsi="仿宋" w:eastAsia="仿宋" w:cs="仿宋"/>
                <w:szCs w:val="21"/>
              </w:rPr>
              <w:t>4、人员安排</w:t>
            </w:r>
          </w:p>
          <w:p>
            <w:pPr>
              <w:ind w:firstLine="420" w:firstLineChars="200"/>
              <w:jc w:val="left"/>
              <w:rPr>
                <w:rFonts w:ascii="仿宋" w:hAnsi="仿宋" w:eastAsia="仿宋" w:cs="仿宋"/>
                <w:szCs w:val="21"/>
              </w:rPr>
            </w:pPr>
            <w:r>
              <w:rPr>
                <w:rFonts w:hint="eastAsia" w:ascii="仿宋" w:hAnsi="仿宋" w:eastAsia="仿宋" w:cs="仿宋"/>
                <w:szCs w:val="21"/>
              </w:rPr>
              <w:t>（1）中标单位必须独立设置项目组，有固定的项目负责人和联系人。</w:t>
            </w:r>
          </w:p>
          <w:p>
            <w:pPr>
              <w:ind w:firstLine="420" w:firstLineChars="200"/>
              <w:jc w:val="left"/>
              <w:rPr>
                <w:rFonts w:ascii="仿宋" w:hAnsi="仿宋" w:eastAsia="仿宋" w:cs="仿宋"/>
                <w:szCs w:val="21"/>
              </w:rPr>
            </w:pPr>
            <w:r>
              <w:rPr>
                <w:rFonts w:hint="eastAsia" w:ascii="仿宋" w:hAnsi="仿宋" w:eastAsia="仿宋" w:cs="仿宋"/>
                <w:szCs w:val="21"/>
              </w:rPr>
              <w:t>（2）项目负责人需具备国土专业正高级职称。</w:t>
            </w:r>
          </w:p>
          <w:p>
            <w:pPr>
              <w:ind w:firstLine="420" w:firstLineChars="200"/>
              <w:jc w:val="left"/>
              <w:rPr>
                <w:rFonts w:ascii="仿宋" w:hAnsi="仿宋" w:eastAsia="仿宋" w:cs="仿宋"/>
                <w:szCs w:val="21"/>
              </w:rPr>
            </w:pPr>
            <w:r>
              <w:rPr>
                <w:rFonts w:hint="eastAsia" w:ascii="仿宋" w:hAnsi="仿宋" w:eastAsia="仿宋" w:cs="仿宋"/>
                <w:szCs w:val="21"/>
              </w:rPr>
              <w:t>（3）项目团队成员不能少于6人。</w:t>
            </w:r>
          </w:p>
          <w:p>
            <w:pPr>
              <w:ind w:firstLine="420" w:firstLineChars="200"/>
              <w:jc w:val="left"/>
              <w:rPr>
                <w:rFonts w:ascii="仿宋" w:hAnsi="仿宋" w:eastAsia="仿宋" w:cs="仿宋"/>
                <w:szCs w:val="21"/>
              </w:rPr>
            </w:pPr>
            <w:r>
              <w:rPr>
                <w:rFonts w:hint="eastAsia" w:ascii="仿宋" w:hAnsi="仿宋" w:eastAsia="仿宋" w:cs="仿宋"/>
                <w:szCs w:val="21"/>
              </w:rPr>
              <w:t>（4）未经采购方同意，中标方不得随意更换项目负责人。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7" w:hRule="atLeast"/>
        </w:trPr>
        <w:tc>
          <w:tcPr>
            <w:tcW w:w="1560" w:type="dxa"/>
          </w:tcPr>
          <w:p>
            <w:pPr>
              <w:jc w:val="left"/>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商务需求</w:t>
            </w:r>
          </w:p>
        </w:tc>
        <w:tc>
          <w:tcPr>
            <w:tcW w:w="7407" w:type="dxa"/>
            <w:gridSpan w:val="4"/>
          </w:tcPr>
          <w:p>
            <w:pPr>
              <w:jc w:val="left"/>
              <w:rPr>
                <w:rFonts w:ascii="仿宋" w:hAnsi="仿宋" w:eastAsia="仿宋" w:cs="仿宋"/>
                <w:b/>
                <w:szCs w:val="21"/>
              </w:rPr>
            </w:pPr>
            <w:r>
              <w:rPr>
                <w:rFonts w:hint="eastAsia" w:ascii="仿宋" w:hAnsi="仿宋" w:eastAsia="仿宋" w:cs="仿宋"/>
                <w:b/>
                <w:szCs w:val="21"/>
              </w:rPr>
              <w:t>1、项目概况（介绍项目的背景及项目整体情况、项目目的及建设目标）</w:t>
            </w:r>
          </w:p>
          <w:p>
            <w:pPr>
              <w:ind w:firstLine="420" w:firstLineChars="200"/>
              <w:jc w:val="left"/>
              <w:rPr>
                <w:rFonts w:ascii="仿宋" w:hAnsi="仿宋" w:eastAsia="仿宋" w:cs="仿宋"/>
                <w:szCs w:val="21"/>
              </w:rPr>
            </w:pPr>
            <w:r>
              <w:rPr>
                <w:rFonts w:hint="eastAsia" w:ascii="仿宋" w:hAnsi="仿宋" w:eastAsia="仿宋" w:cs="仿宋"/>
                <w:szCs w:val="21"/>
              </w:rPr>
              <w:t>该项目旨在贯彻落实“5.17”保交房工作视频会后党中央国务院关于妥善处置闲置存量土地决策部署，按照要求推进有关规则制定及闲置存量土地项目清单“一地块一策”跟踪评估工作，促进深圳市土地节约集约利用、实现高质量发展。</w:t>
            </w:r>
          </w:p>
          <w:p>
            <w:pPr>
              <w:jc w:val="left"/>
              <w:rPr>
                <w:rFonts w:ascii="仿宋" w:hAnsi="仿宋" w:eastAsia="仿宋" w:cs="仿宋"/>
                <w:b/>
                <w:szCs w:val="21"/>
              </w:rPr>
            </w:pPr>
            <w:r>
              <w:rPr>
                <w:rFonts w:hint="eastAsia" w:ascii="仿宋" w:hAnsi="仿宋" w:eastAsia="仿宋" w:cs="仿宋"/>
                <w:b/>
                <w:szCs w:val="21"/>
              </w:rPr>
              <w:t>2、项目所依据及参考的标准</w:t>
            </w:r>
          </w:p>
          <w:p>
            <w:pPr>
              <w:ind w:firstLine="420" w:firstLineChars="200"/>
              <w:jc w:val="left"/>
              <w:rPr>
                <w:rFonts w:ascii="仿宋" w:hAnsi="仿宋" w:eastAsia="仿宋" w:cs="仿宋"/>
                <w:szCs w:val="21"/>
              </w:rPr>
            </w:pPr>
            <w:r>
              <w:rPr>
                <w:rFonts w:hint="eastAsia" w:ascii="仿宋" w:hAnsi="仿宋" w:eastAsia="仿宋" w:cs="仿宋"/>
                <w:szCs w:val="21"/>
              </w:rPr>
              <w:t>（1）《中华人民共和国土地管理法》（2019年修正）；</w:t>
            </w:r>
          </w:p>
          <w:p>
            <w:pPr>
              <w:ind w:firstLine="420" w:firstLineChars="200"/>
              <w:jc w:val="left"/>
              <w:rPr>
                <w:rFonts w:ascii="仿宋" w:hAnsi="仿宋" w:eastAsia="仿宋" w:cs="仿宋"/>
                <w:szCs w:val="21"/>
              </w:rPr>
            </w:pPr>
            <w:r>
              <w:rPr>
                <w:rFonts w:hint="eastAsia" w:ascii="仿宋" w:hAnsi="仿宋" w:eastAsia="仿宋" w:cs="仿宋"/>
                <w:szCs w:val="21"/>
              </w:rPr>
              <w:t>（2）《中华人民共和国</w:t>
            </w:r>
            <w:r>
              <w:rPr>
                <w:rFonts w:hint="eastAsia" w:ascii="仿宋" w:hAnsi="仿宋" w:eastAsia="仿宋" w:cs="仿宋"/>
                <w:szCs w:val="21"/>
                <w:lang w:eastAsia="zh-CN"/>
              </w:rPr>
              <w:t>城市</w:t>
            </w:r>
            <w:bookmarkStart w:id="0" w:name="_GoBack"/>
            <w:bookmarkEnd w:id="0"/>
            <w:r>
              <w:rPr>
                <w:rFonts w:hint="eastAsia" w:ascii="仿宋" w:hAnsi="仿宋" w:eastAsia="仿宋" w:cs="仿宋"/>
                <w:szCs w:val="21"/>
              </w:rPr>
              <w:t>房地产管理法》（2019年修正）；</w:t>
            </w:r>
          </w:p>
          <w:p>
            <w:pPr>
              <w:ind w:firstLine="420" w:firstLineChars="200"/>
              <w:jc w:val="left"/>
              <w:rPr>
                <w:rFonts w:ascii="仿宋" w:hAnsi="仿宋" w:eastAsia="仿宋" w:cs="仿宋"/>
                <w:szCs w:val="21"/>
              </w:rPr>
            </w:pPr>
            <w:r>
              <w:rPr>
                <w:rFonts w:hint="eastAsia" w:ascii="仿宋" w:hAnsi="仿宋" w:eastAsia="仿宋" w:cs="仿宋"/>
                <w:szCs w:val="21"/>
              </w:rPr>
              <w:t>（3）《国务院办公厅关于转发住房城乡建设部、自然资源部、中国人民银行、金融监管总局&lt;切实做好保交房工作总体方案&gt;的通知》（国办发〔2024〕26号）；</w:t>
            </w:r>
          </w:p>
          <w:p>
            <w:pPr>
              <w:ind w:firstLine="420" w:firstLineChars="200"/>
              <w:jc w:val="left"/>
              <w:rPr>
                <w:rFonts w:ascii="仿宋" w:hAnsi="仿宋" w:eastAsia="仿宋" w:cs="仿宋"/>
                <w:szCs w:val="21"/>
              </w:rPr>
            </w:pPr>
            <w:r>
              <w:rPr>
                <w:rFonts w:hint="eastAsia" w:ascii="仿宋" w:hAnsi="仿宋" w:eastAsia="仿宋" w:cs="仿宋"/>
                <w:szCs w:val="21"/>
              </w:rPr>
              <w:t>（</w:t>
            </w:r>
            <w:r>
              <w:rPr>
                <w:rFonts w:ascii="仿宋" w:hAnsi="仿宋" w:eastAsia="仿宋" w:cs="仿宋"/>
                <w:szCs w:val="21"/>
              </w:rPr>
              <w:t>4</w:t>
            </w:r>
            <w:r>
              <w:rPr>
                <w:rFonts w:hint="eastAsia" w:ascii="仿宋" w:hAnsi="仿宋" w:eastAsia="仿宋" w:cs="仿宋"/>
                <w:szCs w:val="21"/>
              </w:rPr>
              <w:t>）《自然资源部 国家发改委关于妥善处置闲置存量土地若干政策措施的通知》（自然资发〔2024〕104号）；</w:t>
            </w:r>
          </w:p>
          <w:p>
            <w:pPr>
              <w:ind w:firstLine="420" w:firstLineChars="200"/>
              <w:jc w:val="left"/>
              <w:rPr>
                <w:rFonts w:ascii="仿宋" w:hAnsi="仿宋" w:eastAsia="仿宋" w:cs="仿宋"/>
                <w:szCs w:val="21"/>
              </w:rPr>
            </w:pPr>
            <w:r>
              <w:rPr>
                <w:rFonts w:hint="eastAsia" w:ascii="仿宋" w:hAnsi="仿宋" w:eastAsia="仿宋" w:cs="仿宋"/>
                <w:szCs w:val="21"/>
              </w:rPr>
              <w:t>（5）《广东省人民政府办公厅关于切实做好保交房工作的通知》（粤办函〔2024〕243号）。</w:t>
            </w:r>
          </w:p>
          <w:p>
            <w:pPr>
              <w:jc w:val="left"/>
              <w:rPr>
                <w:rFonts w:ascii="仿宋" w:hAnsi="仿宋" w:eastAsia="仿宋" w:cs="仿宋"/>
                <w:b/>
                <w:szCs w:val="21"/>
              </w:rPr>
            </w:pPr>
            <w:r>
              <w:rPr>
                <w:rFonts w:hint="eastAsia" w:ascii="仿宋" w:hAnsi="仿宋" w:eastAsia="仿宋" w:cs="仿宋"/>
                <w:b/>
                <w:szCs w:val="21"/>
              </w:rPr>
              <w:t>3、项目采购范围（本次招标的项目范围，包括服务名称、服务地点、服务内容、服务要求等）</w:t>
            </w:r>
          </w:p>
          <w:p>
            <w:pPr>
              <w:ind w:firstLine="420" w:firstLineChars="200"/>
              <w:jc w:val="left"/>
              <w:rPr>
                <w:rFonts w:ascii="仿宋" w:hAnsi="仿宋" w:eastAsia="仿宋" w:cs="仿宋"/>
                <w:szCs w:val="21"/>
              </w:rPr>
            </w:pPr>
            <w:r>
              <w:rPr>
                <w:rFonts w:hint="eastAsia" w:ascii="仿宋" w:hAnsi="仿宋" w:eastAsia="仿宋" w:cs="仿宋"/>
                <w:szCs w:val="21"/>
              </w:rPr>
              <w:t>3.1服务名称：《深圳市妥善处置闲置存量土地优化盘活路径与重点项目清单式管理跟踪》</w:t>
            </w:r>
          </w:p>
          <w:p>
            <w:pPr>
              <w:ind w:firstLine="420" w:firstLineChars="200"/>
              <w:jc w:val="left"/>
              <w:rPr>
                <w:rFonts w:ascii="仿宋" w:hAnsi="仿宋" w:eastAsia="仿宋" w:cs="仿宋"/>
                <w:szCs w:val="21"/>
              </w:rPr>
            </w:pPr>
            <w:r>
              <w:rPr>
                <w:rFonts w:hint="eastAsia" w:ascii="仿宋" w:hAnsi="仿宋" w:eastAsia="仿宋" w:cs="仿宋"/>
                <w:szCs w:val="21"/>
              </w:rPr>
              <w:t>3.2服务地点：深圳市</w:t>
            </w:r>
          </w:p>
          <w:p>
            <w:pPr>
              <w:ind w:firstLine="420" w:firstLineChars="200"/>
              <w:jc w:val="left"/>
              <w:rPr>
                <w:rFonts w:ascii="仿宋" w:hAnsi="仿宋" w:eastAsia="仿宋" w:cs="仿宋"/>
                <w:szCs w:val="21"/>
              </w:rPr>
            </w:pPr>
            <w:r>
              <w:rPr>
                <w:rFonts w:hint="eastAsia" w:ascii="仿宋" w:hAnsi="仿宋" w:eastAsia="仿宋" w:cs="仿宋"/>
                <w:szCs w:val="21"/>
              </w:rPr>
              <w:t>3.3服务内容：</w:t>
            </w:r>
          </w:p>
          <w:p>
            <w:pPr>
              <w:ind w:firstLine="420" w:firstLineChars="200"/>
              <w:jc w:val="left"/>
              <w:rPr>
                <w:rFonts w:ascii="仿宋" w:hAnsi="仿宋" w:eastAsia="仿宋" w:cs="仿宋"/>
                <w:szCs w:val="21"/>
              </w:rPr>
            </w:pPr>
            <w:r>
              <w:rPr>
                <w:rFonts w:hint="eastAsia" w:ascii="仿宋" w:hAnsi="仿宋" w:eastAsia="仿宋" w:cs="仿宋"/>
                <w:szCs w:val="21"/>
              </w:rPr>
              <w:t>有关政策梳理与形势分析、闲置存量土地盘活利用对策分析、重点闲置存量房地产用地特征分析、重点闲置存量房地产用地“一地块一策”盘活建议、重点闲置存量房地产用地清单式管理跟踪，及采购方交办的相关工作事项等。</w:t>
            </w:r>
          </w:p>
          <w:p>
            <w:pPr>
              <w:jc w:val="left"/>
              <w:rPr>
                <w:rFonts w:ascii="仿宋" w:hAnsi="仿宋" w:eastAsia="仿宋" w:cs="仿宋"/>
                <w:b/>
                <w:szCs w:val="21"/>
              </w:rPr>
            </w:pPr>
            <w:r>
              <w:rPr>
                <w:rFonts w:hint="eastAsia" w:ascii="仿宋" w:hAnsi="仿宋" w:eastAsia="仿宋" w:cs="仿宋"/>
                <w:b/>
                <w:szCs w:val="21"/>
              </w:rPr>
              <w:t>4、项目服务期限（下达的计划时间和实际服务期限不一致的，需列明实际服务期限）</w:t>
            </w:r>
          </w:p>
          <w:p>
            <w:pPr>
              <w:ind w:firstLine="420" w:firstLineChars="200"/>
              <w:jc w:val="left"/>
              <w:rPr>
                <w:rFonts w:ascii="仿宋" w:hAnsi="仿宋" w:eastAsia="仿宋" w:cs="仿宋"/>
                <w:szCs w:val="21"/>
              </w:rPr>
            </w:pPr>
            <w:r>
              <w:rPr>
                <w:rFonts w:hint="eastAsia" w:ascii="仿宋" w:hAnsi="仿宋" w:eastAsia="仿宋" w:cs="仿宋"/>
                <w:szCs w:val="21"/>
              </w:rPr>
              <w:t>本项目计划自合同签订之日起12个月内完成。</w:t>
            </w:r>
          </w:p>
          <w:p>
            <w:pPr>
              <w:jc w:val="left"/>
              <w:rPr>
                <w:rFonts w:ascii="仿宋" w:hAnsi="仿宋" w:eastAsia="仿宋" w:cs="仿宋"/>
                <w:b/>
                <w:szCs w:val="21"/>
              </w:rPr>
            </w:pPr>
            <w:r>
              <w:rPr>
                <w:rFonts w:hint="eastAsia" w:ascii="仿宋" w:hAnsi="仿宋" w:eastAsia="仿宋" w:cs="仿宋"/>
                <w:b/>
                <w:szCs w:val="21"/>
              </w:rPr>
              <w:t>5、组织实施要求</w:t>
            </w:r>
          </w:p>
          <w:p>
            <w:pPr>
              <w:ind w:firstLine="420" w:firstLineChars="200"/>
              <w:jc w:val="left"/>
              <w:rPr>
                <w:rFonts w:ascii="仿宋" w:hAnsi="仿宋" w:eastAsia="仿宋" w:cs="仿宋"/>
                <w:szCs w:val="21"/>
              </w:rPr>
            </w:pPr>
            <w:r>
              <w:rPr>
                <w:rFonts w:hint="eastAsia" w:ascii="仿宋" w:hAnsi="仿宋" w:eastAsia="仿宋" w:cs="仿宋"/>
                <w:szCs w:val="21"/>
              </w:rPr>
              <w:t>为确保本项目工作开展管理规范、实施有力，中标人应成立项目组，按采购方要求完成成果，并配合采购方完成关于本项目各工作阶段的汇报、审查等工作，同时负责解答相关的问题。</w:t>
            </w:r>
          </w:p>
          <w:p>
            <w:pPr>
              <w:jc w:val="left"/>
              <w:rPr>
                <w:rFonts w:ascii="仿宋" w:hAnsi="仿宋" w:eastAsia="仿宋" w:cs="仿宋"/>
                <w:b/>
                <w:szCs w:val="21"/>
              </w:rPr>
            </w:pPr>
            <w:r>
              <w:rPr>
                <w:rFonts w:hint="eastAsia" w:ascii="仿宋" w:hAnsi="仿宋" w:eastAsia="仿宋" w:cs="仿宋"/>
                <w:b/>
                <w:szCs w:val="21"/>
              </w:rPr>
              <w:t>6、成果要求</w:t>
            </w:r>
          </w:p>
          <w:p>
            <w:pPr>
              <w:ind w:firstLine="420" w:firstLineChars="200"/>
              <w:jc w:val="left"/>
              <w:rPr>
                <w:rFonts w:ascii="仿宋" w:hAnsi="仿宋" w:eastAsia="仿宋" w:cs="仿宋"/>
                <w:szCs w:val="21"/>
              </w:rPr>
            </w:pPr>
            <w:r>
              <w:rPr>
                <w:rFonts w:hint="eastAsia" w:ascii="仿宋" w:hAnsi="仿宋" w:eastAsia="仿宋" w:cs="仿宋"/>
                <w:szCs w:val="21"/>
              </w:rPr>
              <w:t>（1）《深圳市妥善处置闲置存量土地路径优化总报告》，doc格式</w:t>
            </w:r>
          </w:p>
          <w:p>
            <w:pPr>
              <w:ind w:firstLine="420" w:firstLineChars="200"/>
              <w:jc w:val="left"/>
              <w:rPr>
                <w:rFonts w:ascii="仿宋" w:hAnsi="仿宋" w:eastAsia="仿宋" w:cs="仿宋"/>
                <w:szCs w:val="21"/>
              </w:rPr>
            </w:pPr>
            <w:r>
              <w:rPr>
                <w:rFonts w:hint="eastAsia" w:ascii="仿宋" w:hAnsi="仿宋" w:eastAsia="仿宋" w:cs="仿宋"/>
                <w:szCs w:val="21"/>
              </w:rPr>
              <w:t>（2）《深圳市闲置存量土地项目清单用地处置跟踪分析总报告》，doc格式</w:t>
            </w:r>
          </w:p>
          <w:p>
            <w:pPr>
              <w:ind w:firstLine="420" w:firstLineChars="200"/>
              <w:jc w:val="left"/>
              <w:rPr>
                <w:rFonts w:ascii="仿宋" w:hAnsi="仿宋" w:eastAsia="仿宋" w:cs="仿宋"/>
                <w:szCs w:val="21"/>
              </w:rPr>
            </w:pPr>
            <w:r>
              <w:rPr>
                <w:rFonts w:hint="eastAsia" w:ascii="仿宋" w:hAnsi="仿宋" w:eastAsia="仿宋" w:cs="仿宋"/>
                <w:szCs w:val="21"/>
              </w:rPr>
              <w:t>成果交付形式及数量：按深圳市规划和自然资源局的具体要求交付，包括电子（光盘）成果、纸质成果等各2套，提交数量应能满足招标人的使用要求。</w:t>
            </w:r>
          </w:p>
          <w:p>
            <w:pPr>
              <w:ind w:firstLine="420" w:firstLineChars="200"/>
              <w:jc w:val="left"/>
              <w:rPr>
                <w:rFonts w:ascii="仿宋" w:hAnsi="仿宋" w:eastAsia="仿宋" w:cs="仿宋"/>
                <w:szCs w:val="21"/>
              </w:rPr>
            </w:pPr>
            <w:r>
              <w:rPr>
                <w:rFonts w:hint="eastAsia" w:ascii="仿宋" w:hAnsi="仿宋" w:eastAsia="仿宋" w:cs="仿宋"/>
                <w:szCs w:val="21"/>
              </w:rPr>
              <w:t>成果交付时间及地点：项目按照合同要求的时间节点完成。提交地点为深圳市规划和自然资源局。</w:t>
            </w:r>
          </w:p>
          <w:p>
            <w:pPr>
              <w:jc w:val="left"/>
              <w:rPr>
                <w:rFonts w:ascii="仿宋" w:hAnsi="仿宋" w:eastAsia="仿宋" w:cs="仿宋"/>
                <w:b/>
                <w:szCs w:val="21"/>
              </w:rPr>
            </w:pPr>
            <w:r>
              <w:rPr>
                <w:rFonts w:hint="eastAsia" w:ascii="仿宋" w:hAnsi="仿宋" w:eastAsia="仿宋" w:cs="仿宋"/>
                <w:b/>
                <w:szCs w:val="21"/>
              </w:rPr>
              <w:t>7、项目人员安排要求</w:t>
            </w:r>
          </w:p>
          <w:p>
            <w:pPr>
              <w:ind w:firstLine="420" w:firstLineChars="200"/>
              <w:jc w:val="left"/>
              <w:rPr>
                <w:rFonts w:ascii="仿宋" w:hAnsi="仿宋" w:eastAsia="仿宋" w:cs="仿宋"/>
                <w:szCs w:val="21"/>
              </w:rPr>
            </w:pPr>
            <w:r>
              <w:rPr>
                <w:rFonts w:hint="eastAsia" w:ascii="仿宋" w:hAnsi="仿宋" w:eastAsia="仿宋" w:cs="仿宋"/>
                <w:szCs w:val="21"/>
              </w:rPr>
              <w:t>（1）中标单位必须独立设置项目组，有固定的项目负责人和联系人。</w:t>
            </w:r>
          </w:p>
          <w:p>
            <w:pPr>
              <w:ind w:firstLine="420" w:firstLineChars="200"/>
              <w:jc w:val="left"/>
              <w:rPr>
                <w:rFonts w:ascii="仿宋" w:hAnsi="仿宋" w:eastAsia="仿宋" w:cs="仿宋"/>
                <w:szCs w:val="21"/>
              </w:rPr>
            </w:pPr>
            <w:r>
              <w:rPr>
                <w:rFonts w:hint="eastAsia" w:ascii="仿宋" w:hAnsi="仿宋" w:eastAsia="仿宋" w:cs="仿宋"/>
                <w:szCs w:val="21"/>
              </w:rPr>
              <w:t>（2）项目负责人需具备国土专业正高级职称。</w:t>
            </w:r>
          </w:p>
          <w:p>
            <w:pPr>
              <w:ind w:firstLine="420" w:firstLineChars="200"/>
              <w:jc w:val="left"/>
              <w:rPr>
                <w:rFonts w:ascii="仿宋" w:hAnsi="仿宋" w:eastAsia="仿宋" w:cs="仿宋"/>
                <w:szCs w:val="21"/>
              </w:rPr>
            </w:pPr>
            <w:r>
              <w:rPr>
                <w:rFonts w:hint="eastAsia" w:ascii="仿宋" w:hAnsi="仿宋" w:eastAsia="仿宋" w:cs="仿宋"/>
                <w:szCs w:val="21"/>
              </w:rPr>
              <w:t>（3）项目团队成员不能少于6人。</w:t>
            </w:r>
          </w:p>
          <w:p>
            <w:pPr>
              <w:ind w:firstLine="420" w:firstLineChars="200"/>
              <w:jc w:val="left"/>
              <w:rPr>
                <w:rFonts w:ascii="仿宋" w:hAnsi="仿宋" w:eastAsia="仿宋" w:cs="仿宋"/>
                <w:szCs w:val="21"/>
              </w:rPr>
            </w:pPr>
            <w:r>
              <w:rPr>
                <w:rFonts w:hint="eastAsia" w:ascii="仿宋" w:hAnsi="仿宋" w:eastAsia="仿宋" w:cs="仿宋"/>
                <w:szCs w:val="21"/>
              </w:rPr>
              <w:t>（4）未经采购方同意，中标方不得随意更换项目负责人。</w:t>
            </w:r>
          </w:p>
          <w:p>
            <w:pPr>
              <w:jc w:val="left"/>
              <w:rPr>
                <w:rFonts w:ascii="仿宋" w:hAnsi="仿宋" w:eastAsia="仿宋" w:cs="仿宋"/>
                <w:b/>
                <w:szCs w:val="21"/>
              </w:rPr>
            </w:pPr>
            <w:r>
              <w:rPr>
                <w:rFonts w:hint="eastAsia" w:ascii="仿宋" w:hAnsi="仿宋" w:eastAsia="仿宋" w:cs="仿宋"/>
                <w:b/>
                <w:szCs w:val="21"/>
              </w:rPr>
              <w:t>8、售后服务内容、要求和期限</w:t>
            </w:r>
          </w:p>
          <w:p>
            <w:pPr>
              <w:ind w:firstLine="420" w:firstLineChars="200"/>
              <w:jc w:val="left"/>
              <w:rPr>
                <w:rFonts w:ascii="仿宋" w:hAnsi="仿宋" w:eastAsia="仿宋" w:cs="仿宋"/>
                <w:szCs w:val="21"/>
              </w:rPr>
            </w:pPr>
            <w:r>
              <w:rPr>
                <w:rFonts w:hint="eastAsia" w:ascii="仿宋" w:hAnsi="仿宋" w:eastAsia="仿宋" w:cs="仿宋"/>
                <w:szCs w:val="21"/>
              </w:rPr>
              <w:t>（1）售后服务期限从最后成果提交采购人之日起一年。</w:t>
            </w:r>
          </w:p>
          <w:p>
            <w:pPr>
              <w:ind w:firstLine="420" w:firstLineChars="200"/>
              <w:jc w:val="left"/>
              <w:rPr>
                <w:rFonts w:ascii="仿宋" w:hAnsi="仿宋" w:eastAsia="仿宋" w:cs="仿宋"/>
                <w:szCs w:val="21"/>
              </w:rPr>
            </w:pPr>
            <w:r>
              <w:rPr>
                <w:rFonts w:hint="eastAsia" w:ascii="仿宋" w:hAnsi="仿宋" w:eastAsia="仿宋" w:cs="仿宋"/>
                <w:szCs w:val="21"/>
              </w:rPr>
              <w:t>（2）在售后服务期限内提供相关咨询、协调、项目审查和报告更新等技术支持。</w:t>
            </w:r>
          </w:p>
          <w:p>
            <w:pPr>
              <w:ind w:firstLine="420" w:firstLineChars="200"/>
              <w:jc w:val="left"/>
              <w:rPr>
                <w:rFonts w:ascii="仿宋" w:hAnsi="仿宋" w:eastAsia="仿宋" w:cs="仿宋"/>
                <w:szCs w:val="21"/>
              </w:rPr>
            </w:pPr>
            <w:r>
              <w:rPr>
                <w:rFonts w:hint="eastAsia" w:ascii="仿宋" w:hAnsi="仿宋" w:eastAsia="仿宋" w:cs="仿宋"/>
                <w:szCs w:val="21"/>
              </w:rPr>
              <w:t>（3）安排专人负责售后技术支持，并提供其联系手机、电话、传真、email；如人员需要调整应及时通知采购人。</w:t>
            </w:r>
          </w:p>
          <w:p>
            <w:pPr>
              <w:ind w:firstLine="206" w:firstLineChars="98"/>
              <w:jc w:val="left"/>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b/>
                <w:szCs w:val="21"/>
              </w:rPr>
              <w:t>（以上内容，可根据实际项目作增减）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trPr>
        <w:tc>
          <w:tcPr>
            <w:tcW w:w="1560" w:type="dxa"/>
            <w:vMerge w:val="restart"/>
          </w:tcPr>
          <w:p>
            <w:pPr>
              <w:jc w:val="center"/>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其他要求</w:t>
            </w:r>
          </w:p>
        </w:tc>
        <w:tc>
          <w:tcPr>
            <w:tcW w:w="7407" w:type="dxa"/>
            <w:gridSpan w:val="4"/>
          </w:tcPr>
          <w:p>
            <w:pPr>
              <w:jc w:val="left"/>
              <w:rPr>
                <w:rFonts w:ascii="仿宋" w:hAnsi="仿宋" w:eastAsia="仿宋" w:cs="仿宋"/>
                <w:color w:val="000000" w:themeColor="text1"/>
                <w:kern w:val="0"/>
                <w:szCs w:val="21"/>
                <w14:textFill>
                  <w14:solidFill>
                    <w14:schemeClr w14:val="tx1"/>
                  </w14:solidFill>
                </w14:textFill>
              </w:rPr>
            </w:pPr>
            <w:r>
              <w:rPr>
                <w:rFonts w:hint="eastAsia" w:ascii="仿宋" w:hAnsi="仿宋" w:eastAsia="仿宋" w:cs="仿宋"/>
                <w:b/>
                <w:color w:val="000000" w:themeColor="text1"/>
                <w:szCs w:val="21"/>
                <w14:textFill>
                  <w14:solidFill>
                    <w14:schemeClr w14:val="tx1"/>
                  </w14:solidFill>
                </w14:textFill>
              </w:rPr>
              <w:t>特定供应商的名称、项目负责人及联系方式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1560" w:type="dxa"/>
            <w:vMerge w:val="continue"/>
          </w:tcPr>
          <w:p>
            <w:pPr>
              <w:jc w:val="left"/>
              <w:rPr>
                <w:rFonts w:ascii="仿宋" w:hAnsi="仿宋" w:eastAsia="仿宋" w:cs="仿宋"/>
                <w:color w:val="000000" w:themeColor="text1"/>
                <w:kern w:val="0"/>
                <w:szCs w:val="21"/>
                <w14:textFill>
                  <w14:solidFill>
                    <w14:schemeClr w14:val="tx1"/>
                  </w14:solidFill>
                </w14:textFill>
              </w:rPr>
            </w:pPr>
          </w:p>
        </w:tc>
        <w:tc>
          <w:tcPr>
            <w:tcW w:w="850" w:type="dxa"/>
            <w:vMerge w:val="restart"/>
          </w:tcPr>
          <w:p>
            <w:pPr>
              <w:jc w:val="left"/>
              <w:rPr>
                <w:rFonts w:ascii="仿宋" w:hAnsi="仿宋" w:eastAsia="仿宋" w:cs="仿宋"/>
                <w:bCs/>
                <w:color w:val="000000" w:themeColor="text1"/>
                <w:kern w:val="0"/>
                <w:szCs w:val="21"/>
                <w14:textFill>
                  <w14:solidFill>
                    <w14:schemeClr w14:val="tx1"/>
                  </w14:solidFill>
                </w14:textFill>
              </w:rPr>
            </w:pPr>
            <w:r>
              <w:rPr>
                <w:rFonts w:hint="eastAsia" w:ascii="仿宋" w:hAnsi="仿宋" w:eastAsia="仿宋" w:cs="仿宋"/>
                <w:bCs/>
                <w:color w:val="000000" w:themeColor="text1"/>
                <w:szCs w:val="21"/>
                <w14:textFill>
                  <w14:solidFill>
                    <w14:schemeClr w14:val="tx1"/>
                  </w14:solidFill>
                </w14:textFill>
              </w:rPr>
              <w:t>特定供应商</w:t>
            </w:r>
          </w:p>
        </w:tc>
        <w:tc>
          <w:tcPr>
            <w:tcW w:w="6557" w:type="dxa"/>
            <w:gridSpan w:val="3"/>
          </w:tcPr>
          <w:p>
            <w:pPr>
              <w:jc w:val="left"/>
              <w:rPr>
                <w:rFonts w:ascii="仿宋" w:hAnsi="仿宋" w:eastAsia="仿宋" w:cs="仿宋"/>
                <w:bCs/>
                <w:color w:val="000000" w:themeColor="text1"/>
                <w:kern w:val="0"/>
                <w:szCs w:val="21"/>
                <w14:textFill>
                  <w14:solidFill>
                    <w14:schemeClr w14:val="tx1"/>
                  </w14:solidFill>
                </w14:textFill>
              </w:rPr>
            </w:pPr>
            <w:r>
              <w:rPr>
                <w:rFonts w:hint="eastAsia" w:ascii="仿宋" w:hAnsi="仿宋" w:eastAsia="仿宋" w:cs="仿宋"/>
                <w:bCs/>
                <w:szCs w:val="21"/>
              </w:rPr>
              <w:t>单位名称：深圳市规划国土发展研究中心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trPr>
        <w:tc>
          <w:tcPr>
            <w:tcW w:w="1560" w:type="dxa"/>
            <w:vMerge w:val="continue"/>
          </w:tcPr>
          <w:p>
            <w:pPr>
              <w:jc w:val="left"/>
              <w:rPr>
                <w:rFonts w:ascii="仿宋" w:hAnsi="仿宋" w:eastAsia="仿宋" w:cs="仿宋"/>
                <w:color w:val="000000" w:themeColor="text1"/>
                <w:kern w:val="0"/>
                <w:szCs w:val="21"/>
                <w14:textFill>
                  <w14:solidFill>
                    <w14:schemeClr w14:val="tx1"/>
                  </w14:solidFill>
                </w14:textFill>
              </w:rPr>
            </w:pPr>
          </w:p>
        </w:tc>
        <w:tc>
          <w:tcPr>
            <w:tcW w:w="850" w:type="dxa"/>
            <w:vMerge w:val="continue"/>
          </w:tcPr>
          <w:p>
            <w:pPr>
              <w:jc w:val="left"/>
              <w:rPr>
                <w:rFonts w:ascii="仿宋" w:hAnsi="仿宋" w:eastAsia="仿宋" w:cs="仿宋"/>
                <w:bCs/>
                <w:color w:val="000000" w:themeColor="text1"/>
                <w:kern w:val="0"/>
                <w:szCs w:val="21"/>
                <w14:textFill>
                  <w14:solidFill>
                    <w14:schemeClr w14:val="tx1"/>
                  </w14:solidFill>
                </w14:textFill>
              </w:rPr>
            </w:pPr>
          </w:p>
        </w:tc>
        <w:tc>
          <w:tcPr>
            <w:tcW w:w="6557" w:type="dxa"/>
            <w:gridSpan w:val="3"/>
          </w:tcPr>
          <w:p>
            <w:pPr>
              <w:jc w:val="left"/>
              <w:rPr>
                <w:rFonts w:ascii="仿宋" w:hAnsi="仿宋" w:eastAsia="仿宋" w:cs="仿宋"/>
                <w:bCs/>
                <w:color w:val="000000" w:themeColor="text1"/>
                <w:kern w:val="0"/>
                <w:szCs w:val="21"/>
                <w14:textFill>
                  <w14:solidFill>
                    <w14:schemeClr w14:val="tx1"/>
                  </w14:solidFill>
                </w14:textFill>
              </w:rPr>
            </w:pPr>
            <w:r>
              <w:rPr>
                <w:rFonts w:hint="eastAsia" w:ascii="仿宋" w:hAnsi="仿宋" w:eastAsia="仿宋" w:cs="仿宋"/>
                <w:bCs/>
                <w:szCs w:val="21"/>
              </w:rPr>
              <w:t>项目经办人：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560" w:type="dxa"/>
            <w:vMerge w:val="continue"/>
          </w:tcPr>
          <w:p>
            <w:pPr>
              <w:jc w:val="left"/>
              <w:rPr>
                <w:rFonts w:ascii="仿宋" w:hAnsi="仿宋" w:eastAsia="仿宋" w:cs="仿宋"/>
                <w:color w:val="000000" w:themeColor="text1"/>
                <w:kern w:val="0"/>
                <w:szCs w:val="21"/>
                <w14:textFill>
                  <w14:solidFill>
                    <w14:schemeClr w14:val="tx1"/>
                  </w14:solidFill>
                </w14:textFill>
              </w:rPr>
            </w:pPr>
          </w:p>
        </w:tc>
        <w:tc>
          <w:tcPr>
            <w:tcW w:w="850" w:type="dxa"/>
            <w:vMerge w:val="continue"/>
          </w:tcPr>
          <w:p>
            <w:pPr>
              <w:jc w:val="left"/>
              <w:rPr>
                <w:rFonts w:ascii="仿宋" w:hAnsi="仿宋" w:eastAsia="仿宋" w:cs="仿宋"/>
                <w:bCs/>
                <w:color w:val="000000" w:themeColor="text1"/>
                <w:kern w:val="0"/>
                <w:szCs w:val="21"/>
                <w14:textFill>
                  <w14:solidFill>
                    <w14:schemeClr w14:val="tx1"/>
                  </w14:solidFill>
                </w14:textFill>
              </w:rPr>
            </w:pPr>
          </w:p>
        </w:tc>
        <w:tc>
          <w:tcPr>
            <w:tcW w:w="6557" w:type="dxa"/>
            <w:gridSpan w:val="3"/>
          </w:tcPr>
          <w:p>
            <w:pPr>
              <w:jc w:val="left"/>
              <w:rPr>
                <w:rFonts w:ascii="仿宋" w:hAnsi="仿宋" w:eastAsia="仿宋" w:cs="仿宋"/>
                <w:bCs/>
                <w:color w:val="000000" w:themeColor="text1"/>
                <w:kern w:val="0"/>
                <w:szCs w:val="21"/>
                <w14:textFill>
                  <w14:solidFill>
                    <w14:schemeClr w14:val="tx1"/>
                  </w14:solidFill>
                </w14:textFill>
              </w:rPr>
            </w:pPr>
            <w:r>
              <w:rPr>
                <w:rFonts w:hint="eastAsia" w:ascii="仿宋" w:hAnsi="仿宋" w:eastAsia="仿宋" w:cs="仿宋"/>
                <w:bCs/>
                <w:szCs w:val="21"/>
              </w:rPr>
              <w:t>联系电话：</w:t>
            </w:r>
          </w:p>
        </w:tc>
      </w:tr>
    </w:tbl>
    <w:p>
      <w:pPr>
        <w:spacing w:line="360" w:lineRule="exact"/>
        <w:jc w:val="left"/>
        <w:rPr>
          <w:rFonts w:ascii="仿宋" w:hAnsi="仿宋" w:eastAsia="仿宋"/>
          <w:bCs/>
          <w:color w:val="000000" w:themeColor="text1"/>
          <w:szCs w:val="21"/>
          <w14:textFill>
            <w14:solidFill>
              <w14:schemeClr w14:val="tx1"/>
            </w14:solidFill>
          </w14:textFill>
        </w:rPr>
      </w:pPr>
      <w:r>
        <w:rPr>
          <w:rFonts w:hint="eastAsia" w:ascii="仿宋" w:hAnsi="仿宋" w:eastAsia="仿宋"/>
          <w:bCs/>
          <w:color w:val="000000" w:themeColor="text1"/>
          <w:szCs w:val="21"/>
          <w14:textFill>
            <w14:solidFill>
              <w14:schemeClr w14:val="tx1"/>
            </w14:solidFill>
          </w14:textFill>
        </w:rPr>
        <w:t>注：</w:t>
      </w:r>
    </w:p>
    <w:p>
      <w:pPr>
        <w:spacing w:line="360" w:lineRule="exact"/>
        <w:jc w:val="left"/>
        <w:rPr>
          <w:rFonts w:ascii="仿宋" w:hAnsi="仿宋" w:eastAsia="仿宋"/>
          <w:bCs/>
          <w:color w:val="000000" w:themeColor="text1"/>
          <w:szCs w:val="21"/>
          <w14:textFill>
            <w14:solidFill>
              <w14:schemeClr w14:val="tx1"/>
            </w14:solidFill>
          </w14:textFill>
        </w:rPr>
      </w:pPr>
      <w:r>
        <w:rPr>
          <w:rFonts w:hint="eastAsia" w:ascii="仿宋" w:hAnsi="仿宋" w:eastAsia="仿宋"/>
          <w:bCs/>
          <w:color w:val="000000" w:themeColor="text1"/>
          <w:szCs w:val="21"/>
          <w14:textFill>
            <w14:solidFill>
              <w14:schemeClr w14:val="tx1"/>
            </w14:solidFill>
          </w14:textFill>
        </w:rPr>
        <w:t>1、带“*”号的为必填表内容，其他内容可根据项目作适当增减。</w:t>
      </w:r>
    </w:p>
    <w:p>
      <w:pPr>
        <w:spacing w:line="360" w:lineRule="exact"/>
        <w:jc w:val="left"/>
        <w:rPr>
          <w:rFonts w:ascii="仿宋" w:hAnsi="仿宋" w:eastAsia="仿宋"/>
          <w:bCs/>
          <w:color w:val="000000" w:themeColor="text1"/>
          <w:szCs w:val="21"/>
          <w14:textFill>
            <w14:solidFill>
              <w14:schemeClr w14:val="tx1"/>
            </w14:solidFill>
          </w14:textFill>
        </w:rPr>
      </w:pPr>
      <w:r>
        <w:rPr>
          <w:rFonts w:hint="eastAsia" w:ascii="仿宋" w:hAnsi="仿宋" w:eastAsia="仿宋"/>
          <w:bCs/>
          <w:color w:val="000000" w:themeColor="text1"/>
          <w:szCs w:val="21"/>
          <w14:textFill>
            <w14:solidFill>
              <w14:schemeClr w14:val="tx1"/>
            </w14:solidFill>
          </w14:textFill>
        </w:rPr>
        <w:t>2、其他要求栏目仅适用非公开招标采购方式项目，采购推荐供应商名单必须经过主管部门报批，并将主管部门批复材料提交至采购中心。根据采购条例第十九条规定适用非公开招标方式需要公示的，应同时向采购中心提交公示的证明材料。</w:t>
      </w:r>
    </w:p>
    <w:p>
      <w:pPr>
        <w:spacing w:line="360" w:lineRule="exact"/>
        <w:rPr>
          <w:rFonts w:ascii="仿宋" w:hAnsi="仿宋" w:eastAsia="仿宋"/>
          <w:bCs/>
          <w:color w:val="000000" w:themeColor="text1"/>
          <w:szCs w:val="21"/>
          <w14:textFill>
            <w14:solidFill>
              <w14:schemeClr w14:val="tx1"/>
            </w14:solidFill>
          </w14:textFill>
        </w:rPr>
      </w:pPr>
      <w:r>
        <w:rPr>
          <w:rFonts w:hint="eastAsia" w:ascii="仿宋" w:hAnsi="仿宋" w:eastAsia="仿宋"/>
          <w:bCs/>
          <w:color w:val="000000" w:themeColor="text1"/>
          <w:szCs w:val="21"/>
          <w14:textFill>
            <w14:solidFill>
              <w14:schemeClr w14:val="tx1"/>
            </w14:solidFill>
          </w14:textFill>
        </w:rPr>
        <w:t>3、采购单位以上填报的商务条款、技术条款若存在倾向性或不公正性条款，由此引起的不良后果将由采购单位自行承担。</w:t>
      </w:r>
    </w:p>
    <w:p>
      <w:pPr>
        <w:jc w:val="left"/>
        <w:rPr>
          <w:rFonts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4、项目需要提供带车服务的，需核查中标单位提供的车型，避免违规出现豪华或超标准车型。</w:t>
      </w:r>
    </w:p>
    <w:p>
      <w:pPr>
        <w:jc w:val="left"/>
        <w:rPr>
          <w:rFonts w:ascii="仿宋_GB2312" w:hAnsi="仿宋_GB2312" w:eastAsia="仿宋_GB2312" w:cs="仿宋_GB2312"/>
          <w:bCs/>
          <w:color w:val="000000" w:themeColor="text1"/>
          <w:sz w:val="32"/>
          <w:szCs w:val="32"/>
          <w14:textFill>
            <w14:solidFill>
              <w14:schemeClr w14:val="tx1"/>
            </w14:solidFill>
          </w14:textFill>
        </w:rPr>
      </w:pPr>
    </w:p>
    <w:p>
      <w:pPr>
        <w:rPr>
          <w:rFonts w:ascii="仿宋_GB2312" w:hAnsi="仿宋_GB2312" w:eastAsia="仿宋_GB2312" w:cs="仿宋_GB2312"/>
          <w:bCs/>
          <w:color w:val="000000" w:themeColor="text1"/>
          <w:sz w:val="32"/>
          <w:szCs w:val="32"/>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等线">
    <w:altName w:val="华文仿宋"/>
    <w:panose1 w:val="02010600030101010101"/>
    <w:charset w:val="86"/>
    <w:family w:val="auto"/>
    <w:pitch w:val="default"/>
    <w:sig w:usb0="00000000" w:usb1="00000000" w:usb2="00000016" w:usb3="00000000" w:csb0="0004000F" w:csb1="00000000"/>
  </w:font>
  <w:font w:name="华文仿宋">
    <w:panose1 w:val="02010600040101010101"/>
    <w:charset w:val="86"/>
    <w:family w:val="auto"/>
    <w:pitch w:val="default"/>
    <w:sig w:usb0="00000287" w:usb1="080F0000" w:usb2="00000000" w:usb3="00000000" w:csb0="0004009F" w:csb1="DFD70000"/>
  </w:font>
  <w:font w:name="Cambria">
    <w:altName w:val="FreeSerif"/>
    <w:panose1 w:val="02040503050406030204"/>
    <w:charset w:val="00"/>
    <w:family w:val="roman"/>
    <w:pitch w:val="default"/>
    <w:sig w:usb0="00000000" w:usb1="00000000" w:usb2="02000000" w:usb3="00000000" w:csb0="2000019F" w:csb1="00000000"/>
  </w:font>
  <w:font w:name="FreeSerif">
    <w:panose1 w:val="02020603050405020304"/>
    <w:charset w:val="00"/>
    <w:family w:val="auto"/>
    <w:pitch w:val="default"/>
    <w:sig w:usb0="E59FAFFF" w:usb1="C200FDFF" w:usb2="43501B29" w:usb3="04000043" w:csb0="600101FF" w:csb1="FFFF0000"/>
  </w:font>
  <w:font w:name="方正黑体_GBK">
    <w:panose1 w:val="02000000000000000000"/>
    <w:charset w:val="86"/>
    <w:family w:val="auto"/>
    <w:pitch w:val="default"/>
    <w:sig w:usb0="00000001" w:usb1="08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仿宋_GB2312">
    <w:altName w:val="方正仿宋_GBK"/>
    <w:panose1 w:val="02010609030101010101"/>
    <w:charset w:val="86"/>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0D4F"/>
    <w:rsid w:val="0005560E"/>
    <w:rsid w:val="00065154"/>
    <w:rsid w:val="000A57FF"/>
    <w:rsid w:val="000B2C1B"/>
    <w:rsid w:val="001A7011"/>
    <w:rsid w:val="001D0D4F"/>
    <w:rsid w:val="001F46FE"/>
    <w:rsid w:val="002569EA"/>
    <w:rsid w:val="00294BF9"/>
    <w:rsid w:val="00301E5C"/>
    <w:rsid w:val="00365F40"/>
    <w:rsid w:val="0040017C"/>
    <w:rsid w:val="004245FA"/>
    <w:rsid w:val="0043554B"/>
    <w:rsid w:val="00462E2D"/>
    <w:rsid w:val="004D4E14"/>
    <w:rsid w:val="004F5AEC"/>
    <w:rsid w:val="00560A62"/>
    <w:rsid w:val="005E57E5"/>
    <w:rsid w:val="005F0444"/>
    <w:rsid w:val="005F73B7"/>
    <w:rsid w:val="006535A1"/>
    <w:rsid w:val="00707C1F"/>
    <w:rsid w:val="00790DB5"/>
    <w:rsid w:val="007B1796"/>
    <w:rsid w:val="007B3090"/>
    <w:rsid w:val="00835A18"/>
    <w:rsid w:val="00870261"/>
    <w:rsid w:val="009E5DFE"/>
    <w:rsid w:val="009E78FC"/>
    <w:rsid w:val="009F5AF4"/>
    <w:rsid w:val="00A20A5E"/>
    <w:rsid w:val="00B0775B"/>
    <w:rsid w:val="00B1007A"/>
    <w:rsid w:val="00B51B72"/>
    <w:rsid w:val="00B80CEC"/>
    <w:rsid w:val="00C206EF"/>
    <w:rsid w:val="00C70BEC"/>
    <w:rsid w:val="00D071A6"/>
    <w:rsid w:val="00D12231"/>
    <w:rsid w:val="00D475CF"/>
    <w:rsid w:val="00DC2939"/>
    <w:rsid w:val="00DD15C5"/>
    <w:rsid w:val="00DD2364"/>
    <w:rsid w:val="00DD7FC1"/>
    <w:rsid w:val="00E1733D"/>
    <w:rsid w:val="00EC39CE"/>
    <w:rsid w:val="00F069C7"/>
    <w:rsid w:val="018C4675"/>
    <w:rsid w:val="112A63BB"/>
    <w:rsid w:val="2AF404DD"/>
    <w:rsid w:val="39C8794B"/>
    <w:rsid w:val="4B933630"/>
    <w:rsid w:val="58A540F1"/>
    <w:rsid w:val="5AA51826"/>
    <w:rsid w:val="5C6D3E4D"/>
    <w:rsid w:val="67F814CD"/>
    <w:rsid w:val="786B214C"/>
    <w:rsid w:val="F6DFF3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spacing w:after="160" w:line="259" w:lineRule="auto"/>
    </w:pPr>
    <w:rPr>
      <w:rFonts w:ascii="等线" w:hAnsi="等线" w:eastAsia="等线" w:cs="Times New Roman"/>
      <w:kern w:val="0"/>
      <w:sz w:val="22"/>
    </w:rPr>
  </w:style>
  <w:style w:type="paragraph" w:styleId="3">
    <w:name w:val="Body Text"/>
    <w:basedOn w:val="1"/>
    <w:next w:val="4"/>
    <w:qFormat/>
    <w:uiPriority w:val="0"/>
    <w:pPr>
      <w:spacing w:before="61"/>
      <w:ind w:left="102"/>
    </w:pPr>
    <w:rPr>
      <w:rFonts w:ascii="宋体" w:hAnsi="宋体" w:eastAsia="宋体"/>
      <w:kern w:val="0"/>
      <w:sz w:val="28"/>
      <w:szCs w:val="28"/>
      <w:lang w:eastAsia="en-US"/>
    </w:rPr>
  </w:style>
  <w:style w:type="paragraph" w:styleId="4">
    <w:name w:val="Title"/>
    <w:basedOn w:val="1"/>
    <w:next w:val="1"/>
    <w:qFormat/>
    <w:uiPriority w:val="0"/>
    <w:pPr>
      <w:spacing w:before="240" w:after="60"/>
      <w:jc w:val="center"/>
      <w:outlineLvl w:val="0"/>
    </w:pPr>
    <w:rPr>
      <w:rFonts w:ascii="Cambria" w:hAnsi="Cambria" w:eastAsia="宋体"/>
      <w:b/>
      <w:bCs/>
    </w:rPr>
  </w:style>
  <w:style w:type="paragraph" w:styleId="5">
    <w:name w:val="footer"/>
    <w:basedOn w:val="1"/>
    <w:link w:val="12"/>
    <w:qFormat/>
    <w:uiPriority w:val="0"/>
    <w:pPr>
      <w:tabs>
        <w:tab w:val="center" w:pos="4153"/>
        <w:tab w:val="right" w:pos="8306"/>
      </w:tabs>
      <w:snapToGrid w:val="0"/>
      <w:jc w:val="left"/>
    </w:pPr>
    <w:rPr>
      <w:sz w:val="18"/>
      <w:szCs w:val="18"/>
    </w:rPr>
  </w:style>
  <w:style w:type="paragraph" w:styleId="6">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styleId="7">
    <w:name w:val="footnote text"/>
    <w:basedOn w:val="1"/>
    <w:qFormat/>
    <w:uiPriority w:val="0"/>
    <w:pPr>
      <w:snapToGrid w:val="0"/>
      <w:jc w:val="left"/>
    </w:pPr>
    <w:rPr>
      <w:sz w:val="18"/>
    </w:rPr>
  </w:style>
  <w:style w:type="paragraph" w:styleId="10">
    <w:name w:val="List Paragraph"/>
    <w:basedOn w:val="1"/>
    <w:qFormat/>
    <w:uiPriority w:val="34"/>
    <w:pPr>
      <w:ind w:firstLine="420" w:firstLineChars="200"/>
    </w:pPr>
  </w:style>
  <w:style w:type="character" w:customStyle="1" w:styleId="11">
    <w:name w:val="页眉 字符"/>
    <w:basedOn w:val="9"/>
    <w:link w:val="6"/>
    <w:qFormat/>
    <w:uiPriority w:val="0"/>
    <w:rPr>
      <w:kern w:val="2"/>
      <w:sz w:val="18"/>
      <w:szCs w:val="18"/>
    </w:rPr>
  </w:style>
  <w:style w:type="character" w:customStyle="1" w:styleId="12">
    <w:name w:val="页脚 字符"/>
    <w:basedOn w:val="9"/>
    <w:link w:val="5"/>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6690</Words>
  <Characters>6842</Characters>
  <Lines>49</Lines>
  <Paragraphs>14</Paragraphs>
  <TotalTime>27</TotalTime>
  <ScaleCrop>false</ScaleCrop>
  <LinksUpToDate>false</LinksUpToDate>
  <CharactersWithSpaces>6853</CharactersWithSpaces>
  <Application>WPS Office_11.8.2.11764_F1E327BC-269C-435d-A152-05C5408002CA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2025-04-27T11:42:00Z</dcterms:created>
  <dc:creator>hongxh</dc:creator>
  <cp:lastModifiedBy>qilin</cp:lastModifiedBy>
  <dcterms:modified xsi:type="dcterms:W3CDTF">2025-06-12T18:56:31Z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2052-11.8.2.11764</vt:lpwstr>
  </property>
  <property fmtid="{D5CDD505-2E9C-101B-9397-08002B2CF9AE}" pid="3" name="ICV">
    <vt:lpwstr>45F33E5890C341F0856085EE26F915C4</vt:lpwstr>
  </property>
  <property fmtid="{D5CDD505-2E9C-101B-9397-08002B2CF9AE}" pid="4" name="KSOTemplateDocerSaveRecord">
    <vt:lpwstr>eyJoZGlkIjoiN2YzNjBkOTgyNWQ1YTMxYzM3MzMwNWFiODNmOWIzYWMiLCJ1c2VySWQiOiIyODAxMTcyNjYifQ==</vt:lpwstr>
  </property>
</Properties>
</file>